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0C" w:rsidRDefault="001B6EB7">
      <w:pPr>
        <w:spacing w:beforeLines="50" w:before="156" w:afterLines="50" w:after="156" w:line="400" w:lineRule="exact"/>
        <w:jc w:val="center"/>
        <w:rPr>
          <w:rFonts w:ascii="宋体" w:hAnsi="宋体"/>
          <w:b/>
          <w:bCs/>
          <w:iCs/>
          <w:color w:val="FF0000"/>
          <w:sz w:val="28"/>
          <w:szCs w:val="24"/>
        </w:rPr>
      </w:pPr>
      <w:r>
        <w:rPr>
          <w:rFonts w:ascii="宋体" w:hAnsi="宋体" w:hint="eastAsia"/>
          <w:b/>
          <w:bCs/>
          <w:iCs/>
          <w:color w:val="FF0000"/>
          <w:sz w:val="28"/>
          <w:szCs w:val="24"/>
        </w:rPr>
        <w:t>广东原尚</w:t>
      </w:r>
      <w:r>
        <w:rPr>
          <w:rFonts w:ascii="宋体" w:hAnsi="宋体"/>
          <w:b/>
          <w:bCs/>
          <w:iCs/>
          <w:color w:val="FF0000"/>
          <w:sz w:val="28"/>
          <w:szCs w:val="24"/>
        </w:rPr>
        <w:t>物流股份有限公司</w:t>
      </w:r>
    </w:p>
    <w:p w:rsidR="00F0460C" w:rsidRDefault="001B6EB7">
      <w:pPr>
        <w:spacing w:beforeLines="50" w:before="156" w:afterLines="50" w:after="156" w:line="400" w:lineRule="exact"/>
        <w:jc w:val="center"/>
        <w:rPr>
          <w:rFonts w:ascii="宋体" w:hAnsi="宋体"/>
          <w:b/>
          <w:bCs/>
          <w:iCs/>
          <w:color w:val="FF0000"/>
          <w:sz w:val="28"/>
          <w:szCs w:val="24"/>
        </w:rPr>
      </w:pPr>
      <w:r>
        <w:rPr>
          <w:rFonts w:ascii="宋体" w:hAnsi="宋体" w:hint="eastAsia"/>
          <w:b/>
          <w:bCs/>
          <w:iCs/>
          <w:color w:val="FF0000"/>
          <w:sz w:val="28"/>
          <w:szCs w:val="24"/>
        </w:rPr>
        <w:t>投资者关系活动记录表</w:t>
      </w:r>
    </w:p>
    <w:p w:rsidR="00F0460C" w:rsidRDefault="001B6EB7">
      <w:pPr>
        <w:spacing w:line="400" w:lineRule="exact"/>
        <w:rPr>
          <w:rFonts w:ascii="宋体" w:hAnsi="宋体"/>
          <w:bCs/>
          <w:iCs/>
          <w:sz w:val="24"/>
          <w:szCs w:val="24"/>
        </w:rPr>
      </w:pPr>
      <w:r>
        <w:rPr>
          <w:rFonts w:ascii="宋体" w:hAnsi="宋体" w:hint="eastAsia"/>
          <w:bCs/>
          <w:iCs/>
          <w:sz w:val="24"/>
          <w:szCs w:val="24"/>
        </w:rPr>
        <w:t xml:space="preserve">                                              编号：GS</w:t>
      </w:r>
      <w:r>
        <w:rPr>
          <w:rFonts w:ascii="宋体" w:hAnsi="宋体"/>
          <w:bCs/>
          <w:iCs/>
          <w:sz w:val="24"/>
          <w:szCs w:val="24"/>
        </w:rPr>
        <w:t>L</w:t>
      </w:r>
      <w:r>
        <w:rPr>
          <w:rFonts w:ascii="宋体" w:hAnsi="宋体" w:hint="eastAsia"/>
          <w:bCs/>
          <w:iCs/>
          <w:sz w:val="24"/>
          <w:szCs w:val="24"/>
        </w:rPr>
        <w:t>20</w:t>
      </w:r>
      <w:r w:rsidR="0007764E">
        <w:rPr>
          <w:rFonts w:ascii="宋体" w:hAnsi="宋体"/>
          <w:bCs/>
          <w:iCs/>
          <w:sz w:val="24"/>
          <w:szCs w:val="24"/>
        </w:rPr>
        <w:t>2</w:t>
      </w:r>
      <w:r w:rsidR="008068AF">
        <w:rPr>
          <w:rFonts w:ascii="宋体" w:hAnsi="宋体"/>
          <w:bCs/>
          <w:iCs/>
          <w:sz w:val="24"/>
          <w:szCs w:val="24"/>
        </w:rPr>
        <w:t>3</w:t>
      </w:r>
      <w:r>
        <w:rPr>
          <w:rFonts w:ascii="宋体" w:hAnsi="宋体"/>
          <w:bCs/>
          <w:iCs/>
          <w:sz w:val="24"/>
          <w:szCs w:val="24"/>
        </w:rPr>
        <w:t>-00</w:t>
      </w:r>
      <w:r w:rsidR="003C099F">
        <w:rPr>
          <w:rFonts w:ascii="宋体" w:hAnsi="宋体"/>
          <w:bCs/>
          <w:iCs/>
          <w:sz w:val="24"/>
          <w:szCs w:val="24"/>
        </w:rPr>
        <w:t>5</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6345"/>
      </w:tblGrid>
      <w:tr w:rsidR="00F0460C" w:rsidTr="00FE71B8">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投资者关系活动类别</w:t>
            </w:r>
          </w:p>
          <w:p w:rsidR="00F0460C" w:rsidRPr="00AF007A" w:rsidRDefault="00F0460C">
            <w:pPr>
              <w:spacing w:line="480" w:lineRule="atLeast"/>
              <w:rPr>
                <w:rFonts w:ascii="宋体" w:hAnsi="宋体"/>
                <w:b/>
                <w:bCs/>
                <w:iCs/>
                <w:sz w:val="22"/>
                <w:szCs w:val="24"/>
              </w:rPr>
            </w:pPr>
          </w:p>
        </w:tc>
        <w:tc>
          <w:tcPr>
            <w:tcW w:w="6345" w:type="dxa"/>
            <w:shd w:val="clear" w:color="auto" w:fill="auto"/>
          </w:tcPr>
          <w:p w:rsidR="00F0460C" w:rsidRPr="00C4184D" w:rsidRDefault="0007764E">
            <w:pPr>
              <w:spacing w:line="480" w:lineRule="atLeast"/>
              <w:rPr>
                <w:rFonts w:ascii="宋体" w:hAnsi="宋体"/>
                <w:bCs/>
                <w:iCs/>
                <w:szCs w:val="24"/>
              </w:rPr>
            </w:pPr>
            <w:r w:rsidRPr="00C4184D">
              <w:rPr>
                <w:rFonts w:ascii="宋体" w:hAnsi="宋体" w:hint="eastAsia"/>
                <w:bCs/>
                <w:iCs/>
                <w:szCs w:val="24"/>
              </w:rPr>
              <w:t>□</w:t>
            </w:r>
            <w:r w:rsidR="001B6EB7" w:rsidRPr="00C4184D">
              <w:rPr>
                <w:rFonts w:ascii="宋体" w:hAnsi="宋体" w:hint="eastAsia"/>
                <w:szCs w:val="24"/>
              </w:rPr>
              <w:t xml:space="preserve">特定对象调研        </w:t>
            </w:r>
            <w:r w:rsidR="001B6EB7" w:rsidRPr="00C4184D">
              <w:rPr>
                <w:rFonts w:ascii="宋体" w:hAnsi="宋体" w:hint="eastAsia"/>
                <w:bCs/>
                <w:iCs/>
                <w:szCs w:val="24"/>
              </w:rPr>
              <w:t>□</w:t>
            </w:r>
            <w:r w:rsidR="001B6EB7" w:rsidRPr="00C4184D">
              <w:rPr>
                <w:rFonts w:ascii="宋体" w:hAnsi="宋体" w:hint="eastAsia"/>
                <w:szCs w:val="24"/>
              </w:rPr>
              <w:t>分析师会议</w:t>
            </w:r>
          </w:p>
          <w:p w:rsidR="00F0460C" w:rsidRPr="00C4184D" w:rsidRDefault="001B6EB7">
            <w:pPr>
              <w:spacing w:line="480" w:lineRule="atLeast"/>
              <w:rPr>
                <w:rFonts w:ascii="宋体" w:hAnsi="宋体"/>
                <w:bCs/>
                <w:iCs/>
                <w:szCs w:val="24"/>
              </w:rPr>
            </w:pPr>
            <w:r w:rsidRPr="00C4184D">
              <w:rPr>
                <w:rFonts w:ascii="宋体" w:hAnsi="宋体" w:hint="eastAsia"/>
                <w:bCs/>
                <w:iCs/>
                <w:szCs w:val="24"/>
              </w:rPr>
              <w:t>□</w:t>
            </w:r>
            <w:r w:rsidRPr="00C4184D">
              <w:rPr>
                <w:rFonts w:ascii="宋体" w:hAnsi="宋体" w:hint="eastAsia"/>
                <w:szCs w:val="24"/>
              </w:rPr>
              <w:t xml:space="preserve">媒体采访            </w:t>
            </w:r>
            <w:r w:rsidR="0007764E">
              <w:rPr>
                <w:rFonts w:ascii="宋体" w:hAnsi="宋体" w:hint="eastAsia"/>
                <w:bCs/>
                <w:iCs/>
                <w:szCs w:val="24"/>
              </w:rPr>
              <w:t>√</w:t>
            </w:r>
            <w:r w:rsidRPr="00C4184D">
              <w:rPr>
                <w:rFonts w:ascii="宋体" w:hAnsi="宋体" w:hint="eastAsia"/>
                <w:szCs w:val="24"/>
              </w:rPr>
              <w:t>业绩说明会</w:t>
            </w:r>
          </w:p>
          <w:p w:rsidR="00F0460C" w:rsidRPr="00C4184D" w:rsidRDefault="001B6EB7">
            <w:pPr>
              <w:spacing w:line="480" w:lineRule="atLeast"/>
              <w:rPr>
                <w:rFonts w:ascii="宋体" w:hAnsi="宋体"/>
                <w:bCs/>
                <w:iCs/>
                <w:szCs w:val="24"/>
              </w:rPr>
            </w:pPr>
            <w:r w:rsidRPr="00C4184D">
              <w:rPr>
                <w:rFonts w:ascii="宋体" w:hAnsi="宋体" w:hint="eastAsia"/>
                <w:bCs/>
                <w:iCs/>
                <w:szCs w:val="24"/>
              </w:rPr>
              <w:t>□</w:t>
            </w:r>
            <w:r w:rsidRPr="00C4184D">
              <w:rPr>
                <w:rFonts w:ascii="宋体" w:hAnsi="宋体" w:hint="eastAsia"/>
                <w:szCs w:val="24"/>
              </w:rPr>
              <w:t xml:space="preserve">新闻发布会          </w:t>
            </w:r>
            <w:r w:rsidRPr="00C4184D">
              <w:rPr>
                <w:rFonts w:ascii="宋体" w:hAnsi="宋体" w:hint="eastAsia"/>
                <w:bCs/>
                <w:iCs/>
                <w:szCs w:val="24"/>
              </w:rPr>
              <w:t>□</w:t>
            </w:r>
            <w:r w:rsidRPr="00C4184D">
              <w:rPr>
                <w:rFonts w:ascii="宋体" w:hAnsi="宋体" w:hint="eastAsia"/>
                <w:szCs w:val="24"/>
              </w:rPr>
              <w:t>路演活动</w:t>
            </w:r>
          </w:p>
          <w:p w:rsidR="00F0460C" w:rsidRPr="00C4184D" w:rsidRDefault="001B6EB7">
            <w:pPr>
              <w:tabs>
                <w:tab w:val="left" w:pos="3045"/>
                <w:tab w:val="center" w:pos="3199"/>
              </w:tabs>
              <w:spacing w:line="480" w:lineRule="atLeast"/>
              <w:rPr>
                <w:rFonts w:ascii="宋体" w:hAnsi="宋体"/>
                <w:bCs/>
                <w:iCs/>
                <w:szCs w:val="24"/>
              </w:rPr>
            </w:pPr>
            <w:r w:rsidRPr="00C4184D">
              <w:rPr>
                <w:rFonts w:ascii="宋体" w:hAnsi="宋体" w:hint="eastAsia"/>
                <w:bCs/>
                <w:iCs/>
                <w:szCs w:val="24"/>
              </w:rPr>
              <w:t>□</w:t>
            </w:r>
            <w:r w:rsidRPr="00C4184D">
              <w:rPr>
                <w:rFonts w:ascii="宋体" w:hAnsi="宋体" w:hint="eastAsia"/>
                <w:szCs w:val="24"/>
              </w:rPr>
              <w:t>现场参观</w:t>
            </w:r>
            <w:r w:rsidRPr="00C4184D">
              <w:rPr>
                <w:rFonts w:ascii="宋体" w:hAnsi="宋体"/>
                <w:bCs/>
                <w:iCs/>
                <w:szCs w:val="24"/>
              </w:rPr>
              <w:tab/>
            </w:r>
          </w:p>
          <w:p w:rsidR="00F0460C" w:rsidRDefault="001B6EB7">
            <w:pPr>
              <w:tabs>
                <w:tab w:val="center" w:pos="3199"/>
              </w:tabs>
              <w:spacing w:line="480" w:lineRule="atLeast"/>
              <w:rPr>
                <w:rFonts w:ascii="宋体" w:hAnsi="宋体"/>
                <w:bCs/>
                <w:iCs/>
                <w:sz w:val="24"/>
                <w:szCs w:val="24"/>
              </w:rPr>
            </w:pPr>
            <w:r w:rsidRPr="00C4184D">
              <w:rPr>
                <w:rFonts w:ascii="宋体" w:hAnsi="宋体" w:hint="eastAsia"/>
                <w:bCs/>
                <w:iCs/>
                <w:szCs w:val="24"/>
              </w:rPr>
              <w:t>□</w:t>
            </w:r>
            <w:r w:rsidRPr="00C4184D">
              <w:rPr>
                <w:rFonts w:ascii="宋体" w:hAnsi="宋体" w:hint="eastAsia"/>
                <w:szCs w:val="24"/>
              </w:rPr>
              <w:t>其他 （</w:t>
            </w:r>
            <w:proofErr w:type="gramStart"/>
            <w:r w:rsidRPr="00C4184D">
              <w:rPr>
                <w:rFonts w:ascii="宋体" w:hAnsi="宋体" w:hint="eastAsia"/>
                <w:szCs w:val="24"/>
                <w:u w:val="single"/>
              </w:rPr>
              <w:t>请文字</w:t>
            </w:r>
            <w:proofErr w:type="gramEnd"/>
            <w:r w:rsidRPr="00C4184D">
              <w:rPr>
                <w:rFonts w:ascii="宋体" w:hAnsi="宋体" w:hint="eastAsia"/>
                <w:szCs w:val="24"/>
                <w:u w:val="single"/>
              </w:rPr>
              <w:t>说明其他活动内容）</w:t>
            </w:r>
          </w:p>
        </w:tc>
      </w:tr>
      <w:tr w:rsidR="00F0460C" w:rsidTr="0007764E">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参与单位名称及人员姓名</w:t>
            </w:r>
          </w:p>
        </w:tc>
        <w:tc>
          <w:tcPr>
            <w:tcW w:w="6345" w:type="dxa"/>
            <w:shd w:val="clear" w:color="auto" w:fill="auto"/>
            <w:vAlign w:val="center"/>
          </w:tcPr>
          <w:p w:rsidR="00F0460C" w:rsidRDefault="0007764E" w:rsidP="00A869B2">
            <w:pPr>
              <w:spacing w:line="480" w:lineRule="atLeast"/>
              <w:jc w:val="left"/>
              <w:rPr>
                <w:rFonts w:asciiTheme="minorEastAsia" w:eastAsiaTheme="minorEastAsia" w:hAnsiTheme="minorEastAsia"/>
              </w:rPr>
            </w:pPr>
            <w:r>
              <w:rPr>
                <w:rFonts w:asciiTheme="minorEastAsia" w:eastAsiaTheme="minorEastAsia" w:hAnsiTheme="minorEastAsia" w:hint="eastAsia"/>
              </w:rPr>
              <w:t>参与原尚股份2</w:t>
            </w:r>
            <w:r>
              <w:rPr>
                <w:rFonts w:asciiTheme="minorEastAsia" w:eastAsiaTheme="minorEastAsia" w:hAnsiTheme="minorEastAsia"/>
              </w:rPr>
              <w:t>02</w:t>
            </w:r>
            <w:r w:rsidR="008068AF">
              <w:rPr>
                <w:rFonts w:asciiTheme="minorEastAsia" w:eastAsiaTheme="minorEastAsia" w:hAnsiTheme="minorEastAsia"/>
              </w:rPr>
              <w:t>3</w:t>
            </w:r>
            <w:r w:rsidR="003C099F">
              <w:rPr>
                <w:rFonts w:asciiTheme="minorEastAsia" w:eastAsiaTheme="minorEastAsia" w:hAnsiTheme="minorEastAsia"/>
              </w:rPr>
              <w:t>年第三季度</w:t>
            </w:r>
            <w:r>
              <w:rPr>
                <w:rFonts w:asciiTheme="minorEastAsia" w:eastAsiaTheme="minorEastAsia" w:hAnsiTheme="minorEastAsia"/>
              </w:rPr>
              <w:t>业绩说明会的</w:t>
            </w:r>
            <w:r w:rsidR="008068AF">
              <w:rPr>
                <w:rFonts w:asciiTheme="minorEastAsia" w:eastAsiaTheme="minorEastAsia" w:hAnsiTheme="minorEastAsia"/>
              </w:rPr>
              <w:t>2</w:t>
            </w:r>
            <w:r>
              <w:rPr>
                <w:rFonts w:asciiTheme="minorEastAsia" w:eastAsiaTheme="minorEastAsia" w:hAnsiTheme="minorEastAsia" w:hint="eastAsia"/>
              </w:rPr>
              <w:t>名投资者</w:t>
            </w:r>
          </w:p>
        </w:tc>
      </w:tr>
      <w:tr w:rsidR="00F0460C" w:rsidTr="0007764E">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时间</w:t>
            </w:r>
          </w:p>
        </w:tc>
        <w:tc>
          <w:tcPr>
            <w:tcW w:w="6345" w:type="dxa"/>
            <w:shd w:val="clear" w:color="auto" w:fill="auto"/>
            <w:vAlign w:val="center"/>
          </w:tcPr>
          <w:p w:rsidR="00F0460C" w:rsidRPr="005E245B" w:rsidRDefault="001B6EB7" w:rsidP="00A869B2">
            <w:pPr>
              <w:spacing w:line="0" w:lineRule="atLeast"/>
              <w:jc w:val="left"/>
              <w:rPr>
                <w:rFonts w:ascii="宋体" w:hAnsi="宋体"/>
                <w:bCs/>
                <w:iCs/>
                <w:szCs w:val="24"/>
              </w:rPr>
            </w:pPr>
            <w:r w:rsidRPr="005E245B">
              <w:rPr>
                <w:rFonts w:ascii="宋体" w:hAnsi="宋体" w:hint="eastAsia"/>
                <w:bCs/>
                <w:iCs/>
                <w:szCs w:val="24"/>
              </w:rPr>
              <w:t>20</w:t>
            </w:r>
            <w:r w:rsidR="00B469A1">
              <w:rPr>
                <w:rFonts w:ascii="宋体" w:hAnsi="宋体"/>
                <w:bCs/>
                <w:iCs/>
                <w:szCs w:val="24"/>
              </w:rPr>
              <w:t>2</w:t>
            </w:r>
            <w:r w:rsidR="008068AF">
              <w:rPr>
                <w:rFonts w:ascii="宋体" w:hAnsi="宋体"/>
                <w:bCs/>
                <w:iCs/>
                <w:szCs w:val="24"/>
              </w:rPr>
              <w:t>3</w:t>
            </w:r>
            <w:r w:rsidRPr="005E245B">
              <w:rPr>
                <w:rFonts w:ascii="宋体" w:hAnsi="宋体" w:hint="eastAsia"/>
                <w:bCs/>
                <w:iCs/>
                <w:szCs w:val="24"/>
              </w:rPr>
              <w:t>年</w:t>
            </w:r>
            <w:r w:rsidR="003C099F">
              <w:rPr>
                <w:rFonts w:ascii="宋体" w:hAnsi="宋体"/>
                <w:bCs/>
                <w:iCs/>
                <w:szCs w:val="24"/>
              </w:rPr>
              <w:t>11</w:t>
            </w:r>
            <w:r w:rsidRPr="005E245B">
              <w:rPr>
                <w:rFonts w:ascii="宋体" w:hAnsi="宋体" w:hint="eastAsia"/>
                <w:bCs/>
                <w:iCs/>
                <w:szCs w:val="24"/>
              </w:rPr>
              <w:t>月</w:t>
            </w:r>
            <w:r w:rsidR="003C099F">
              <w:rPr>
                <w:rFonts w:ascii="宋体" w:hAnsi="宋体"/>
                <w:bCs/>
                <w:iCs/>
                <w:szCs w:val="24"/>
              </w:rPr>
              <w:t>21</w:t>
            </w:r>
            <w:r w:rsidRPr="005E245B">
              <w:rPr>
                <w:rFonts w:ascii="宋体" w:hAnsi="宋体" w:hint="eastAsia"/>
                <w:bCs/>
                <w:iCs/>
                <w:szCs w:val="24"/>
              </w:rPr>
              <w:t>日</w:t>
            </w:r>
            <w:r w:rsidR="008068AF">
              <w:rPr>
                <w:rFonts w:ascii="宋体" w:hAnsi="宋体" w:hint="eastAsia"/>
                <w:bCs/>
                <w:iCs/>
                <w:szCs w:val="24"/>
              </w:rPr>
              <w:t>上午</w:t>
            </w:r>
            <w:r w:rsidR="00C4184D">
              <w:rPr>
                <w:rFonts w:ascii="宋体" w:hAnsi="宋体"/>
                <w:bCs/>
                <w:iCs/>
                <w:szCs w:val="24"/>
              </w:rPr>
              <w:t>1</w:t>
            </w:r>
            <w:r w:rsidR="003C099F">
              <w:rPr>
                <w:rFonts w:ascii="宋体" w:hAnsi="宋体"/>
                <w:bCs/>
                <w:iCs/>
                <w:szCs w:val="24"/>
              </w:rPr>
              <w:t>1</w:t>
            </w:r>
            <w:r w:rsidR="00C4184D">
              <w:rPr>
                <w:rFonts w:ascii="宋体" w:hAnsi="宋体" w:hint="eastAsia"/>
                <w:bCs/>
                <w:iCs/>
                <w:szCs w:val="24"/>
              </w:rPr>
              <w:t>:</w:t>
            </w:r>
            <w:r w:rsidR="00C4184D">
              <w:rPr>
                <w:rFonts w:ascii="宋体" w:hAnsi="宋体"/>
                <w:bCs/>
                <w:iCs/>
                <w:szCs w:val="24"/>
              </w:rPr>
              <w:t>00</w:t>
            </w:r>
            <w:r w:rsidR="0007764E">
              <w:rPr>
                <w:rFonts w:ascii="宋体" w:hAnsi="宋体" w:hint="eastAsia"/>
                <w:bCs/>
                <w:iCs/>
                <w:szCs w:val="24"/>
              </w:rPr>
              <w:t>-</w:t>
            </w:r>
            <w:r w:rsidR="0007764E">
              <w:rPr>
                <w:rFonts w:ascii="宋体" w:hAnsi="宋体"/>
                <w:bCs/>
                <w:iCs/>
                <w:szCs w:val="24"/>
              </w:rPr>
              <w:t>1</w:t>
            </w:r>
            <w:r w:rsidR="003C099F">
              <w:rPr>
                <w:rFonts w:ascii="宋体" w:hAnsi="宋体"/>
                <w:bCs/>
                <w:iCs/>
                <w:szCs w:val="24"/>
              </w:rPr>
              <w:t>2</w:t>
            </w:r>
            <w:r w:rsidR="0007764E">
              <w:rPr>
                <w:rFonts w:ascii="宋体" w:hAnsi="宋体" w:hint="eastAsia"/>
                <w:bCs/>
                <w:iCs/>
                <w:szCs w:val="24"/>
              </w:rPr>
              <w:t>:0</w:t>
            </w:r>
            <w:r w:rsidR="0007764E">
              <w:rPr>
                <w:rFonts w:ascii="宋体" w:hAnsi="宋体"/>
                <w:bCs/>
                <w:iCs/>
                <w:szCs w:val="24"/>
              </w:rPr>
              <w:t>0</w:t>
            </w:r>
          </w:p>
        </w:tc>
      </w:tr>
      <w:tr w:rsidR="00F0460C" w:rsidTr="0007764E">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地点</w:t>
            </w:r>
          </w:p>
        </w:tc>
        <w:tc>
          <w:tcPr>
            <w:tcW w:w="6345" w:type="dxa"/>
            <w:shd w:val="clear" w:color="auto" w:fill="auto"/>
            <w:vAlign w:val="center"/>
          </w:tcPr>
          <w:p w:rsidR="00F0460C" w:rsidRPr="005E245B" w:rsidRDefault="00A869B2" w:rsidP="0007764E">
            <w:pPr>
              <w:spacing w:line="0" w:lineRule="atLeast"/>
              <w:jc w:val="left"/>
              <w:rPr>
                <w:rFonts w:ascii="宋体" w:hAnsi="宋体"/>
                <w:bCs/>
                <w:iCs/>
                <w:szCs w:val="24"/>
              </w:rPr>
            </w:pPr>
            <w:r w:rsidRPr="000C045E">
              <w:rPr>
                <w:rFonts w:ascii="宋体" w:hAnsi="宋体" w:hint="eastAsia"/>
                <w:color w:val="000000"/>
                <w:sz w:val="22"/>
                <w:szCs w:val="18"/>
              </w:rPr>
              <w:t>上</w:t>
            </w:r>
            <w:proofErr w:type="gramStart"/>
            <w:r w:rsidRPr="000C045E">
              <w:rPr>
                <w:rFonts w:ascii="宋体" w:hAnsi="宋体" w:hint="eastAsia"/>
                <w:color w:val="000000"/>
                <w:sz w:val="22"/>
                <w:szCs w:val="18"/>
              </w:rPr>
              <w:t>证</w:t>
            </w:r>
            <w:r w:rsidRPr="000C045E">
              <w:rPr>
                <w:rFonts w:ascii="宋体" w:hAnsi="宋体"/>
                <w:color w:val="000000"/>
                <w:sz w:val="22"/>
                <w:szCs w:val="18"/>
              </w:rPr>
              <w:t>路演中心</w:t>
            </w:r>
            <w:proofErr w:type="gramEnd"/>
            <w:r w:rsidRPr="000C045E">
              <w:rPr>
                <w:rFonts w:ascii="宋体" w:hAnsi="宋体"/>
                <w:color w:val="000000"/>
                <w:sz w:val="22"/>
                <w:szCs w:val="18"/>
              </w:rPr>
              <w:t>网络互动</w:t>
            </w:r>
          </w:p>
        </w:tc>
      </w:tr>
      <w:tr w:rsidR="00F0460C" w:rsidTr="00FE71B8">
        <w:trPr>
          <w:jc w:val="center"/>
        </w:trPr>
        <w:tc>
          <w:tcPr>
            <w:tcW w:w="1730" w:type="dxa"/>
            <w:shd w:val="clear" w:color="auto" w:fill="auto"/>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上市公司接待人员姓名</w:t>
            </w:r>
          </w:p>
        </w:tc>
        <w:tc>
          <w:tcPr>
            <w:tcW w:w="6345" w:type="dxa"/>
            <w:shd w:val="clear" w:color="auto" w:fill="auto"/>
          </w:tcPr>
          <w:p w:rsidR="0007764E" w:rsidRDefault="0007764E" w:rsidP="0007764E">
            <w:pPr>
              <w:rPr>
                <w:rFonts w:ascii="宋体" w:hAnsi="宋体"/>
                <w:bCs/>
                <w:iCs/>
                <w:szCs w:val="24"/>
              </w:rPr>
            </w:pPr>
            <w:r>
              <w:rPr>
                <w:rFonts w:ascii="宋体" w:hAnsi="宋体" w:hint="eastAsia"/>
                <w:bCs/>
                <w:iCs/>
                <w:szCs w:val="24"/>
              </w:rPr>
              <w:t>总经理</w:t>
            </w:r>
            <w:r w:rsidR="00A869B2">
              <w:rPr>
                <w:rFonts w:ascii="宋体" w:hAnsi="宋体" w:hint="eastAsia"/>
                <w:bCs/>
                <w:iCs/>
                <w:szCs w:val="24"/>
              </w:rPr>
              <w:t>曾海屏</w:t>
            </w:r>
            <w:r>
              <w:rPr>
                <w:rFonts w:ascii="宋体" w:hAnsi="宋体" w:hint="eastAsia"/>
                <w:bCs/>
                <w:iCs/>
                <w:szCs w:val="24"/>
              </w:rPr>
              <w:t>；</w:t>
            </w:r>
          </w:p>
          <w:p w:rsidR="0007764E" w:rsidRDefault="001B6EB7" w:rsidP="0007764E">
            <w:pPr>
              <w:rPr>
                <w:rFonts w:ascii="宋体" w:hAnsi="宋体"/>
                <w:bCs/>
                <w:iCs/>
                <w:szCs w:val="24"/>
              </w:rPr>
            </w:pPr>
            <w:r w:rsidRPr="005E245B">
              <w:rPr>
                <w:rFonts w:ascii="宋体" w:hAnsi="宋体"/>
                <w:bCs/>
                <w:iCs/>
                <w:szCs w:val="24"/>
              </w:rPr>
              <w:t>财务总监</w:t>
            </w:r>
            <w:r w:rsidR="008068AF">
              <w:rPr>
                <w:rFonts w:ascii="宋体" w:hAnsi="宋体" w:hint="eastAsia"/>
                <w:bCs/>
                <w:iCs/>
                <w:szCs w:val="24"/>
              </w:rPr>
              <w:t>夏运兰</w:t>
            </w:r>
            <w:r w:rsidRPr="005E245B">
              <w:rPr>
                <w:rFonts w:ascii="宋体" w:hAnsi="宋体" w:hint="eastAsia"/>
                <w:bCs/>
                <w:iCs/>
                <w:szCs w:val="24"/>
              </w:rPr>
              <w:t>；</w:t>
            </w:r>
          </w:p>
          <w:p w:rsidR="008068AF" w:rsidRPr="008068AF" w:rsidRDefault="008068AF" w:rsidP="0007764E">
            <w:pPr>
              <w:rPr>
                <w:rFonts w:ascii="宋体" w:hAnsi="宋体"/>
                <w:bCs/>
                <w:iCs/>
                <w:szCs w:val="24"/>
              </w:rPr>
            </w:pPr>
            <w:r>
              <w:rPr>
                <w:rFonts w:ascii="宋体" w:hAnsi="宋体"/>
                <w:bCs/>
                <w:iCs/>
                <w:szCs w:val="24"/>
              </w:rPr>
              <w:t>董事会秘书钟情思；</w:t>
            </w:r>
          </w:p>
          <w:p w:rsidR="00F0460C" w:rsidRPr="005E245B" w:rsidRDefault="00A869B2" w:rsidP="0007764E">
            <w:pPr>
              <w:rPr>
                <w:rFonts w:ascii="宋体" w:hAnsi="宋体"/>
                <w:bCs/>
                <w:iCs/>
                <w:szCs w:val="24"/>
              </w:rPr>
            </w:pPr>
            <w:r>
              <w:rPr>
                <w:rFonts w:ascii="宋体" w:hAnsi="宋体" w:hint="eastAsia"/>
                <w:bCs/>
                <w:iCs/>
                <w:szCs w:val="24"/>
              </w:rPr>
              <w:t>独立董事牟小容</w:t>
            </w:r>
          </w:p>
        </w:tc>
      </w:tr>
      <w:tr w:rsidR="00F0460C" w:rsidTr="00FE71B8">
        <w:trPr>
          <w:trHeight w:val="1757"/>
          <w:jc w:val="center"/>
        </w:trPr>
        <w:tc>
          <w:tcPr>
            <w:tcW w:w="1730" w:type="dxa"/>
            <w:shd w:val="clear" w:color="auto" w:fill="auto"/>
            <w:vAlign w:val="center"/>
          </w:tcPr>
          <w:p w:rsidR="00F0460C" w:rsidRPr="007840CC" w:rsidRDefault="001B6EB7" w:rsidP="00521654">
            <w:pPr>
              <w:rPr>
                <w:rFonts w:ascii="宋体" w:hAnsi="宋体"/>
                <w:b/>
                <w:bCs/>
                <w:iCs/>
                <w:szCs w:val="24"/>
              </w:rPr>
            </w:pPr>
            <w:r w:rsidRPr="007840CC">
              <w:rPr>
                <w:rFonts w:ascii="宋体" w:hAnsi="宋体" w:hint="eastAsia"/>
                <w:b/>
                <w:bCs/>
                <w:iCs/>
                <w:szCs w:val="24"/>
              </w:rPr>
              <w:t>投资者关系活动主要内容介绍</w:t>
            </w:r>
          </w:p>
          <w:p w:rsidR="00F0460C" w:rsidRPr="00521654" w:rsidRDefault="00F0460C" w:rsidP="00521654">
            <w:pPr>
              <w:rPr>
                <w:rFonts w:ascii="宋体" w:hAnsi="宋体"/>
                <w:bCs/>
                <w:iCs/>
                <w:szCs w:val="24"/>
              </w:rPr>
            </w:pPr>
          </w:p>
        </w:tc>
        <w:tc>
          <w:tcPr>
            <w:tcW w:w="6345" w:type="dxa"/>
            <w:shd w:val="clear" w:color="auto" w:fill="auto"/>
          </w:tcPr>
          <w:p w:rsidR="007840CC" w:rsidRPr="007840CC" w:rsidRDefault="007840CC" w:rsidP="007840CC">
            <w:pPr>
              <w:rPr>
                <w:rFonts w:ascii="宋体" w:hAnsi="宋体"/>
                <w:bCs/>
                <w:iCs/>
                <w:szCs w:val="24"/>
              </w:rPr>
            </w:pPr>
            <w:r>
              <w:rPr>
                <w:rFonts w:ascii="宋体" w:hAnsi="宋体"/>
                <w:bCs/>
                <w:iCs/>
                <w:szCs w:val="24"/>
              </w:rPr>
              <w:t>一、</w:t>
            </w:r>
            <w:r w:rsidR="003C099F" w:rsidRPr="003C099F">
              <w:rPr>
                <w:rFonts w:ascii="宋体" w:hAnsi="宋体" w:hint="eastAsia"/>
                <w:bCs/>
                <w:iCs/>
                <w:szCs w:val="24"/>
              </w:rPr>
              <w:t>同比净利润亏损下跌是何原因导致，有什么措施</w:t>
            </w:r>
            <w:r w:rsidRPr="007840CC">
              <w:rPr>
                <w:rFonts w:ascii="宋体" w:hAnsi="宋体"/>
                <w:bCs/>
                <w:iCs/>
                <w:szCs w:val="24"/>
              </w:rPr>
              <w:t>？</w:t>
            </w:r>
          </w:p>
          <w:p w:rsidR="003C099F" w:rsidRPr="003C099F" w:rsidRDefault="007840CC" w:rsidP="003C099F">
            <w:pPr>
              <w:ind w:firstLineChars="200" w:firstLine="420"/>
              <w:rPr>
                <w:rFonts w:ascii="宋体" w:hAnsi="宋体" w:hint="eastAsia"/>
                <w:bCs/>
                <w:iCs/>
                <w:szCs w:val="24"/>
              </w:rPr>
            </w:pPr>
            <w:r>
              <w:rPr>
                <w:rFonts w:ascii="宋体" w:hAnsi="宋体" w:hint="eastAsia"/>
                <w:bCs/>
                <w:iCs/>
                <w:szCs w:val="24"/>
              </w:rPr>
              <w:t>回复：</w:t>
            </w:r>
            <w:r w:rsidR="003C099F" w:rsidRPr="003C099F">
              <w:rPr>
                <w:rFonts w:ascii="宋体" w:hAnsi="宋体" w:hint="eastAsia"/>
                <w:bCs/>
                <w:iCs/>
                <w:szCs w:val="24"/>
              </w:rPr>
              <w:t>尊敬的投资者：</w:t>
            </w:r>
          </w:p>
          <w:p w:rsidR="003C099F" w:rsidRPr="003C099F" w:rsidRDefault="003C099F" w:rsidP="003C099F">
            <w:pPr>
              <w:ind w:firstLineChars="200" w:firstLine="420"/>
              <w:rPr>
                <w:rFonts w:ascii="宋体" w:hAnsi="宋体" w:hint="eastAsia"/>
                <w:bCs/>
                <w:iCs/>
                <w:szCs w:val="24"/>
              </w:rPr>
            </w:pPr>
            <w:r w:rsidRPr="003C099F">
              <w:rPr>
                <w:rFonts w:ascii="宋体" w:hAnsi="宋体" w:hint="eastAsia"/>
                <w:bCs/>
                <w:iCs/>
                <w:szCs w:val="24"/>
              </w:rPr>
              <w:t>您好！汽车产业发展与汽车零部件供应链物流行业的发展存在正相关性，其市场规模及变化情况直接影响着汽车零部件供应链物流行业的发展变化。2023年1-9月，公司归属于上市公司股东的净利润为-13,578,982.68元，同比下降143.50%。主要是因为（1）上年同期收到 2020 年全额计提信用减值损失的应收账款及利息 1,420.00万元；（2）受主要客户产销量下降的影响及部分项目毛利较低，综合毛利率下降。</w:t>
            </w:r>
          </w:p>
          <w:p w:rsidR="00075348" w:rsidRDefault="003C099F" w:rsidP="003C099F">
            <w:pPr>
              <w:ind w:firstLineChars="200" w:firstLine="420"/>
              <w:rPr>
                <w:rFonts w:ascii="宋体" w:hAnsi="宋体"/>
                <w:bCs/>
                <w:iCs/>
                <w:szCs w:val="24"/>
              </w:rPr>
            </w:pPr>
            <w:r w:rsidRPr="003C099F">
              <w:rPr>
                <w:rFonts w:ascii="宋体" w:hAnsi="宋体" w:hint="eastAsia"/>
                <w:bCs/>
                <w:iCs/>
                <w:szCs w:val="24"/>
              </w:rPr>
              <w:t>2023年，汽车产业发展格局发生深刻变化，行业向新能源化和智能化的转型持续深度推进，受此影响，传统燃油汽车产品经营压力剧增。面对复杂严峻的市场环境，公司董事会、管理层和全体员工迎难而上、主动作为，坚持“存量”、“增量”两手抓，以稳定生产经营，保持存量业务的健康发展；同时，公司对外大力开拓增量业务，对内深入推进降本行动，持续提升经营管理能力和公司治理水平，提质增效，练好内功，谋局未来。感谢您的关注！</w:t>
            </w:r>
          </w:p>
          <w:p w:rsidR="007840CC" w:rsidRPr="003C099F" w:rsidRDefault="007840CC" w:rsidP="007840CC">
            <w:pPr>
              <w:rPr>
                <w:rFonts w:ascii="宋体" w:hAnsi="宋体"/>
                <w:bCs/>
                <w:iCs/>
                <w:szCs w:val="24"/>
              </w:rPr>
            </w:pPr>
            <w:r>
              <w:rPr>
                <w:rFonts w:ascii="宋体" w:hAnsi="宋体"/>
                <w:bCs/>
                <w:iCs/>
                <w:szCs w:val="24"/>
              </w:rPr>
              <w:t>二、</w:t>
            </w:r>
            <w:r w:rsidR="003C099F" w:rsidRPr="003C099F">
              <w:rPr>
                <w:rFonts w:ascii="宋体" w:hAnsi="宋体" w:hint="eastAsia"/>
                <w:bCs/>
                <w:iCs/>
                <w:szCs w:val="24"/>
              </w:rPr>
              <w:t>公司的业务收入分为哪几个板块？</w:t>
            </w:r>
          </w:p>
          <w:p w:rsidR="003C099F" w:rsidRDefault="007840CC" w:rsidP="003C099F">
            <w:pPr>
              <w:ind w:firstLineChars="200" w:firstLine="420"/>
              <w:rPr>
                <w:rFonts w:ascii="宋体" w:hAnsi="宋体"/>
                <w:bCs/>
                <w:iCs/>
                <w:szCs w:val="24"/>
              </w:rPr>
            </w:pPr>
            <w:r>
              <w:rPr>
                <w:rFonts w:ascii="宋体" w:hAnsi="宋体"/>
                <w:bCs/>
                <w:iCs/>
                <w:szCs w:val="24"/>
              </w:rPr>
              <w:t>回复：</w:t>
            </w:r>
            <w:r w:rsidR="003C099F" w:rsidRPr="003C099F">
              <w:rPr>
                <w:rFonts w:ascii="宋体" w:hAnsi="宋体" w:hint="eastAsia"/>
                <w:bCs/>
                <w:iCs/>
                <w:szCs w:val="24"/>
              </w:rPr>
              <w:t>尊敬的投资者：</w:t>
            </w:r>
          </w:p>
          <w:p w:rsidR="007840CC" w:rsidRPr="007840CC" w:rsidRDefault="003C099F" w:rsidP="003C099F">
            <w:pPr>
              <w:ind w:firstLineChars="200" w:firstLine="420"/>
              <w:rPr>
                <w:rFonts w:ascii="宋体" w:hAnsi="宋体" w:hint="eastAsia"/>
                <w:bCs/>
                <w:iCs/>
                <w:szCs w:val="24"/>
              </w:rPr>
            </w:pPr>
            <w:r w:rsidRPr="003C099F">
              <w:rPr>
                <w:rFonts w:ascii="宋体" w:hAnsi="宋体" w:hint="eastAsia"/>
                <w:bCs/>
                <w:iCs/>
                <w:szCs w:val="24"/>
              </w:rPr>
              <w:t>您好！公司的业务收入按产品分类，包含综合物流服务及租赁服务、物流设备销售及保险代理业务。综合物流服务及租赁服务包含运输配送服务、装卸服务、租赁服务、仓储及其它增值服务。感谢</w:t>
            </w:r>
            <w:r w:rsidRPr="003C099F">
              <w:rPr>
                <w:rFonts w:ascii="宋体" w:hAnsi="宋体" w:hint="eastAsia"/>
                <w:bCs/>
                <w:iCs/>
                <w:szCs w:val="24"/>
              </w:rPr>
              <w:lastRenderedPageBreak/>
              <w:t>您的关注！</w:t>
            </w:r>
            <w:r w:rsidRPr="007840CC">
              <w:rPr>
                <w:rFonts w:ascii="宋体" w:hAnsi="宋体"/>
                <w:bCs/>
                <w:iCs/>
                <w:szCs w:val="24"/>
              </w:rPr>
              <w:t xml:space="preserve"> </w:t>
            </w:r>
          </w:p>
        </w:tc>
      </w:tr>
      <w:tr w:rsidR="00F0460C" w:rsidTr="00FE71B8">
        <w:trPr>
          <w:jc w:val="center"/>
        </w:trPr>
        <w:tc>
          <w:tcPr>
            <w:tcW w:w="1730" w:type="dxa"/>
            <w:shd w:val="clear" w:color="auto" w:fill="auto"/>
            <w:vAlign w:val="center"/>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lastRenderedPageBreak/>
              <w:t>附件清单（如有）</w:t>
            </w:r>
          </w:p>
        </w:tc>
        <w:tc>
          <w:tcPr>
            <w:tcW w:w="6345" w:type="dxa"/>
            <w:shd w:val="clear" w:color="auto" w:fill="auto"/>
          </w:tcPr>
          <w:p w:rsidR="00F0460C" w:rsidRDefault="001B6EB7">
            <w:pPr>
              <w:spacing w:line="480" w:lineRule="atLeast"/>
              <w:rPr>
                <w:rFonts w:ascii="宋体" w:hAnsi="宋体"/>
                <w:bCs/>
                <w:iCs/>
                <w:sz w:val="24"/>
                <w:szCs w:val="24"/>
              </w:rPr>
            </w:pPr>
            <w:r>
              <w:rPr>
                <w:rFonts w:ascii="宋体" w:hAnsi="宋体" w:hint="eastAsia"/>
                <w:bCs/>
                <w:iCs/>
                <w:sz w:val="24"/>
                <w:szCs w:val="24"/>
              </w:rPr>
              <w:t>无</w:t>
            </w:r>
            <w:bookmarkStart w:id="0" w:name="_GoBack"/>
            <w:bookmarkEnd w:id="0"/>
          </w:p>
        </w:tc>
      </w:tr>
      <w:tr w:rsidR="00F0460C" w:rsidTr="00FE71B8">
        <w:trPr>
          <w:jc w:val="center"/>
        </w:trPr>
        <w:tc>
          <w:tcPr>
            <w:tcW w:w="1730" w:type="dxa"/>
            <w:shd w:val="clear" w:color="auto" w:fill="auto"/>
            <w:vAlign w:val="center"/>
          </w:tcPr>
          <w:p w:rsidR="00F0460C" w:rsidRPr="00AF007A" w:rsidRDefault="001B6EB7">
            <w:pPr>
              <w:spacing w:line="480" w:lineRule="atLeast"/>
              <w:rPr>
                <w:rFonts w:ascii="宋体" w:hAnsi="宋体"/>
                <w:b/>
                <w:bCs/>
                <w:iCs/>
                <w:sz w:val="22"/>
                <w:szCs w:val="24"/>
              </w:rPr>
            </w:pPr>
            <w:r w:rsidRPr="00AF007A">
              <w:rPr>
                <w:rFonts w:ascii="宋体" w:hAnsi="宋体" w:hint="eastAsia"/>
                <w:b/>
                <w:bCs/>
                <w:iCs/>
                <w:sz w:val="22"/>
                <w:szCs w:val="24"/>
              </w:rPr>
              <w:t>日期</w:t>
            </w:r>
          </w:p>
        </w:tc>
        <w:tc>
          <w:tcPr>
            <w:tcW w:w="6345" w:type="dxa"/>
            <w:shd w:val="clear" w:color="auto" w:fill="auto"/>
          </w:tcPr>
          <w:p w:rsidR="00F0460C" w:rsidRDefault="001B6EB7" w:rsidP="00075348">
            <w:pPr>
              <w:spacing w:line="480" w:lineRule="atLeast"/>
              <w:rPr>
                <w:rFonts w:ascii="宋体" w:hAnsi="宋体"/>
                <w:bCs/>
                <w:iCs/>
                <w:sz w:val="24"/>
                <w:szCs w:val="24"/>
              </w:rPr>
            </w:pPr>
            <w:r>
              <w:rPr>
                <w:rFonts w:ascii="宋体" w:hAnsi="宋体" w:hint="eastAsia"/>
                <w:bCs/>
                <w:iCs/>
                <w:sz w:val="24"/>
                <w:szCs w:val="24"/>
              </w:rPr>
              <w:t>20</w:t>
            </w:r>
            <w:r w:rsidR="00521654">
              <w:rPr>
                <w:rFonts w:ascii="宋体" w:hAnsi="宋体"/>
                <w:bCs/>
                <w:iCs/>
                <w:sz w:val="24"/>
                <w:szCs w:val="24"/>
              </w:rPr>
              <w:t>2</w:t>
            </w:r>
            <w:r w:rsidR="00B05217">
              <w:rPr>
                <w:rFonts w:ascii="宋体" w:hAnsi="宋体"/>
                <w:bCs/>
                <w:iCs/>
                <w:sz w:val="24"/>
                <w:szCs w:val="24"/>
              </w:rPr>
              <w:t>3</w:t>
            </w:r>
            <w:r>
              <w:rPr>
                <w:rFonts w:ascii="宋体" w:hAnsi="宋体" w:hint="eastAsia"/>
                <w:bCs/>
                <w:iCs/>
                <w:sz w:val="24"/>
                <w:szCs w:val="24"/>
              </w:rPr>
              <w:t>年</w:t>
            </w:r>
            <w:r w:rsidR="003C099F">
              <w:rPr>
                <w:rFonts w:ascii="宋体" w:hAnsi="宋体"/>
                <w:bCs/>
                <w:iCs/>
                <w:sz w:val="24"/>
                <w:szCs w:val="24"/>
              </w:rPr>
              <w:t>11</w:t>
            </w:r>
            <w:r>
              <w:rPr>
                <w:rFonts w:ascii="宋体" w:hAnsi="宋体" w:hint="eastAsia"/>
                <w:bCs/>
                <w:iCs/>
                <w:sz w:val="24"/>
                <w:szCs w:val="24"/>
              </w:rPr>
              <w:t>月</w:t>
            </w:r>
            <w:r w:rsidR="003C099F">
              <w:rPr>
                <w:rFonts w:ascii="宋体" w:hAnsi="宋体"/>
                <w:bCs/>
                <w:iCs/>
                <w:sz w:val="24"/>
                <w:szCs w:val="24"/>
              </w:rPr>
              <w:t>21</w:t>
            </w:r>
            <w:r>
              <w:rPr>
                <w:rFonts w:ascii="宋体" w:hAnsi="宋体" w:hint="eastAsia"/>
                <w:bCs/>
                <w:iCs/>
                <w:sz w:val="24"/>
                <w:szCs w:val="24"/>
              </w:rPr>
              <w:t>日</w:t>
            </w:r>
          </w:p>
        </w:tc>
      </w:tr>
    </w:tbl>
    <w:p w:rsidR="00F0460C" w:rsidRDefault="00F0460C">
      <w:pPr>
        <w:ind w:firstLineChars="200" w:firstLine="480"/>
        <w:rPr>
          <w:sz w:val="24"/>
          <w:szCs w:val="24"/>
        </w:rPr>
      </w:pPr>
    </w:p>
    <w:p w:rsidR="00F0460C" w:rsidRDefault="00F0460C"/>
    <w:p w:rsidR="00F0460C" w:rsidRDefault="00F0460C"/>
    <w:sectPr w:rsidR="00F0460C">
      <w:headerReference w:type="default" r:id="rId9"/>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CC" w:rsidRDefault="00EC5CCC">
      <w:r>
        <w:separator/>
      </w:r>
    </w:p>
  </w:endnote>
  <w:endnote w:type="continuationSeparator" w:id="0">
    <w:p w:rsidR="00EC5CCC" w:rsidRDefault="00EC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CC" w:rsidRDefault="00EC5CCC">
      <w:r>
        <w:separator/>
      </w:r>
    </w:p>
  </w:footnote>
  <w:footnote w:type="continuationSeparator" w:id="0">
    <w:p w:rsidR="00EC5CCC" w:rsidRDefault="00EC5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60C" w:rsidRDefault="001B6EB7">
    <w:pPr>
      <w:pStyle w:val="a7"/>
      <w:rPr>
        <w:rFonts w:ascii="宋体" w:hAnsi="宋体"/>
        <w:bCs/>
        <w:iCs/>
        <w:sz w:val="21"/>
        <w:szCs w:val="21"/>
      </w:rPr>
    </w:pPr>
    <w:r>
      <w:rPr>
        <w:rFonts w:ascii="宋体" w:hAnsi="宋体" w:hint="eastAsia"/>
        <w:bCs/>
        <w:iCs/>
        <w:sz w:val="21"/>
        <w:szCs w:val="21"/>
      </w:rPr>
      <w:t>证券代码：60</w:t>
    </w:r>
    <w:r>
      <w:rPr>
        <w:rFonts w:ascii="宋体" w:hAnsi="宋体"/>
        <w:bCs/>
        <w:iCs/>
        <w:sz w:val="21"/>
        <w:szCs w:val="21"/>
      </w:rPr>
      <w:t>3</w:t>
    </w:r>
    <w:r>
      <w:rPr>
        <w:rFonts w:ascii="宋体" w:hAnsi="宋体" w:hint="eastAsia"/>
        <w:bCs/>
        <w:iCs/>
        <w:sz w:val="21"/>
        <w:szCs w:val="21"/>
      </w:rPr>
      <w:t>813</w:t>
    </w:r>
    <w:r>
      <w:rPr>
        <w:rFonts w:ascii="宋体" w:hAnsi="宋体"/>
        <w:bCs/>
        <w:iCs/>
        <w:sz w:val="21"/>
        <w:szCs w:val="21"/>
      </w:rPr>
      <w:t xml:space="preserve">                           </w:t>
    </w:r>
    <w:r>
      <w:rPr>
        <w:rFonts w:ascii="宋体" w:hAnsi="宋体" w:hint="eastAsia"/>
        <w:bCs/>
        <w:iCs/>
        <w:sz w:val="21"/>
        <w:szCs w:val="21"/>
      </w:rPr>
      <w:t xml:space="preserve">         证券简称：原尚</w:t>
    </w:r>
    <w:r>
      <w:rPr>
        <w:rFonts w:ascii="宋体" w:hAnsi="宋体"/>
        <w:bCs/>
        <w:iCs/>
        <w:sz w:val="21"/>
        <w:szCs w:val="21"/>
      </w:rPr>
      <w:t>股份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C3386"/>
    <w:multiLevelType w:val="hybridMultilevel"/>
    <w:tmpl w:val="0BCA8F92"/>
    <w:lvl w:ilvl="0" w:tplc="9642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A57973"/>
    <w:multiLevelType w:val="hybridMultilevel"/>
    <w:tmpl w:val="B732690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7C4C3549"/>
    <w:multiLevelType w:val="hybridMultilevel"/>
    <w:tmpl w:val="7A50C89C"/>
    <w:lvl w:ilvl="0" w:tplc="5358C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18"/>
    <w:rsid w:val="000157FD"/>
    <w:rsid w:val="000245CA"/>
    <w:rsid w:val="00075348"/>
    <w:rsid w:val="000754B4"/>
    <w:rsid w:val="0007764E"/>
    <w:rsid w:val="00080F2B"/>
    <w:rsid w:val="00090B1F"/>
    <w:rsid w:val="000A31DA"/>
    <w:rsid w:val="000A5752"/>
    <w:rsid w:val="000A7E4A"/>
    <w:rsid w:val="000D00C7"/>
    <w:rsid w:val="000D3A79"/>
    <w:rsid w:val="000F18AF"/>
    <w:rsid w:val="001024E5"/>
    <w:rsid w:val="00106147"/>
    <w:rsid w:val="00114D6E"/>
    <w:rsid w:val="00130C40"/>
    <w:rsid w:val="00137993"/>
    <w:rsid w:val="00155B3C"/>
    <w:rsid w:val="00164AE4"/>
    <w:rsid w:val="00174F18"/>
    <w:rsid w:val="00175757"/>
    <w:rsid w:val="00194834"/>
    <w:rsid w:val="001A467E"/>
    <w:rsid w:val="001B6EB7"/>
    <w:rsid w:val="001D6BFE"/>
    <w:rsid w:val="001F04CC"/>
    <w:rsid w:val="001F4DDD"/>
    <w:rsid w:val="00214491"/>
    <w:rsid w:val="002312D7"/>
    <w:rsid w:val="00231727"/>
    <w:rsid w:val="00232BC1"/>
    <w:rsid w:val="0025317F"/>
    <w:rsid w:val="00273315"/>
    <w:rsid w:val="002B5745"/>
    <w:rsid w:val="002D1265"/>
    <w:rsid w:val="002D200D"/>
    <w:rsid w:val="002D7DA7"/>
    <w:rsid w:val="003063E5"/>
    <w:rsid w:val="0035062B"/>
    <w:rsid w:val="003542D7"/>
    <w:rsid w:val="00371229"/>
    <w:rsid w:val="00395D4D"/>
    <w:rsid w:val="003C099F"/>
    <w:rsid w:val="003E7D85"/>
    <w:rsid w:val="003F4018"/>
    <w:rsid w:val="00465489"/>
    <w:rsid w:val="00474FCD"/>
    <w:rsid w:val="0047613C"/>
    <w:rsid w:val="004933DD"/>
    <w:rsid w:val="00495234"/>
    <w:rsid w:val="00497936"/>
    <w:rsid w:val="004B5764"/>
    <w:rsid w:val="004C1FA0"/>
    <w:rsid w:val="004C698B"/>
    <w:rsid w:val="004E2B0F"/>
    <w:rsid w:val="004F7CD7"/>
    <w:rsid w:val="00521654"/>
    <w:rsid w:val="00532CF0"/>
    <w:rsid w:val="00550366"/>
    <w:rsid w:val="00570004"/>
    <w:rsid w:val="005821BB"/>
    <w:rsid w:val="005A53BA"/>
    <w:rsid w:val="005C5403"/>
    <w:rsid w:val="005E245B"/>
    <w:rsid w:val="005F359B"/>
    <w:rsid w:val="00612EFB"/>
    <w:rsid w:val="0061358F"/>
    <w:rsid w:val="00642CF8"/>
    <w:rsid w:val="00684FFB"/>
    <w:rsid w:val="00686ADF"/>
    <w:rsid w:val="006870FD"/>
    <w:rsid w:val="006C2175"/>
    <w:rsid w:val="006D524A"/>
    <w:rsid w:val="006F5D79"/>
    <w:rsid w:val="0072048B"/>
    <w:rsid w:val="007840CC"/>
    <w:rsid w:val="007C57FF"/>
    <w:rsid w:val="007D2B6B"/>
    <w:rsid w:val="007D371E"/>
    <w:rsid w:val="007E334D"/>
    <w:rsid w:val="007E6C40"/>
    <w:rsid w:val="008068AF"/>
    <w:rsid w:val="00817A24"/>
    <w:rsid w:val="00821EFA"/>
    <w:rsid w:val="008403C3"/>
    <w:rsid w:val="008622BA"/>
    <w:rsid w:val="00877D67"/>
    <w:rsid w:val="008865DC"/>
    <w:rsid w:val="008A0B53"/>
    <w:rsid w:val="008A7858"/>
    <w:rsid w:val="008B3FE2"/>
    <w:rsid w:val="0090042E"/>
    <w:rsid w:val="00901BC6"/>
    <w:rsid w:val="00907334"/>
    <w:rsid w:val="00923FA7"/>
    <w:rsid w:val="0093497B"/>
    <w:rsid w:val="00947DE7"/>
    <w:rsid w:val="0098031D"/>
    <w:rsid w:val="0099128B"/>
    <w:rsid w:val="009B52CC"/>
    <w:rsid w:val="009F28EC"/>
    <w:rsid w:val="00A1617C"/>
    <w:rsid w:val="00A51181"/>
    <w:rsid w:val="00A767D4"/>
    <w:rsid w:val="00A8341B"/>
    <w:rsid w:val="00A869B2"/>
    <w:rsid w:val="00AD039E"/>
    <w:rsid w:val="00AE4E56"/>
    <w:rsid w:val="00AF007A"/>
    <w:rsid w:val="00B05217"/>
    <w:rsid w:val="00B241D3"/>
    <w:rsid w:val="00B352B6"/>
    <w:rsid w:val="00B469A1"/>
    <w:rsid w:val="00B504EB"/>
    <w:rsid w:val="00B5472E"/>
    <w:rsid w:val="00B763CB"/>
    <w:rsid w:val="00B94D07"/>
    <w:rsid w:val="00BA1952"/>
    <w:rsid w:val="00BD096D"/>
    <w:rsid w:val="00BF0C27"/>
    <w:rsid w:val="00C17D24"/>
    <w:rsid w:val="00C4184D"/>
    <w:rsid w:val="00C44543"/>
    <w:rsid w:val="00C50940"/>
    <w:rsid w:val="00C56033"/>
    <w:rsid w:val="00C73448"/>
    <w:rsid w:val="00C73756"/>
    <w:rsid w:val="00C84344"/>
    <w:rsid w:val="00CB7B99"/>
    <w:rsid w:val="00CC384A"/>
    <w:rsid w:val="00CD74DE"/>
    <w:rsid w:val="00D336F2"/>
    <w:rsid w:val="00D70F87"/>
    <w:rsid w:val="00D96D7C"/>
    <w:rsid w:val="00DA1244"/>
    <w:rsid w:val="00DA214C"/>
    <w:rsid w:val="00DC3BE2"/>
    <w:rsid w:val="00DF0471"/>
    <w:rsid w:val="00DF4543"/>
    <w:rsid w:val="00E0677D"/>
    <w:rsid w:val="00E07EE9"/>
    <w:rsid w:val="00E109A7"/>
    <w:rsid w:val="00E23FD0"/>
    <w:rsid w:val="00E40C1C"/>
    <w:rsid w:val="00E44458"/>
    <w:rsid w:val="00E50677"/>
    <w:rsid w:val="00E52047"/>
    <w:rsid w:val="00E763EC"/>
    <w:rsid w:val="00E80118"/>
    <w:rsid w:val="00EC5CCC"/>
    <w:rsid w:val="00ED0FC2"/>
    <w:rsid w:val="00EF2C4F"/>
    <w:rsid w:val="00F0460C"/>
    <w:rsid w:val="00F173A2"/>
    <w:rsid w:val="00F2542C"/>
    <w:rsid w:val="00F30B51"/>
    <w:rsid w:val="00F54E81"/>
    <w:rsid w:val="00F737B7"/>
    <w:rsid w:val="00F83012"/>
    <w:rsid w:val="00FC1517"/>
    <w:rsid w:val="00FC29B2"/>
    <w:rsid w:val="00FC51E6"/>
    <w:rsid w:val="00FD3B33"/>
    <w:rsid w:val="00FD68D8"/>
    <w:rsid w:val="00FE1FAD"/>
    <w:rsid w:val="00FE71B8"/>
    <w:rsid w:val="00FF1193"/>
    <w:rsid w:val="47C003E5"/>
    <w:rsid w:val="6B7A1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B02ED-46AA-42DA-BE7E-7D5A7DF9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hAnsi="Times New Roman"/>
      <w:kern w:val="2"/>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批注框文本 Char"/>
    <w:basedOn w:val="a0"/>
    <w:link w:val="a5"/>
    <w:uiPriority w:val="99"/>
    <w:semiHidden/>
    <w:qFormat/>
    <w:rPr>
      <w:rFonts w:ascii="Times New Roman" w:hAnsi="Times New Roman"/>
      <w:kern w:val="2"/>
      <w:sz w:val="18"/>
      <w:szCs w:val="18"/>
    </w:rPr>
  </w:style>
  <w:style w:type="character" w:customStyle="1" w:styleId="Char0">
    <w:name w:val="批注文字 Char"/>
    <w:basedOn w:val="a0"/>
    <w:link w:val="a4"/>
    <w:uiPriority w:val="99"/>
    <w:semiHidden/>
    <w:rPr>
      <w:rFonts w:ascii="Times New Roman" w:hAnsi="Times New Roman"/>
      <w:kern w:val="2"/>
      <w:sz w:val="21"/>
    </w:rPr>
  </w:style>
  <w:style w:type="character" w:customStyle="1" w:styleId="Char">
    <w:name w:val="批注主题 Char"/>
    <w:basedOn w:val="Char0"/>
    <w:link w:val="a3"/>
    <w:uiPriority w:val="99"/>
    <w:semiHidden/>
    <w:rPr>
      <w:rFonts w:ascii="Times New Roman" w:hAnsi="Times New Roman"/>
      <w:b/>
      <w:bCs/>
      <w:kern w:val="2"/>
      <w:sz w:val="21"/>
    </w:rPr>
  </w:style>
  <w:style w:type="paragraph" w:styleId="HTML">
    <w:name w:val="HTML Preformatted"/>
    <w:basedOn w:val="a"/>
    <w:link w:val="HTMLChar"/>
    <w:uiPriority w:val="99"/>
    <w:semiHidden/>
    <w:unhideWhenUsed/>
    <w:rsid w:val="00521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52165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62">
      <w:bodyDiv w:val="1"/>
      <w:marLeft w:val="0"/>
      <w:marRight w:val="0"/>
      <w:marTop w:val="0"/>
      <w:marBottom w:val="0"/>
      <w:divBdr>
        <w:top w:val="none" w:sz="0" w:space="0" w:color="auto"/>
        <w:left w:val="none" w:sz="0" w:space="0" w:color="auto"/>
        <w:bottom w:val="none" w:sz="0" w:space="0" w:color="auto"/>
        <w:right w:val="none" w:sz="0" w:space="0" w:color="auto"/>
      </w:divBdr>
    </w:div>
    <w:div w:id="56973357">
      <w:bodyDiv w:val="1"/>
      <w:marLeft w:val="0"/>
      <w:marRight w:val="0"/>
      <w:marTop w:val="0"/>
      <w:marBottom w:val="0"/>
      <w:divBdr>
        <w:top w:val="none" w:sz="0" w:space="0" w:color="auto"/>
        <w:left w:val="none" w:sz="0" w:space="0" w:color="auto"/>
        <w:bottom w:val="none" w:sz="0" w:space="0" w:color="auto"/>
        <w:right w:val="none" w:sz="0" w:space="0" w:color="auto"/>
      </w:divBdr>
    </w:div>
    <w:div w:id="171578308">
      <w:bodyDiv w:val="1"/>
      <w:marLeft w:val="0"/>
      <w:marRight w:val="0"/>
      <w:marTop w:val="0"/>
      <w:marBottom w:val="0"/>
      <w:divBdr>
        <w:top w:val="none" w:sz="0" w:space="0" w:color="auto"/>
        <w:left w:val="none" w:sz="0" w:space="0" w:color="auto"/>
        <w:bottom w:val="none" w:sz="0" w:space="0" w:color="auto"/>
        <w:right w:val="none" w:sz="0" w:space="0" w:color="auto"/>
      </w:divBdr>
    </w:div>
    <w:div w:id="252471733">
      <w:bodyDiv w:val="1"/>
      <w:marLeft w:val="0"/>
      <w:marRight w:val="0"/>
      <w:marTop w:val="0"/>
      <w:marBottom w:val="0"/>
      <w:divBdr>
        <w:top w:val="none" w:sz="0" w:space="0" w:color="auto"/>
        <w:left w:val="none" w:sz="0" w:space="0" w:color="auto"/>
        <w:bottom w:val="none" w:sz="0" w:space="0" w:color="auto"/>
        <w:right w:val="none" w:sz="0" w:space="0" w:color="auto"/>
      </w:divBdr>
    </w:div>
    <w:div w:id="734662099">
      <w:bodyDiv w:val="1"/>
      <w:marLeft w:val="0"/>
      <w:marRight w:val="0"/>
      <w:marTop w:val="0"/>
      <w:marBottom w:val="0"/>
      <w:divBdr>
        <w:top w:val="none" w:sz="0" w:space="0" w:color="auto"/>
        <w:left w:val="none" w:sz="0" w:space="0" w:color="auto"/>
        <w:bottom w:val="none" w:sz="0" w:space="0" w:color="auto"/>
        <w:right w:val="none" w:sz="0" w:space="0" w:color="auto"/>
      </w:divBdr>
    </w:div>
    <w:div w:id="754938573">
      <w:bodyDiv w:val="1"/>
      <w:marLeft w:val="0"/>
      <w:marRight w:val="0"/>
      <w:marTop w:val="0"/>
      <w:marBottom w:val="0"/>
      <w:divBdr>
        <w:top w:val="none" w:sz="0" w:space="0" w:color="auto"/>
        <w:left w:val="none" w:sz="0" w:space="0" w:color="auto"/>
        <w:bottom w:val="none" w:sz="0" w:space="0" w:color="auto"/>
        <w:right w:val="none" w:sz="0" w:space="0" w:color="auto"/>
      </w:divBdr>
    </w:div>
    <w:div w:id="818426049">
      <w:bodyDiv w:val="1"/>
      <w:marLeft w:val="0"/>
      <w:marRight w:val="0"/>
      <w:marTop w:val="0"/>
      <w:marBottom w:val="0"/>
      <w:divBdr>
        <w:top w:val="none" w:sz="0" w:space="0" w:color="auto"/>
        <w:left w:val="none" w:sz="0" w:space="0" w:color="auto"/>
        <w:bottom w:val="none" w:sz="0" w:space="0" w:color="auto"/>
        <w:right w:val="none" w:sz="0" w:space="0" w:color="auto"/>
      </w:divBdr>
    </w:div>
    <w:div w:id="819031109">
      <w:bodyDiv w:val="1"/>
      <w:marLeft w:val="0"/>
      <w:marRight w:val="0"/>
      <w:marTop w:val="0"/>
      <w:marBottom w:val="0"/>
      <w:divBdr>
        <w:top w:val="none" w:sz="0" w:space="0" w:color="auto"/>
        <w:left w:val="none" w:sz="0" w:space="0" w:color="auto"/>
        <w:bottom w:val="none" w:sz="0" w:space="0" w:color="auto"/>
        <w:right w:val="none" w:sz="0" w:space="0" w:color="auto"/>
      </w:divBdr>
    </w:div>
    <w:div w:id="842091598">
      <w:bodyDiv w:val="1"/>
      <w:marLeft w:val="0"/>
      <w:marRight w:val="0"/>
      <w:marTop w:val="0"/>
      <w:marBottom w:val="0"/>
      <w:divBdr>
        <w:top w:val="none" w:sz="0" w:space="0" w:color="auto"/>
        <w:left w:val="none" w:sz="0" w:space="0" w:color="auto"/>
        <w:bottom w:val="none" w:sz="0" w:space="0" w:color="auto"/>
        <w:right w:val="none" w:sz="0" w:space="0" w:color="auto"/>
      </w:divBdr>
    </w:div>
    <w:div w:id="914127222">
      <w:bodyDiv w:val="1"/>
      <w:marLeft w:val="0"/>
      <w:marRight w:val="0"/>
      <w:marTop w:val="0"/>
      <w:marBottom w:val="0"/>
      <w:divBdr>
        <w:top w:val="none" w:sz="0" w:space="0" w:color="auto"/>
        <w:left w:val="none" w:sz="0" w:space="0" w:color="auto"/>
        <w:bottom w:val="none" w:sz="0" w:space="0" w:color="auto"/>
        <w:right w:val="none" w:sz="0" w:space="0" w:color="auto"/>
      </w:divBdr>
    </w:div>
    <w:div w:id="942615927">
      <w:bodyDiv w:val="1"/>
      <w:marLeft w:val="0"/>
      <w:marRight w:val="0"/>
      <w:marTop w:val="0"/>
      <w:marBottom w:val="0"/>
      <w:divBdr>
        <w:top w:val="none" w:sz="0" w:space="0" w:color="auto"/>
        <w:left w:val="none" w:sz="0" w:space="0" w:color="auto"/>
        <w:bottom w:val="none" w:sz="0" w:space="0" w:color="auto"/>
        <w:right w:val="none" w:sz="0" w:space="0" w:color="auto"/>
      </w:divBdr>
    </w:div>
    <w:div w:id="1080373814">
      <w:bodyDiv w:val="1"/>
      <w:marLeft w:val="0"/>
      <w:marRight w:val="0"/>
      <w:marTop w:val="0"/>
      <w:marBottom w:val="0"/>
      <w:divBdr>
        <w:top w:val="none" w:sz="0" w:space="0" w:color="auto"/>
        <w:left w:val="none" w:sz="0" w:space="0" w:color="auto"/>
        <w:bottom w:val="none" w:sz="0" w:space="0" w:color="auto"/>
        <w:right w:val="none" w:sz="0" w:space="0" w:color="auto"/>
      </w:divBdr>
    </w:div>
    <w:div w:id="1118572545">
      <w:bodyDiv w:val="1"/>
      <w:marLeft w:val="0"/>
      <w:marRight w:val="0"/>
      <w:marTop w:val="0"/>
      <w:marBottom w:val="0"/>
      <w:divBdr>
        <w:top w:val="none" w:sz="0" w:space="0" w:color="auto"/>
        <w:left w:val="none" w:sz="0" w:space="0" w:color="auto"/>
        <w:bottom w:val="none" w:sz="0" w:space="0" w:color="auto"/>
        <w:right w:val="none" w:sz="0" w:space="0" w:color="auto"/>
      </w:divBdr>
    </w:div>
    <w:div w:id="1144351294">
      <w:bodyDiv w:val="1"/>
      <w:marLeft w:val="0"/>
      <w:marRight w:val="0"/>
      <w:marTop w:val="0"/>
      <w:marBottom w:val="0"/>
      <w:divBdr>
        <w:top w:val="none" w:sz="0" w:space="0" w:color="auto"/>
        <w:left w:val="none" w:sz="0" w:space="0" w:color="auto"/>
        <w:bottom w:val="none" w:sz="0" w:space="0" w:color="auto"/>
        <w:right w:val="none" w:sz="0" w:space="0" w:color="auto"/>
      </w:divBdr>
    </w:div>
    <w:div w:id="1248073563">
      <w:bodyDiv w:val="1"/>
      <w:marLeft w:val="0"/>
      <w:marRight w:val="0"/>
      <w:marTop w:val="0"/>
      <w:marBottom w:val="0"/>
      <w:divBdr>
        <w:top w:val="none" w:sz="0" w:space="0" w:color="auto"/>
        <w:left w:val="none" w:sz="0" w:space="0" w:color="auto"/>
        <w:bottom w:val="none" w:sz="0" w:space="0" w:color="auto"/>
        <w:right w:val="none" w:sz="0" w:space="0" w:color="auto"/>
      </w:divBdr>
    </w:div>
    <w:div w:id="1255435687">
      <w:bodyDiv w:val="1"/>
      <w:marLeft w:val="0"/>
      <w:marRight w:val="0"/>
      <w:marTop w:val="0"/>
      <w:marBottom w:val="0"/>
      <w:divBdr>
        <w:top w:val="none" w:sz="0" w:space="0" w:color="auto"/>
        <w:left w:val="none" w:sz="0" w:space="0" w:color="auto"/>
        <w:bottom w:val="none" w:sz="0" w:space="0" w:color="auto"/>
        <w:right w:val="none" w:sz="0" w:space="0" w:color="auto"/>
      </w:divBdr>
    </w:div>
    <w:div w:id="1333681921">
      <w:bodyDiv w:val="1"/>
      <w:marLeft w:val="0"/>
      <w:marRight w:val="0"/>
      <w:marTop w:val="0"/>
      <w:marBottom w:val="0"/>
      <w:divBdr>
        <w:top w:val="none" w:sz="0" w:space="0" w:color="auto"/>
        <w:left w:val="none" w:sz="0" w:space="0" w:color="auto"/>
        <w:bottom w:val="none" w:sz="0" w:space="0" w:color="auto"/>
        <w:right w:val="none" w:sz="0" w:space="0" w:color="auto"/>
      </w:divBdr>
    </w:div>
    <w:div w:id="1409184391">
      <w:bodyDiv w:val="1"/>
      <w:marLeft w:val="0"/>
      <w:marRight w:val="0"/>
      <w:marTop w:val="0"/>
      <w:marBottom w:val="0"/>
      <w:divBdr>
        <w:top w:val="none" w:sz="0" w:space="0" w:color="auto"/>
        <w:left w:val="none" w:sz="0" w:space="0" w:color="auto"/>
        <w:bottom w:val="none" w:sz="0" w:space="0" w:color="auto"/>
        <w:right w:val="none" w:sz="0" w:space="0" w:color="auto"/>
      </w:divBdr>
    </w:div>
    <w:div w:id="1426926862">
      <w:bodyDiv w:val="1"/>
      <w:marLeft w:val="0"/>
      <w:marRight w:val="0"/>
      <w:marTop w:val="0"/>
      <w:marBottom w:val="0"/>
      <w:divBdr>
        <w:top w:val="none" w:sz="0" w:space="0" w:color="auto"/>
        <w:left w:val="none" w:sz="0" w:space="0" w:color="auto"/>
        <w:bottom w:val="none" w:sz="0" w:space="0" w:color="auto"/>
        <w:right w:val="none" w:sz="0" w:space="0" w:color="auto"/>
      </w:divBdr>
    </w:div>
    <w:div w:id="1435444308">
      <w:bodyDiv w:val="1"/>
      <w:marLeft w:val="0"/>
      <w:marRight w:val="0"/>
      <w:marTop w:val="0"/>
      <w:marBottom w:val="0"/>
      <w:divBdr>
        <w:top w:val="none" w:sz="0" w:space="0" w:color="auto"/>
        <w:left w:val="none" w:sz="0" w:space="0" w:color="auto"/>
        <w:bottom w:val="none" w:sz="0" w:space="0" w:color="auto"/>
        <w:right w:val="none" w:sz="0" w:space="0" w:color="auto"/>
      </w:divBdr>
    </w:div>
    <w:div w:id="1502741047">
      <w:bodyDiv w:val="1"/>
      <w:marLeft w:val="0"/>
      <w:marRight w:val="0"/>
      <w:marTop w:val="0"/>
      <w:marBottom w:val="0"/>
      <w:divBdr>
        <w:top w:val="none" w:sz="0" w:space="0" w:color="auto"/>
        <w:left w:val="none" w:sz="0" w:space="0" w:color="auto"/>
        <w:bottom w:val="none" w:sz="0" w:space="0" w:color="auto"/>
        <w:right w:val="none" w:sz="0" w:space="0" w:color="auto"/>
      </w:divBdr>
    </w:div>
    <w:div w:id="1600216161">
      <w:bodyDiv w:val="1"/>
      <w:marLeft w:val="0"/>
      <w:marRight w:val="0"/>
      <w:marTop w:val="0"/>
      <w:marBottom w:val="0"/>
      <w:divBdr>
        <w:top w:val="none" w:sz="0" w:space="0" w:color="auto"/>
        <w:left w:val="none" w:sz="0" w:space="0" w:color="auto"/>
        <w:bottom w:val="none" w:sz="0" w:space="0" w:color="auto"/>
        <w:right w:val="none" w:sz="0" w:space="0" w:color="auto"/>
      </w:divBdr>
    </w:div>
    <w:div w:id="1731421614">
      <w:bodyDiv w:val="1"/>
      <w:marLeft w:val="0"/>
      <w:marRight w:val="0"/>
      <w:marTop w:val="0"/>
      <w:marBottom w:val="0"/>
      <w:divBdr>
        <w:top w:val="none" w:sz="0" w:space="0" w:color="auto"/>
        <w:left w:val="none" w:sz="0" w:space="0" w:color="auto"/>
        <w:bottom w:val="none" w:sz="0" w:space="0" w:color="auto"/>
        <w:right w:val="none" w:sz="0" w:space="0" w:color="auto"/>
      </w:divBdr>
    </w:div>
    <w:div w:id="1796678958">
      <w:bodyDiv w:val="1"/>
      <w:marLeft w:val="0"/>
      <w:marRight w:val="0"/>
      <w:marTop w:val="0"/>
      <w:marBottom w:val="0"/>
      <w:divBdr>
        <w:top w:val="none" w:sz="0" w:space="0" w:color="auto"/>
        <w:left w:val="none" w:sz="0" w:space="0" w:color="auto"/>
        <w:bottom w:val="none" w:sz="0" w:space="0" w:color="auto"/>
        <w:right w:val="none" w:sz="0" w:space="0" w:color="auto"/>
      </w:divBdr>
    </w:div>
    <w:div w:id="1805804937">
      <w:bodyDiv w:val="1"/>
      <w:marLeft w:val="0"/>
      <w:marRight w:val="0"/>
      <w:marTop w:val="0"/>
      <w:marBottom w:val="0"/>
      <w:divBdr>
        <w:top w:val="none" w:sz="0" w:space="0" w:color="auto"/>
        <w:left w:val="none" w:sz="0" w:space="0" w:color="auto"/>
        <w:bottom w:val="none" w:sz="0" w:space="0" w:color="auto"/>
        <w:right w:val="none" w:sz="0" w:space="0" w:color="auto"/>
      </w:divBdr>
    </w:div>
    <w:div w:id="1968661096">
      <w:bodyDiv w:val="1"/>
      <w:marLeft w:val="0"/>
      <w:marRight w:val="0"/>
      <w:marTop w:val="0"/>
      <w:marBottom w:val="0"/>
      <w:divBdr>
        <w:top w:val="none" w:sz="0" w:space="0" w:color="auto"/>
        <w:left w:val="none" w:sz="0" w:space="0" w:color="auto"/>
        <w:bottom w:val="none" w:sz="0" w:space="0" w:color="auto"/>
        <w:right w:val="none" w:sz="0" w:space="0" w:color="auto"/>
      </w:divBdr>
    </w:div>
    <w:div w:id="2020496238">
      <w:bodyDiv w:val="1"/>
      <w:marLeft w:val="0"/>
      <w:marRight w:val="0"/>
      <w:marTop w:val="0"/>
      <w:marBottom w:val="0"/>
      <w:divBdr>
        <w:top w:val="none" w:sz="0" w:space="0" w:color="auto"/>
        <w:left w:val="none" w:sz="0" w:space="0" w:color="auto"/>
        <w:bottom w:val="none" w:sz="0" w:space="0" w:color="auto"/>
        <w:right w:val="none" w:sz="0" w:space="0" w:color="auto"/>
      </w:divBdr>
    </w:div>
    <w:div w:id="2117023628">
      <w:bodyDiv w:val="1"/>
      <w:marLeft w:val="0"/>
      <w:marRight w:val="0"/>
      <w:marTop w:val="0"/>
      <w:marBottom w:val="0"/>
      <w:divBdr>
        <w:top w:val="none" w:sz="0" w:space="0" w:color="auto"/>
        <w:left w:val="none" w:sz="0" w:space="0" w:color="auto"/>
        <w:bottom w:val="none" w:sz="0" w:space="0" w:color="auto"/>
        <w:right w:val="none" w:sz="0" w:space="0" w:color="auto"/>
      </w:divBdr>
    </w:div>
    <w:div w:id="2130124877">
      <w:bodyDiv w:val="1"/>
      <w:marLeft w:val="0"/>
      <w:marRight w:val="0"/>
      <w:marTop w:val="0"/>
      <w:marBottom w:val="0"/>
      <w:divBdr>
        <w:top w:val="none" w:sz="0" w:space="0" w:color="auto"/>
        <w:left w:val="none" w:sz="0" w:space="0" w:color="auto"/>
        <w:bottom w:val="none" w:sz="0" w:space="0" w:color="auto"/>
        <w:right w:val="none" w:sz="0" w:space="0" w:color="auto"/>
      </w:divBdr>
    </w:div>
    <w:div w:id="214638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AE1DC-0636-46CA-A1B3-70C5DC44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马小立</cp:lastModifiedBy>
  <cp:revision>2</cp:revision>
  <cp:lastPrinted>2021-05-10T05:02:00Z</cp:lastPrinted>
  <dcterms:created xsi:type="dcterms:W3CDTF">2023-11-21T04:04:00Z</dcterms:created>
  <dcterms:modified xsi:type="dcterms:W3CDTF">2023-11-21T04:04:00Z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