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ascii="仿宋" w:hAnsi="仿宋" w:eastAsia="仿宋" w:cs="仿宋"/>
          <w:b/>
          <w:bCs w:val="0"/>
          <w:iCs/>
          <w:color w:val="000000"/>
          <w:sz w:val="24"/>
          <w:lang w:eastAsia="zh-CN"/>
        </w:rPr>
      </w:pPr>
      <w:r>
        <w:rPr>
          <w:rFonts w:hint="eastAsia" w:ascii="仿宋" w:hAnsi="仿宋" w:eastAsia="仿宋" w:cs="仿宋"/>
          <w:b/>
          <w:bCs w:val="0"/>
          <w:iCs/>
          <w:color w:val="000000"/>
          <w:sz w:val="24"/>
        </w:rPr>
        <w:t>证券代码：</w:t>
      </w:r>
      <w:r>
        <w:rPr>
          <w:rFonts w:hint="eastAsia" w:ascii="仿宋" w:hAnsi="仿宋" w:eastAsia="仿宋" w:cs="仿宋"/>
          <w:b/>
          <w:bCs w:val="0"/>
          <w:iCs/>
          <w:color w:val="000000"/>
          <w:sz w:val="24"/>
          <w:lang w:val="en-US" w:eastAsia="zh-CN"/>
        </w:rPr>
        <w:t xml:space="preserve">600191   </w:t>
      </w:r>
      <w:r>
        <w:rPr>
          <w:rFonts w:hint="eastAsia" w:ascii="仿宋" w:hAnsi="仿宋" w:eastAsia="仿宋" w:cs="仿宋"/>
          <w:b/>
          <w:bCs w:val="0"/>
          <w:iCs/>
          <w:color w:val="000000"/>
          <w:sz w:val="24"/>
        </w:rPr>
        <w:t xml:space="preserve">                              证券简称：</w:t>
      </w:r>
      <w:r>
        <w:rPr>
          <w:rFonts w:hint="eastAsia" w:ascii="仿宋" w:hAnsi="仿宋" w:eastAsia="仿宋" w:cs="仿宋"/>
          <w:b/>
          <w:bCs w:val="0"/>
          <w:iCs/>
          <w:color w:val="000000"/>
          <w:sz w:val="24"/>
          <w:lang w:eastAsia="zh-CN"/>
        </w:rPr>
        <w:t>华资实业</w:t>
      </w:r>
    </w:p>
    <w:p>
      <w:pPr>
        <w:spacing w:before="156" w:beforeLines="50" w:after="156" w:afterLines="50" w:line="400" w:lineRule="exact"/>
        <w:rPr>
          <w:rFonts w:hint="eastAsia" w:ascii="仿宋" w:hAnsi="仿宋" w:eastAsia="仿宋" w:cs="仿宋"/>
          <w:bCs/>
          <w:iCs/>
          <w:color w:val="000000"/>
          <w:sz w:val="24"/>
        </w:rPr>
      </w:pPr>
    </w:p>
    <w:p>
      <w:pPr>
        <w:spacing w:before="156" w:beforeLines="50" w:after="156" w:afterLines="50" w:line="400" w:lineRule="exact"/>
        <w:jc w:val="center"/>
        <w:rPr>
          <w:rFonts w:hint="eastAsia" w:ascii="仿宋" w:hAnsi="仿宋" w:eastAsia="仿宋" w:cs="仿宋"/>
          <w:b/>
          <w:bCs/>
          <w:iCs/>
          <w:color w:val="000000"/>
          <w:sz w:val="32"/>
          <w:szCs w:val="32"/>
        </w:rPr>
      </w:pPr>
      <w:r>
        <w:rPr>
          <w:rFonts w:hint="eastAsia" w:ascii="仿宋" w:hAnsi="仿宋" w:eastAsia="仿宋" w:cs="仿宋"/>
          <w:b/>
          <w:bCs/>
          <w:iCs/>
          <w:color w:val="000000"/>
          <w:sz w:val="32"/>
          <w:szCs w:val="32"/>
          <w:lang w:eastAsia="zh-CN"/>
        </w:rPr>
        <w:t>包头华资实业</w:t>
      </w:r>
      <w:r>
        <w:rPr>
          <w:rFonts w:hint="eastAsia" w:ascii="仿宋" w:hAnsi="仿宋" w:eastAsia="仿宋" w:cs="仿宋"/>
          <w:b/>
          <w:bCs/>
          <w:iCs/>
          <w:color w:val="000000"/>
          <w:sz w:val="32"/>
          <w:szCs w:val="32"/>
        </w:rPr>
        <w:t>股份有限公司</w:t>
      </w:r>
    </w:p>
    <w:p>
      <w:pPr>
        <w:spacing w:before="156" w:beforeLines="50" w:after="156" w:afterLines="50" w:line="400" w:lineRule="exact"/>
        <w:jc w:val="center"/>
        <w:rPr>
          <w:rFonts w:hint="eastAsia" w:ascii="仿宋" w:hAnsi="仿宋" w:eastAsia="仿宋" w:cs="仿宋"/>
          <w:b/>
          <w:bCs/>
          <w:iCs/>
          <w:color w:val="000000"/>
          <w:sz w:val="32"/>
          <w:szCs w:val="32"/>
        </w:rPr>
      </w:pPr>
      <w:r>
        <w:rPr>
          <w:rFonts w:hint="eastAsia" w:ascii="仿宋" w:hAnsi="仿宋" w:eastAsia="仿宋" w:cs="仿宋"/>
          <w:b/>
          <w:bCs/>
          <w:iCs/>
          <w:color w:val="000000"/>
          <w:sz w:val="32"/>
          <w:szCs w:val="32"/>
        </w:rPr>
        <w:t>投资者关系活动记录表</w:t>
      </w:r>
    </w:p>
    <w:p>
      <w:pPr>
        <w:spacing w:before="156" w:beforeLines="50" w:after="156" w:afterLines="50" w:line="400" w:lineRule="exact"/>
        <w:jc w:val="center"/>
        <w:rPr>
          <w:rFonts w:ascii="宋体" w:hAnsi="宋体"/>
          <w:bCs/>
          <w:iCs/>
          <w:color w:val="000000"/>
          <w:sz w:val="24"/>
        </w:rPr>
      </w:pPr>
      <w:r>
        <w:rPr>
          <w:rFonts w:hint="eastAsia" w:ascii="宋体" w:hAnsi="宋体"/>
          <w:bCs/>
          <w:iCs/>
          <w:color w:val="000000"/>
          <w:sz w:val="24"/>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5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
                <w:bCs w:val="0"/>
                <w:iCs/>
                <w:color w:val="000000"/>
                <w:sz w:val="24"/>
                <w:szCs w:val="24"/>
              </w:rPr>
            </w:pPr>
            <w:r>
              <w:rPr>
                <w:rFonts w:hint="eastAsia" w:ascii="华文楷体" w:hAnsi="华文楷体" w:eastAsia="华文楷体" w:cs="华文楷体"/>
                <w:b/>
                <w:bCs w:val="0"/>
                <w:iCs/>
                <w:color w:val="000000"/>
                <w:sz w:val="24"/>
                <w:szCs w:val="24"/>
              </w:rPr>
              <w:t>投资者关系活动类别</w:t>
            </w:r>
          </w:p>
        </w:tc>
        <w:tc>
          <w:tcPr>
            <w:tcW w:w="5896" w:type="dxa"/>
            <w:tcBorders>
              <w:top w:val="single" w:color="auto" w:sz="4" w:space="0"/>
              <w:left w:val="single" w:color="auto" w:sz="4" w:space="0"/>
              <w:bottom w:val="single" w:color="auto" w:sz="4" w:space="0"/>
              <w:right w:val="single" w:color="auto" w:sz="4" w:space="0"/>
            </w:tcBorders>
          </w:tcPr>
          <w:p>
            <w:pPr>
              <w:spacing w:line="360" w:lineRule="auto"/>
              <w:rPr>
                <w:rFonts w:hint="eastAsia" w:ascii="华文楷体" w:hAnsi="华文楷体" w:eastAsia="华文楷体" w:cs="华文楷体"/>
                <w:bCs/>
                <w:iCs/>
                <w:color w:val="000000"/>
                <w:sz w:val="24"/>
                <w:szCs w:val="24"/>
              </w:rPr>
            </w:pPr>
            <w:r>
              <w:rPr>
                <w:rFonts w:hint="eastAsia" w:ascii="华文楷体" w:hAnsi="华文楷体" w:eastAsia="华文楷体" w:cs="华文楷体"/>
                <w:bCs/>
                <w:iCs/>
                <w:color w:val="000000"/>
                <w:sz w:val="24"/>
                <w:szCs w:val="24"/>
                <w:lang w:eastAsia="zh-CN"/>
              </w:rPr>
              <w:t>☑</w:t>
            </w:r>
            <w:r>
              <w:rPr>
                <w:rFonts w:hint="eastAsia" w:ascii="华文楷体" w:hAnsi="华文楷体" w:eastAsia="华文楷体" w:cs="华文楷体"/>
                <w:sz w:val="24"/>
                <w:szCs w:val="24"/>
                <w:lang w:val="en-US" w:eastAsia="zh-CN"/>
              </w:rPr>
              <w:t>特定对象</w:t>
            </w:r>
            <w:r>
              <w:rPr>
                <w:rFonts w:hint="eastAsia" w:ascii="华文楷体" w:hAnsi="华文楷体" w:eastAsia="华文楷体" w:cs="华文楷体"/>
                <w:sz w:val="24"/>
                <w:szCs w:val="24"/>
              </w:rPr>
              <w:t xml:space="preserve">调研          </w:t>
            </w:r>
            <w:r>
              <w:rPr>
                <w:rFonts w:hint="eastAsia" w:ascii="华文楷体" w:hAnsi="华文楷体" w:eastAsia="华文楷体" w:cs="华文楷体"/>
                <w:bCs/>
                <w:iCs/>
                <w:color w:val="000000"/>
                <w:sz w:val="24"/>
                <w:szCs w:val="24"/>
                <w:lang w:eastAsia="zh-CN"/>
              </w:rPr>
              <w:t>□</w:t>
            </w:r>
            <w:r>
              <w:rPr>
                <w:rFonts w:hint="eastAsia" w:ascii="华文楷体" w:hAnsi="华文楷体" w:eastAsia="华文楷体" w:cs="华文楷体"/>
                <w:sz w:val="24"/>
                <w:szCs w:val="24"/>
              </w:rPr>
              <w:t>分析师会议</w:t>
            </w:r>
          </w:p>
          <w:p>
            <w:pPr>
              <w:spacing w:line="360" w:lineRule="auto"/>
              <w:rPr>
                <w:rFonts w:hint="eastAsia" w:ascii="华文楷体" w:hAnsi="华文楷体" w:eastAsia="华文楷体" w:cs="华文楷体"/>
                <w:bCs/>
                <w:iCs/>
                <w:color w:val="000000"/>
                <w:sz w:val="24"/>
                <w:szCs w:val="24"/>
              </w:rPr>
            </w:pPr>
            <w:r>
              <w:rPr>
                <w:rFonts w:hint="eastAsia" w:ascii="华文楷体" w:hAnsi="华文楷体" w:eastAsia="华文楷体" w:cs="华文楷体"/>
                <w:bCs/>
                <w:iCs/>
                <w:color w:val="000000"/>
                <w:sz w:val="24"/>
                <w:szCs w:val="24"/>
              </w:rPr>
              <w:t>□</w:t>
            </w:r>
            <w:r>
              <w:rPr>
                <w:rFonts w:hint="eastAsia" w:ascii="华文楷体" w:hAnsi="华文楷体" w:eastAsia="华文楷体" w:cs="华文楷体"/>
                <w:sz w:val="24"/>
                <w:szCs w:val="24"/>
              </w:rPr>
              <w:t xml:space="preserve">媒体采访              </w:t>
            </w:r>
            <w:r>
              <w:rPr>
                <w:rFonts w:hint="eastAsia" w:ascii="华文楷体" w:hAnsi="华文楷体" w:eastAsia="华文楷体" w:cs="华文楷体"/>
                <w:bCs/>
                <w:iCs/>
                <w:color w:val="000000"/>
                <w:sz w:val="24"/>
                <w:szCs w:val="24"/>
              </w:rPr>
              <w:t>□</w:t>
            </w:r>
            <w:r>
              <w:rPr>
                <w:rFonts w:hint="eastAsia" w:ascii="华文楷体" w:hAnsi="华文楷体" w:eastAsia="华文楷体" w:cs="华文楷体"/>
                <w:sz w:val="24"/>
                <w:szCs w:val="24"/>
              </w:rPr>
              <w:t>业绩说明会</w:t>
            </w:r>
          </w:p>
          <w:p>
            <w:pPr>
              <w:spacing w:line="360" w:lineRule="auto"/>
              <w:rPr>
                <w:rFonts w:hint="eastAsia" w:ascii="华文楷体" w:hAnsi="华文楷体" w:eastAsia="华文楷体" w:cs="华文楷体"/>
                <w:bCs/>
                <w:iCs/>
                <w:color w:val="000000"/>
                <w:sz w:val="24"/>
                <w:szCs w:val="24"/>
              </w:rPr>
            </w:pPr>
            <w:r>
              <w:rPr>
                <w:rFonts w:hint="eastAsia" w:ascii="华文楷体" w:hAnsi="华文楷体" w:eastAsia="华文楷体" w:cs="华文楷体"/>
                <w:bCs/>
                <w:iCs/>
                <w:color w:val="000000"/>
                <w:sz w:val="24"/>
                <w:szCs w:val="24"/>
              </w:rPr>
              <w:t>□</w:t>
            </w:r>
            <w:r>
              <w:rPr>
                <w:rFonts w:hint="eastAsia" w:ascii="华文楷体" w:hAnsi="华文楷体" w:eastAsia="华文楷体" w:cs="华文楷体"/>
                <w:sz w:val="24"/>
                <w:szCs w:val="24"/>
              </w:rPr>
              <w:t xml:space="preserve">新闻发布会            </w:t>
            </w:r>
            <w:r>
              <w:rPr>
                <w:rFonts w:hint="eastAsia" w:ascii="华文楷体" w:hAnsi="华文楷体" w:eastAsia="华文楷体" w:cs="华文楷体"/>
                <w:bCs/>
                <w:iCs/>
                <w:color w:val="000000"/>
                <w:sz w:val="24"/>
                <w:szCs w:val="24"/>
              </w:rPr>
              <w:t>□</w:t>
            </w:r>
            <w:r>
              <w:rPr>
                <w:rFonts w:hint="eastAsia" w:ascii="华文楷体" w:hAnsi="华文楷体" w:eastAsia="华文楷体" w:cs="华文楷体"/>
                <w:sz w:val="24"/>
                <w:szCs w:val="24"/>
              </w:rPr>
              <w:t>路演活动</w:t>
            </w:r>
          </w:p>
          <w:p>
            <w:pPr>
              <w:tabs>
                <w:tab w:val="left" w:pos="3045"/>
                <w:tab w:val="center" w:pos="3199"/>
              </w:tabs>
              <w:spacing w:line="360" w:lineRule="auto"/>
              <w:rPr>
                <w:rFonts w:hint="eastAsia" w:ascii="华文楷体" w:hAnsi="华文楷体" w:eastAsia="华文楷体" w:cs="华文楷体"/>
                <w:bCs/>
                <w:iCs/>
                <w:color w:val="000000"/>
                <w:sz w:val="24"/>
                <w:szCs w:val="24"/>
              </w:rPr>
            </w:pPr>
            <w:r>
              <w:rPr>
                <w:rFonts w:hint="eastAsia" w:ascii="华文楷体" w:hAnsi="华文楷体" w:eastAsia="华文楷体" w:cs="华文楷体"/>
                <w:bCs/>
                <w:iCs/>
                <w:color w:val="000000"/>
                <w:sz w:val="24"/>
                <w:szCs w:val="24"/>
              </w:rPr>
              <w:t>□</w:t>
            </w:r>
            <w:r>
              <w:rPr>
                <w:rFonts w:hint="eastAsia" w:ascii="华文楷体" w:hAnsi="华文楷体" w:eastAsia="华文楷体" w:cs="华文楷体"/>
                <w:sz w:val="24"/>
                <w:szCs w:val="24"/>
                <w:lang w:val="en-US" w:eastAsia="zh-CN"/>
              </w:rPr>
              <w:t xml:space="preserve">现场参观              </w:t>
            </w:r>
            <w:r>
              <w:rPr>
                <w:rFonts w:hint="eastAsia" w:ascii="华文楷体" w:hAnsi="华文楷体" w:eastAsia="华文楷体" w:cs="华文楷体"/>
                <w:bCs/>
                <w:iCs/>
                <w:color w:val="000000"/>
                <w:sz w:val="24"/>
                <w:szCs w:val="24"/>
                <w:lang w:eastAsia="zh-CN"/>
              </w:rPr>
              <w:t>□</w:t>
            </w:r>
            <w:r>
              <w:rPr>
                <w:rFonts w:hint="eastAsia" w:ascii="华文楷体" w:hAnsi="华文楷体" w:eastAsia="华文楷体" w:cs="华文楷体"/>
                <w:sz w:val="24"/>
                <w:szCs w:val="24"/>
                <w:lang w:val="en-US" w:eastAsia="zh-CN"/>
              </w:rPr>
              <w:t>其他</w:t>
            </w:r>
            <w:r>
              <w:rPr>
                <w:rFonts w:hint="eastAsia" w:ascii="华文楷体" w:hAnsi="华文楷体" w:eastAsia="华文楷体" w:cs="华文楷体"/>
                <w:bCs/>
                <w:iCs/>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
                <w:bCs w:val="0"/>
                <w:iCs/>
                <w:color w:val="000000"/>
                <w:sz w:val="24"/>
                <w:szCs w:val="24"/>
                <w:lang w:eastAsia="zh-CN"/>
              </w:rPr>
            </w:pPr>
            <w:r>
              <w:rPr>
                <w:rFonts w:hint="eastAsia" w:ascii="华文楷体" w:hAnsi="华文楷体" w:eastAsia="华文楷体" w:cs="华文楷体"/>
                <w:b/>
                <w:bCs w:val="0"/>
                <w:iCs/>
                <w:color w:val="000000"/>
                <w:sz w:val="24"/>
                <w:szCs w:val="24"/>
              </w:rPr>
              <w:t>接待时间</w:t>
            </w:r>
          </w:p>
        </w:tc>
        <w:tc>
          <w:tcPr>
            <w:tcW w:w="5896" w:type="dxa"/>
            <w:tcBorders>
              <w:top w:val="single" w:color="auto" w:sz="4" w:space="0"/>
              <w:left w:val="single" w:color="auto" w:sz="4" w:space="0"/>
              <w:bottom w:val="single" w:color="auto" w:sz="4" w:space="0"/>
              <w:right w:val="single" w:color="auto" w:sz="4" w:space="0"/>
            </w:tcBorders>
          </w:tcPr>
          <w:p>
            <w:pPr>
              <w:spacing w:line="360" w:lineRule="auto"/>
              <w:rPr>
                <w:rFonts w:hint="eastAsia" w:ascii="华文楷体" w:hAnsi="华文楷体" w:eastAsia="华文楷体" w:cs="华文楷体"/>
                <w:bCs/>
                <w:iCs/>
                <w:color w:val="000000"/>
                <w:sz w:val="24"/>
                <w:szCs w:val="24"/>
                <w:lang w:val="en-US" w:eastAsia="zh-CN"/>
              </w:rPr>
            </w:pPr>
            <w:r>
              <w:rPr>
                <w:rFonts w:hint="eastAsia" w:ascii="华文楷体" w:hAnsi="华文楷体" w:eastAsia="华文楷体" w:cs="华文楷体"/>
                <w:bCs/>
                <w:iCs/>
                <w:color w:val="000000"/>
                <w:sz w:val="24"/>
                <w:szCs w:val="24"/>
                <w:lang w:val="en-US" w:eastAsia="zh-CN"/>
              </w:rPr>
              <w:t>2023年11月21日下午13:30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
                <w:bCs w:val="0"/>
                <w:iCs/>
                <w:color w:val="000000"/>
                <w:sz w:val="24"/>
                <w:szCs w:val="24"/>
              </w:rPr>
            </w:pPr>
            <w:r>
              <w:rPr>
                <w:rFonts w:hint="eastAsia" w:ascii="华文楷体" w:hAnsi="华文楷体" w:eastAsia="华文楷体" w:cs="华文楷体"/>
                <w:b/>
                <w:bCs w:val="0"/>
                <w:iCs/>
                <w:color w:val="000000"/>
                <w:sz w:val="24"/>
                <w:szCs w:val="24"/>
              </w:rPr>
              <w:t>接待</w:t>
            </w:r>
            <w:r>
              <w:rPr>
                <w:rFonts w:hint="eastAsia" w:ascii="华文楷体" w:hAnsi="华文楷体" w:eastAsia="华文楷体" w:cs="华文楷体"/>
                <w:b/>
                <w:bCs w:val="0"/>
                <w:iCs/>
                <w:color w:val="000000"/>
                <w:sz w:val="24"/>
                <w:szCs w:val="24"/>
                <w:lang w:val="en-US" w:eastAsia="zh-CN"/>
              </w:rPr>
              <w:t>地点</w:t>
            </w:r>
          </w:p>
        </w:tc>
        <w:tc>
          <w:tcPr>
            <w:tcW w:w="5896" w:type="dxa"/>
            <w:tcBorders>
              <w:top w:val="single" w:color="auto" w:sz="4" w:space="0"/>
              <w:left w:val="single" w:color="auto" w:sz="4" w:space="0"/>
              <w:bottom w:val="single" w:color="auto" w:sz="4" w:space="0"/>
              <w:right w:val="single" w:color="auto" w:sz="4" w:space="0"/>
            </w:tcBorders>
          </w:tcPr>
          <w:p>
            <w:pPr>
              <w:spacing w:line="360" w:lineRule="auto"/>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子公司山东裕维生物科技有限公司会议室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
                <w:bCs w:val="0"/>
                <w:iCs/>
                <w:color w:val="000000"/>
                <w:kern w:val="2"/>
                <w:sz w:val="24"/>
                <w:szCs w:val="24"/>
                <w:lang w:val="en-US" w:eastAsia="zh-CN" w:bidi="ar-SA"/>
              </w:rPr>
            </w:pPr>
            <w:r>
              <w:rPr>
                <w:rFonts w:hint="eastAsia" w:ascii="华文楷体" w:hAnsi="华文楷体" w:eastAsia="华文楷体" w:cs="华文楷体"/>
                <w:b/>
                <w:bCs w:val="0"/>
                <w:iCs/>
                <w:color w:val="000000"/>
                <w:sz w:val="24"/>
                <w:szCs w:val="24"/>
              </w:rPr>
              <w:t>参与形式</w:t>
            </w:r>
          </w:p>
        </w:tc>
        <w:tc>
          <w:tcPr>
            <w:tcW w:w="5896"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现场     □线上     □现场结合通讯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
                <w:bCs w:val="0"/>
                <w:iCs/>
                <w:color w:val="000000"/>
                <w:sz w:val="24"/>
                <w:szCs w:val="24"/>
                <w:lang w:val="en-US" w:eastAsia="zh-CN"/>
              </w:rPr>
            </w:pPr>
            <w:r>
              <w:rPr>
                <w:rFonts w:hint="eastAsia" w:ascii="华文楷体" w:hAnsi="华文楷体" w:eastAsia="华文楷体" w:cs="华文楷体"/>
                <w:b/>
                <w:bCs w:val="0"/>
                <w:iCs/>
                <w:color w:val="000000"/>
                <w:sz w:val="24"/>
                <w:szCs w:val="24"/>
                <w:lang w:val="en-US" w:eastAsia="zh-CN"/>
              </w:rPr>
              <w:t>来访调研人员</w:t>
            </w:r>
          </w:p>
        </w:tc>
        <w:tc>
          <w:tcPr>
            <w:tcW w:w="5896" w:type="dxa"/>
            <w:tcBorders>
              <w:top w:val="single" w:color="auto" w:sz="4" w:space="0"/>
              <w:left w:val="single" w:color="auto" w:sz="4" w:space="0"/>
              <w:bottom w:val="single" w:color="auto" w:sz="4" w:space="0"/>
              <w:right w:val="single" w:color="auto" w:sz="4" w:space="0"/>
            </w:tcBorders>
          </w:tcPr>
          <w:p>
            <w:pPr>
              <w:spacing w:line="360" w:lineRule="auto"/>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rPr>
              <w:t>烟台市中天汇富私募投资基金管理有限公司</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lang w:val="en-US" w:eastAsia="zh-CN"/>
              </w:rPr>
              <w:t>闫</w:t>
            </w:r>
            <w:r>
              <w:rPr>
                <w:rFonts w:hint="eastAsia" w:ascii="华文楷体" w:hAnsi="华文楷体" w:eastAsia="华文楷体" w:cs="华文楷体"/>
                <w:sz w:val="24"/>
                <w:szCs w:val="24"/>
              </w:rPr>
              <w:t>小菁</w:t>
            </w:r>
            <w:r>
              <w:rPr>
                <w:rFonts w:hint="eastAsia" w:ascii="华文楷体" w:hAnsi="华文楷体" w:eastAsia="华文楷体" w:cs="华文楷体"/>
                <w:sz w:val="24"/>
                <w:szCs w:val="24"/>
                <w:lang w:eastAsia="zh-CN"/>
              </w:rPr>
              <w:t>、邹杭</w:t>
            </w:r>
            <w:r>
              <w:rPr>
                <w:rFonts w:hint="eastAsia" w:ascii="华文楷体" w:hAnsi="华文楷体" w:eastAsia="华文楷体" w:cs="华文楷体"/>
                <w:sz w:val="24"/>
                <w:szCs w:val="24"/>
                <w:lang w:val="en-US" w:eastAsia="zh-CN"/>
              </w:rPr>
              <w:t>呈</w:t>
            </w:r>
            <w:r>
              <w:rPr>
                <w:rFonts w:hint="eastAsia" w:ascii="华文楷体" w:hAnsi="华文楷体" w:eastAsia="华文楷体" w:cs="华文楷体"/>
                <w:sz w:val="24"/>
                <w:szCs w:val="24"/>
                <w:lang w:eastAsia="zh-CN"/>
              </w:rPr>
              <w:t>、王文楷、丁</w:t>
            </w:r>
            <w:r>
              <w:rPr>
                <w:rFonts w:hint="eastAsia" w:ascii="华文楷体" w:hAnsi="华文楷体" w:eastAsia="华文楷体" w:cs="华文楷体"/>
                <w:sz w:val="24"/>
                <w:szCs w:val="24"/>
                <w:lang w:val="en-US" w:eastAsia="zh-CN"/>
              </w:rPr>
              <w:t>麒</w:t>
            </w:r>
            <w:r>
              <w:rPr>
                <w:rFonts w:hint="eastAsia" w:ascii="华文楷体" w:hAnsi="华文楷体" w:eastAsia="华文楷体" w:cs="华文楷体"/>
                <w:sz w:val="24"/>
                <w:szCs w:val="24"/>
                <w:lang w:eastAsia="zh-CN"/>
              </w:rPr>
              <w:t>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
                <w:bCs w:val="0"/>
                <w:iCs/>
                <w:color w:val="000000"/>
                <w:sz w:val="24"/>
                <w:szCs w:val="24"/>
              </w:rPr>
            </w:pPr>
            <w:r>
              <w:rPr>
                <w:rFonts w:hint="eastAsia" w:ascii="华文楷体" w:hAnsi="华文楷体" w:eastAsia="华文楷体" w:cs="华文楷体"/>
                <w:b/>
                <w:bCs w:val="0"/>
                <w:iCs/>
                <w:color w:val="000000"/>
                <w:sz w:val="24"/>
                <w:szCs w:val="24"/>
              </w:rPr>
              <w:t>上市公司接待人员</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Cs/>
                <w:iCs/>
                <w:color w:val="000000"/>
                <w:sz w:val="24"/>
                <w:szCs w:val="24"/>
                <w:lang w:val="en-US" w:eastAsia="zh-CN"/>
              </w:rPr>
            </w:pPr>
            <w:r>
              <w:rPr>
                <w:rFonts w:hint="eastAsia" w:ascii="华文楷体" w:hAnsi="华文楷体" w:eastAsia="华文楷体" w:cs="华文楷体"/>
                <w:sz w:val="24"/>
                <w:szCs w:val="24"/>
                <w:lang w:val="en-US" w:eastAsia="zh-CN"/>
              </w:rPr>
              <w:t>董事长李延永、监事李凤环、裕维生物财务部长郝燕鹏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
                <w:bCs w:val="0"/>
                <w:iCs/>
                <w:color w:val="000000"/>
                <w:sz w:val="24"/>
                <w:szCs w:val="24"/>
              </w:rPr>
            </w:pPr>
            <w:r>
              <w:rPr>
                <w:rFonts w:hint="eastAsia" w:ascii="华文楷体" w:hAnsi="华文楷体" w:eastAsia="华文楷体" w:cs="华文楷体"/>
                <w:b/>
                <w:bCs w:val="0"/>
                <w:iCs/>
                <w:color w:val="000000"/>
                <w:sz w:val="24"/>
                <w:szCs w:val="24"/>
              </w:rPr>
              <w:t>投资者关系活动主要内容介绍</w:t>
            </w:r>
          </w:p>
        </w:tc>
        <w:tc>
          <w:tcPr>
            <w:tcW w:w="5896" w:type="dxa"/>
            <w:tcBorders>
              <w:top w:val="single" w:color="auto" w:sz="4" w:space="0"/>
              <w:left w:val="single" w:color="auto" w:sz="4" w:space="0"/>
              <w:bottom w:val="single" w:color="auto" w:sz="4" w:space="0"/>
              <w:right w:val="single" w:color="auto" w:sz="4" w:space="0"/>
            </w:tcBorders>
          </w:tcPr>
          <w:p>
            <w:pPr>
              <w:numPr>
                <w:ilvl w:val="0"/>
                <w:numId w:val="0"/>
              </w:numPr>
              <w:rPr>
                <w:rFonts w:hint="eastAsia" w:ascii="华文楷体" w:hAnsi="华文楷体" w:eastAsia="华文楷体" w:cs="华文楷体"/>
                <w:b/>
                <w:bCs/>
                <w:sz w:val="24"/>
                <w:szCs w:val="24"/>
              </w:rPr>
            </w:pPr>
            <w:r>
              <w:rPr>
                <w:rFonts w:hint="eastAsia" w:ascii="华文楷体" w:hAnsi="华文楷体" w:eastAsia="华文楷体" w:cs="华文楷体"/>
                <w:b/>
                <w:bCs/>
                <w:sz w:val="24"/>
                <w:szCs w:val="24"/>
                <w:lang w:val="en-US" w:eastAsia="zh-CN"/>
              </w:rPr>
              <w:t>1、</w:t>
            </w:r>
            <w:r>
              <w:rPr>
                <w:rFonts w:hint="eastAsia" w:ascii="华文楷体" w:hAnsi="华文楷体" w:eastAsia="华文楷体" w:cs="华文楷体"/>
                <w:b/>
                <w:bCs/>
                <w:sz w:val="24"/>
                <w:szCs w:val="24"/>
              </w:rPr>
              <w:t>子公司裕维生物今年和明年的经营情况、利润情况;未来子公司业务是否会成为公司的主营业务</w:t>
            </w:r>
          </w:p>
          <w:p>
            <w:pPr>
              <w:widowControl w:val="0"/>
              <w:numPr>
                <w:ilvl w:val="0"/>
                <w:numId w:val="0"/>
              </w:numPr>
              <w:ind w:firstLine="480" w:firstLineChars="200"/>
              <w:jc w:val="both"/>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bCs/>
                <w:sz w:val="24"/>
                <w:szCs w:val="24"/>
                <w:lang w:val="en-US" w:eastAsia="zh-CN"/>
              </w:rPr>
              <w:t>回复：</w:t>
            </w:r>
            <w:r>
              <w:rPr>
                <w:rFonts w:hint="eastAsia" w:ascii="华文楷体" w:hAnsi="华文楷体" w:eastAsia="华文楷体" w:cs="华文楷体"/>
                <w:b w:val="0"/>
                <w:bCs w:val="0"/>
                <w:sz w:val="24"/>
                <w:szCs w:val="24"/>
                <w:lang w:val="en-US" w:eastAsia="zh-CN"/>
              </w:rPr>
              <w:t>截至2023年第三季度，公司</w:t>
            </w:r>
            <w:bookmarkStart w:id="0" w:name="_GoBack"/>
            <w:bookmarkEnd w:id="0"/>
            <w:r>
              <w:rPr>
                <w:rFonts w:hint="eastAsia" w:ascii="华文楷体" w:hAnsi="华文楷体" w:eastAsia="华文楷体" w:cs="华文楷体"/>
                <w:b w:val="0"/>
                <w:bCs w:val="0"/>
                <w:sz w:val="24"/>
                <w:szCs w:val="24"/>
                <w:lang w:val="en-US" w:eastAsia="zh-CN"/>
              </w:rPr>
              <w:t>实现营业收入42676.68万元，比去年同期增长216.36%，其中子公司裕维生物实现营业收入42316.7万元；公司实现归属于上市公司股东的净利润2814.98万元，比去年同期实现扭亏为盈。前三季度，公司主营业务主要来源于子公司裕维生物从事的谷朊粉、酒精产品业务。（上述数据均未经审计。）</w:t>
            </w:r>
          </w:p>
          <w:p>
            <w:pPr>
              <w:widowControl w:val="0"/>
              <w:numPr>
                <w:ilvl w:val="0"/>
                <w:numId w:val="0"/>
              </w:numPr>
              <w:ind w:firstLine="480" w:firstLineChars="200"/>
              <w:jc w:val="both"/>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公司始终对未来发展抱有坚定的信心，专注主业长期可持续发展，努力为广大投资者提供长期稳定的投资回报。</w:t>
            </w:r>
          </w:p>
          <w:p>
            <w:pPr>
              <w:widowControl w:val="0"/>
              <w:numPr>
                <w:ilvl w:val="0"/>
                <w:numId w:val="1"/>
              </w:numPr>
              <w:jc w:val="both"/>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bCs/>
                <w:sz w:val="24"/>
                <w:szCs w:val="24"/>
              </w:rPr>
              <w:t>公司如何看待年内及明年糖价及国内外价差趋势</w:t>
            </w:r>
          </w:p>
          <w:p>
            <w:pPr>
              <w:ind w:firstLine="480" w:firstLineChars="200"/>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bCs/>
                <w:sz w:val="24"/>
                <w:szCs w:val="24"/>
                <w:lang w:val="en-US" w:eastAsia="zh-CN"/>
              </w:rPr>
              <w:t>回复：</w:t>
            </w:r>
            <w:r>
              <w:rPr>
                <w:rFonts w:hint="eastAsia" w:ascii="华文楷体" w:hAnsi="华文楷体" w:eastAsia="华文楷体" w:cs="华文楷体"/>
                <w:b w:val="0"/>
                <w:bCs w:val="0"/>
                <w:sz w:val="24"/>
                <w:szCs w:val="24"/>
                <w:lang w:val="en-US" w:eastAsia="zh-CN"/>
              </w:rPr>
              <w:t>市场多家糖业分析机构给予2023/24榨季全球食糖供需存在缺口的判断。其中，国际糖业组织（ISO）2023年8月报告称2023/24榨季全球产糖量预计为1.7484亿吨，低于2022/23榨季的1.7702亿吨，食糖供需缺口为212万吨；全球最大食糖贸易商Alvean预计2023/24榨季全球的食糖供应缺口将达到540万吨，库存消费比指标将回落到2011年水平；糖业咨询公司Covrig Analytics预计2023/24榨季全球食糖供应缺口为220万吨；英国Czarnikow集团预估2023/24榨季全球食糖供应缺口为110万吨。</w:t>
            </w:r>
          </w:p>
          <w:p>
            <w:pPr>
              <w:ind w:firstLine="480" w:firstLineChars="200"/>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综合以上糖业分析机构判断以及公司合理分析，公司预计新榨季国内外糖价仍稳中有升，但由于宏观政策、市场环境等因素可能导致新榨季国内外糖价变化不及预期，公司也将密切关注宏观环境和行业政策的变化，敬请投资者审慎判断。</w:t>
            </w:r>
          </w:p>
          <w:p>
            <w:pPr>
              <w:widowControl w:val="0"/>
              <w:numPr>
                <w:ilvl w:val="0"/>
                <w:numId w:val="1"/>
              </w:numPr>
              <w:ind w:left="0" w:leftChars="0" w:firstLine="0" w:firstLineChars="0"/>
              <w:jc w:val="both"/>
              <w:rPr>
                <w:rFonts w:hint="eastAsia" w:ascii="华文楷体" w:hAnsi="华文楷体" w:eastAsia="华文楷体" w:cs="华文楷体"/>
                <w:b/>
                <w:bCs/>
                <w:sz w:val="24"/>
                <w:szCs w:val="24"/>
              </w:rPr>
            </w:pPr>
            <w:r>
              <w:rPr>
                <w:rFonts w:hint="eastAsia" w:ascii="华文楷体" w:hAnsi="华文楷体" w:eastAsia="华文楷体" w:cs="华文楷体"/>
                <w:b/>
                <w:bCs/>
                <w:sz w:val="24"/>
                <w:szCs w:val="24"/>
              </w:rPr>
              <w:t xml:space="preserve">公司各项业务产能、产量以及经营情况 </w:t>
            </w:r>
          </w:p>
          <w:p>
            <w:pPr>
              <w:widowControl w:val="0"/>
              <w:numPr>
                <w:ilvl w:val="0"/>
                <w:numId w:val="0"/>
              </w:numPr>
              <w:ind w:firstLine="480" w:firstLineChars="200"/>
              <w:jc w:val="both"/>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bCs/>
                <w:sz w:val="24"/>
                <w:szCs w:val="24"/>
                <w:lang w:val="en-US" w:eastAsia="zh-CN"/>
              </w:rPr>
              <w:t>回复：</w:t>
            </w:r>
            <w:r>
              <w:rPr>
                <w:rFonts w:hint="eastAsia" w:ascii="华文楷体" w:hAnsi="华文楷体" w:eastAsia="华文楷体" w:cs="华文楷体"/>
                <w:b w:val="0"/>
                <w:bCs w:val="0"/>
                <w:sz w:val="24"/>
                <w:szCs w:val="24"/>
                <w:lang w:val="en-US" w:eastAsia="zh-CN"/>
              </w:rPr>
              <w:t>公司的食糖业务目前主要采用委托加工及小袋包装形式开展，受制于制糖原材料供给短期无法解决的限制，目前公司食糖业务量较小。</w:t>
            </w:r>
          </w:p>
          <w:p>
            <w:pPr>
              <w:widowControl w:val="0"/>
              <w:numPr>
                <w:ilvl w:val="0"/>
                <w:numId w:val="0"/>
              </w:numPr>
              <w:ind w:firstLine="480" w:firstLineChars="200"/>
              <w:jc w:val="both"/>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子公司裕维生物的谷朊粉、食用酒精生产和销售已形成规模，市场有进一步开拓的空间。</w:t>
            </w:r>
          </w:p>
          <w:p>
            <w:pPr>
              <w:widowControl w:val="0"/>
              <w:numPr>
                <w:ilvl w:val="0"/>
                <w:numId w:val="1"/>
              </w:numPr>
              <w:ind w:left="0" w:leftChars="0" w:firstLine="0" w:firstLineChars="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公司账面现金流较为短缺，未来是否有发行可转债等进一步募资的计划</w:t>
            </w:r>
          </w:p>
          <w:p>
            <w:pPr>
              <w:widowControl w:val="0"/>
              <w:numPr>
                <w:ilvl w:val="0"/>
                <w:numId w:val="0"/>
              </w:numPr>
              <w:ind w:firstLine="480" w:firstLineChars="20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回复：</w:t>
            </w:r>
            <w:r>
              <w:rPr>
                <w:rFonts w:hint="eastAsia" w:ascii="华文楷体" w:hAnsi="华文楷体" w:eastAsia="华文楷体" w:cs="华文楷体"/>
                <w:b w:val="0"/>
                <w:bCs w:val="0"/>
                <w:sz w:val="24"/>
                <w:szCs w:val="24"/>
                <w:lang w:val="en-US" w:eastAsia="zh-CN"/>
              </w:rPr>
              <w:t>公司没有发行可转债的计划。公司未来将基于业务拓展需要适时开展融资。</w:t>
            </w:r>
          </w:p>
          <w:p>
            <w:pPr>
              <w:widowControl w:val="0"/>
              <w:numPr>
                <w:ilvl w:val="0"/>
                <w:numId w:val="1"/>
              </w:numPr>
              <w:ind w:left="0" w:leftChars="0" w:firstLine="0" w:firstLineChars="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公司未来是否有增加新产品的规划</w:t>
            </w:r>
          </w:p>
          <w:p>
            <w:pPr>
              <w:widowControl w:val="0"/>
              <w:numPr>
                <w:ilvl w:val="0"/>
                <w:numId w:val="0"/>
              </w:numPr>
              <w:ind w:firstLine="480" w:firstLineChars="20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color w:val="000000" w:themeColor="text1"/>
                <w:sz w:val="24"/>
                <w:szCs w:val="24"/>
                <w:lang w:val="en-US" w:eastAsia="zh-CN"/>
                <w14:textFill>
                  <w14:solidFill>
                    <w14:schemeClr w14:val="tx1"/>
                  </w14:solidFill>
                </w14:textFill>
              </w:rPr>
              <w:t>回复：</w:t>
            </w:r>
            <w:r>
              <w:rPr>
                <w:rFonts w:hint="eastAsia" w:ascii="华文楷体" w:hAnsi="华文楷体" w:eastAsia="华文楷体" w:cs="华文楷体"/>
                <w:b w:val="0"/>
                <w:bCs w:val="0"/>
                <w:sz w:val="24"/>
                <w:szCs w:val="24"/>
                <w:lang w:val="en-US" w:eastAsia="zh-CN"/>
              </w:rPr>
              <w:t>若黄原胶项目投产后，公司将根据市场需求，增加与黄原胶相关的产品。公司将积极推进该项目的建设，争取早日投产。</w:t>
            </w:r>
          </w:p>
          <w:p>
            <w:pPr>
              <w:widowControl w:val="0"/>
              <w:numPr>
                <w:ilvl w:val="0"/>
                <w:numId w:val="1"/>
              </w:numPr>
              <w:ind w:left="0" w:leftChars="0" w:firstLine="0" w:firstLineChars="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公司对于海外市场有何规划</w:t>
            </w:r>
          </w:p>
          <w:p>
            <w:pPr>
              <w:widowControl w:val="0"/>
              <w:numPr>
                <w:ilvl w:val="0"/>
                <w:numId w:val="0"/>
              </w:numPr>
              <w:ind w:firstLine="480" w:firstLineChars="20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回复：</w:t>
            </w:r>
            <w:r>
              <w:rPr>
                <w:rFonts w:hint="eastAsia" w:ascii="华文楷体" w:hAnsi="华文楷体" w:eastAsia="华文楷体" w:cs="华文楷体"/>
                <w:b w:val="0"/>
                <w:bCs w:val="0"/>
                <w:sz w:val="24"/>
                <w:szCs w:val="24"/>
                <w:lang w:val="en-US" w:eastAsia="zh-CN"/>
              </w:rPr>
              <w:t>公司目前暂无明确海外市场规划。公司未来将根据国际市场行情、公司业务发展规划和业务实际等因素综合确定是否进一步拓展海外市场。</w:t>
            </w:r>
          </w:p>
          <w:p>
            <w:pPr>
              <w:widowControl w:val="0"/>
              <w:numPr>
                <w:ilvl w:val="0"/>
                <w:numId w:val="1"/>
              </w:numPr>
              <w:ind w:left="0" w:leftChars="0" w:firstLine="0" w:firstLineChars="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贵公司今年3 月发布《拟出售华夏银行股份的公告》但目前质押融资尚未出售。未来对于持有的银行和证券资产有何规划</w:t>
            </w:r>
          </w:p>
          <w:p>
            <w:pPr>
              <w:widowControl w:val="0"/>
              <w:numPr>
                <w:ilvl w:val="0"/>
                <w:numId w:val="0"/>
              </w:numPr>
              <w:ind w:firstLine="480" w:firstLineChars="200"/>
              <w:jc w:val="both"/>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bCs/>
                <w:sz w:val="24"/>
                <w:szCs w:val="24"/>
                <w:lang w:val="en-US" w:eastAsia="zh-CN"/>
              </w:rPr>
              <w:t>回复：</w:t>
            </w:r>
            <w:r>
              <w:rPr>
                <w:rFonts w:hint="eastAsia" w:ascii="华文楷体" w:hAnsi="华文楷体" w:eastAsia="华文楷体" w:cs="华文楷体"/>
                <w:b w:val="0"/>
                <w:bCs w:val="0"/>
                <w:sz w:val="24"/>
                <w:szCs w:val="24"/>
                <w:lang w:val="en-US" w:eastAsia="zh-CN"/>
              </w:rPr>
              <w:t>截至2023年10月末，公司已出售华夏银行股份共计1076.18万股，剩余持有华夏银行股份5074.23万股仍用于股票质押式回购交易融资。未来公司将根据公司发展规划并结合实际情况对相关资产进行规划。</w:t>
            </w:r>
          </w:p>
          <w:p>
            <w:pPr>
              <w:widowControl w:val="0"/>
              <w:numPr>
                <w:ilvl w:val="0"/>
                <w:numId w:val="1"/>
              </w:numPr>
              <w:ind w:left="0" w:leftChars="0" w:firstLine="0" w:firstLineChars="0"/>
              <w:jc w:val="both"/>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公司中长期分红政策有何规划，是否考虑建立股权激励机制等考核制度</w:t>
            </w:r>
          </w:p>
          <w:p>
            <w:pPr>
              <w:widowControl w:val="0"/>
              <w:numPr>
                <w:ilvl w:val="0"/>
                <w:numId w:val="0"/>
              </w:numPr>
              <w:ind w:firstLine="480" w:firstLineChars="200"/>
              <w:jc w:val="both"/>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bCs/>
                <w:sz w:val="24"/>
                <w:szCs w:val="24"/>
                <w:lang w:val="en-US" w:eastAsia="zh-CN"/>
              </w:rPr>
              <w:t>回复：</w:t>
            </w:r>
            <w:r>
              <w:rPr>
                <w:rFonts w:hint="eastAsia" w:ascii="华文楷体" w:hAnsi="华文楷体" w:eastAsia="华文楷体" w:cs="华文楷体"/>
                <w:b w:val="0"/>
                <w:bCs w:val="0"/>
                <w:sz w:val="24"/>
                <w:szCs w:val="24"/>
                <w:lang w:val="en-US" w:eastAsia="zh-CN"/>
              </w:rPr>
              <w:t>《公司章程》中已经制定了符合公司实际且能保障股东权益的分红政策，后续公司将按照该政策继续执行。公司目前尚未建立股权激励机制考核制度。</w:t>
            </w:r>
          </w:p>
          <w:p>
            <w:pPr>
              <w:spacing w:line="360" w:lineRule="auto"/>
              <w:rPr>
                <w:rFonts w:hint="eastAsia" w:ascii="华文楷体" w:hAnsi="华文楷体" w:eastAsia="华文楷体" w:cs="华文楷体"/>
                <w:bCs/>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华文楷体" w:hAnsi="华文楷体" w:eastAsia="华文楷体" w:cs="华文楷体"/>
                <w:bCs/>
                <w:iCs/>
                <w:color w:val="000000"/>
                <w:sz w:val="24"/>
                <w:szCs w:val="24"/>
              </w:rPr>
            </w:pPr>
            <w:r>
              <w:rPr>
                <w:rFonts w:hint="eastAsia" w:ascii="华文楷体" w:hAnsi="华文楷体" w:eastAsia="华文楷体" w:cs="华文楷体"/>
                <w:bCs/>
                <w:iCs/>
                <w:color w:val="000000"/>
                <w:sz w:val="24"/>
                <w:szCs w:val="24"/>
              </w:rPr>
              <w:t>本次活动是否涉及应当披露重大信息</w:t>
            </w:r>
          </w:p>
        </w:tc>
        <w:tc>
          <w:tcPr>
            <w:tcW w:w="5896" w:type="dxa"/>
            <w:tcBorders>
              <w:top w:val="single" w:color="auto" w:sz="4" w:space="0"/>
              <w:left w:val="single" w:color="auto" w:sz="4" w:space="0"/>
              <w:bottom w:val="single" w:color="auto" w:sz="4" w:space="0"/>
              <w:right w:val="single" w:color="auto" w:sz="4" w:space="0"/>
            </w:tcBorders>
          </w:tcPr>
          <w:p>
            <w:pPr>
              <w:spacing w:line="360" w:lineRule="auto"/>
              <w:rPr>
                <w:rFonts w:hint="eastAsia" w:ascii="华文楷体" w:hAnsi="华文楷体" w:eastAsia="华文楷体" w:cs="华文楷体"/>
                <w:bCs/>
                <w:iCs/>
                <w:color w:val="000000"/>
                <w:sz w:val="24"/>
                <w:szCs w:val="24"/>
                <w:lang w:val="en-US" w:eastAsia="zh-CN"/>
              </w:rPr>
            </w:pPr>
            <w:r>
              <w:rPr>
                <w:rFonts w:hint="eastAsia" w:ascii="华文楷体" w:hAnsi="华文楷体" w:eastAsia="华文楷体" w:cs="华文楷体"/>
                <w:bCs/>
                <w:iCs/>
                <w:color w:val="00000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626" w:type="dxa"/>
            <w:tcBorders>
              <w:top w:val="single" w:color="auto" w:sz="4" w:space="0"/>
              <w:left w:val="single" w:color="auto" w:sz="4" w:space="0"/>
              <w:right w:val="single" w:color="auto" w:sz="4" w:space="0"/>
            </w:tcBorders>
            <w:vAlign w:val="center"/>
          </w:tcPr>
          <w:p>
            <w:pPr>
              <w:spacing w:line="360" w:lineRule="auto"/>
              <w:rPr>
                <w:rFonts w:hint="eastAsia" w:ascii="华文楷体" w:hAnsi="华文楷体" w:eastAsia="华文楷体" w:cs="华文楷体"/>
                <w:bCs/>
                <w:iCs/>
                <w:color w:val="000000"/>
                <w:sz w:val="24"/>
                <w:szCs w:val="24"/>
              </w:rPr>
            </w:pPr>
            <w:r>
              <w:rPr>
                <w:rFonts w:hint="eastAsia" w:ascii="华文楷体" w:hAnsi="华文楷体" w:eastAsia="华文楷体" w:cs="华文楷体"/>
                <w:bCs/>
                <w:iCs/>
                <w:color w:val="000000"/>
                <w:sz w:val="24"/>
                <w:szCs w:val="24"/>
              </w:rPr>
              <w:t>附件清单（如有）</w:t>
            </w:r>
          </w:p>
        </w:tc>
        <w:tc>
          <w:tcPr>
            <w:tcW w:w="5896" w:type="dxa"/>
            <w:tcBorders>
              <w:top w:val="single" w:color="auto" w:sz="4" w:space="0"/>
              <w:left w:val="single" w:color="auto" w:sz="4" w:space="0"/>
              <w:bottom w:val="single" w:color="auto" w:sz="4" w:space="0"/>
              <w:right w:val="single" w:color="auto" w:sz="4" w:space="0"/>
            </w:tcBorders>
          </w:tcPr>
          <w:p>
            <w:pPr>
              <w:spacing w:line="360" w:lineRule="auto"/>
              <w:rPr>
                <w:rFonts w:hint="eastAsia" w:ascii="华文楷体" w:hAnsi="华文楷体" w:eastAsia="华文楷体" w:cs="华文楷体"/>
                <w:bCs/>
                <w:iCs/>
                <w:color w:val="000000"/>
                <w:sz w:val="24"/>
                <w:szCs w:val="24"/>
                <w:lang w:val="en-US" w:eastAsia="zh-CN"/>
              </w:rPr>
            </w:pPr>
            <w:r>
              <w:rPr>
                <w:rFonts w:hint="eastAsia" w:ascii="华文楷体" w:hAnsi="华文楷体" w:eastAsia="华文楷体" w:cs="华文楷体"/>
                <w:bCs/>
                <w:iCs/>
                <w:color w:val="000000"/>
                <w:sz w:val="24"/>
                <w:szCs w:val="24"/>
                <w:lang w:val="en-US" w:eastAsia="zh-CN"/>
              </w:rPr>
              <w:t>无</w:t>
            </w:r>
          </w:p>
        </w:tc>
      </w:tr>
    </w:tbl>
    <w:p>
      <w:pPr>
        <w:widowControl/>
        <w:jc w:val="left"/>
      </w:pPr>
    </w:p>
    <w:p>
      <w:pPr>
        <w:spacing w:before="0" w:beforeLines="-2147483648" w:after="0" w:afterLines="-2147483648" w:line="240" w:lineRule="auto"/>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7CE0C"/>
    <w:multiLevelType w:val="singleLevel"/>
    <w:tmpl w:val="8787CE0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2NGRkOTM1M2M5YTFhZThlMzhmMTUxYjNmYjJjNTYifQ=="/>
  </w:docVars>
  <w:rsids>
    <w:rsidRoot w:val="00CE0611"/>
    <w:rsid w:val="000023C9"/>
    <w:rsid w:val="00006370"/>
    <w:rsid w:val="0001292C"/>
    <w:rsid w:val="00012967"/>
    <w:rsid w:val="0001475C"/>
    <w:rsid w:val="00015276"/>
    <w:rsid w:val="00022A83"/>
    <w:rsid w:val="00036ED9"/>
    <w:rsid w:val="0004224D"/>
    <w:rsid w:val="000441F4"/>
    <w:rsid w:val="00044CCF"/>
    <w:rsid w:val="00045B5F"/>
    <w:rsid w:val="000470B9"/>
    <w:rsid w:val="00050E87"/>
    <w:rsid w:val="00056E22"/>
    <w:rsid w:val="00057A6E"/>
    <w:rsid w:val="00063B4C"/>
    <w:rsid w:val="00075460"/>
    <w:rsid w:val="0008491A"/>
    <w:rsid w:val="000A61CC"/>
    <w:rsid w:val="000B61D4"/>
    <w:rsid w:val="000C3754"/>
    <w:rsid w:val="000C630F"/>
    <w:rsid w:val="000D0F4A"/>
    <w:rsid w:val="000D66C7"/>
    <w:rsid w:val="000E08C0"/>
    <w:rsid w:val="000E09C0"/>
    <w:rsid w:val="000E5E30"/>
    <w:rsid w:val="000F496A"/>
    <w:rsid w:val="00115D51"/>
    <w:rsid w:val="001258EE"/>
    <w:rsid w:val="00126925"/>
    <w:rsid w:val="00134D24"/>
    <w:rsid w:val="001448EA"/>
    <w:rsid w:val="00146C83"/>
    <w:rsid w:val="001476E5"/>
    <w:rsid w:val="00163869"/>
    <w:rsid w:val="001646EA"/>
    <w:rsid w:val="001712C2"/>
    <w:rsid w:val="00183DC3"/>
    <w:rsid w:val="00186714"/>
    <w:rsid w:val="00187E1C"/>
    <w:rsid w:val="00194117"/>
    <w:rsid w:val="001943B0"/>
    <w:rsid w:val="00197A35"/>
    <w:rsid w:val="001A12ED"/>
    <w:rsid w:val="001A42EE"/>
    <w:rsid w:val="001B504E"/>
    <w:rsid w:val="001C11F6"/>
    <w:rsid w:val="001C435F"/>
    <w:rsid w:val="001C50CE"/>
    <w:rsid w:val="001C5474"/>
    <w:rsid w:val="001C61FC"/>
    <w:rsid w:val="001D02DB"/>
    <w:rsid w:val="001D49F2"/>
    <w:rsid w:val="001E6323"/>
    <w:rsid w:val="001E76C7"/>
    <w:rsid w:val="001F54E9"/>
    <w:rsid w:val="00203970"/>
    <w:rsid w:val="00214F5D"/>
    <w:rsid w:val="002161E5"/>
    <w:rsid w:val="00216EB3"/>
    <w:rsid w:val="00217397"/>
    <w:rsid w:val="00234710"/>
    <w:rsid w:val="00236C54"/>
    <w:rsid w:val="00245464"/>
    <w:rsid w:val="00246AAE"/>
    <w:rsid w:val="00247101"/>
    <w:rsid w:val="002666C3"/>
    <w:rsid w:val="00266E74"/>
    <w:rsid w:val="00274461"/>
    <w:rsid w:val="0028266D"/>
    <w:rsid w:val="00283A79"/>
    <w:rsid w:val="0028680F"/>
    <w:rsid w:val="00294827"/>
    <w:rsid w:val="002A4948"/>
    <w:rsid w:val="002B191D"/>
    <w:rsid w:val="002B349F"/>
    <w:rsid w:val="002B6657"/>
    <w:rsid w:val="002B6949"/>
    <w:rsid w:val="002C4146"/>
    <w:rsid w:val="002C4A8F"/>
    <w:rsid w:val="002D4AA0"/>
    <w:rsid w:val="002D5D2C"/>
    <w:rsid w:val="002E69F2"/>
    <w:rsid w:val="002E6D8C"/>
    <w:rsid w:val="002F1C4B"/>
    <w:rsid w:val="00307188"/>
    <w:rsid w:val="003079FE"/>
    <w:rsid w:val="00311FE8"/>
    <w:rsid w:val="00313034"/>
    <w:rsid w:val="00313611"/>
    <w:rsid w:val="0031470D"/>
    <w:rsid w:val="0032301A"/>
    <w:rsid w:val="00336536"/>
    <w:rsid w:val="003445C8"/>
    <w:rsid w:val="0035390B"/>
    <w:rsid w:val="00357DC5"/>
    <w:rsid w:val="003623AF"/>
    <w:rsid w:val="003640CE"/>
    <w:rsid w:val="00370107"/>
    <w:rsid w:val="00383297"/>
    <w:rsid w:val="003846E9"/>
    <w:rsid w:val="00390FB9"/>
    <w:rsid w:val="00392F4F"/>
    <w:rsid w:val="0039561A"/>
    <w:rsid w:val="003A3323"/>
    <w:rsid w:val="003A481D"/>
    <w:rsid w:val="003B2D62"/>
    <w:rsid w:val="003B2EAB"/>
    <w:rsid w:val="003B3285"/>
    <w:rsid w:val="003B5F20"/>
    <w:rsid w:val="003B6323"/>
    <w:rsid w:val="003D1270"/>
    <w:rsid w:val="003D312A"/>
    <w:rsid w:val="003E3317"/>
    <w:rsid w:val="004040D8"/>
    <w:rsid w:val="0040633A"/>
    <w:rsid w:val="00421FB1"/>
    <w:rsid w:val="00446F04"/>
    <w:rsid w:val="00453B5E"/>
    <w:rsid w:val="004604CE"/>
    <w:rsid w:val="00460B7F"/>
    <w:rsid w:val="00470363"/>
    <w:rsid w:val="00471917"/>
    <w:rsid w:val="004743CF"/>
    <w:rsid w:val="00486135"/>
    <w:rsid w:val="004A3BA3"/>
    <w:rsid w:val="004A67CF"/>
    <w:rsid w:val="004B3810"/>
    <w:rsid w:val="004D6750"/>
    <w:rsid w:val="004E23D7"/>
    <w:rsid w:val="004E56B6"/>
    <w:rsid w:val="004F1463"/>
    <w:rsid w:val="004F2253"/>
    <w:rsid w:val="004F229C"/>
    <w:rsid w:val="004F3712"/>
    <w:rsid w:val="004F71FE"/>
    <w:rsid w:val="00504DEE"/>
    <w:rsid w:val="00523BCA"/>
    <w:rsid w:val="005266BF"/>
    <w:rsid w:val="00526FF0"/>
    <w:rsid w:val="00540960"/>
    <w:rsid w:val="00542DB6"/>
    <w:rsid w:val="005463E6"/>
    <w:rsid w:val="005470F2"/>
    <w:rsid w:val="00552CFB"/>
    <w:rsid w:val="00574E41"/>
    <w:rsid w:val="00580EE8"/>
    <w:rsid w:val="00582C65"/>
    <w:rsid w:val="0058740B"/>
    <w:rsid w:val="005A746D"/>
    <w:rsid w:val="005B1F70"/>
    <w:rsid w:val="005B3E33"/>
    <w:rsid w:val="005C44D4"/>
    <w:rsid w:val="005D2541"/>
    <w:rsid w:val="005D6387"/>
    <w:rsid w:val="005D67E9"/>
    <w:rsid w:val="005E5518"/>
    <w:rsid w:val="005F4091"/>
    <w:rsid w:val="00605EE0"/>
    <w:rsid w:val="00623C20"/>
    <w:rsid w:val="0063026C"/>
    <w:rsid w:val="00631730"/>
    <w:rsid w:val="0063176C"/>
    <w:rsid w:val="00636596"/>
    <w:rsid w:val="00645506"/>
    <w:rsid w:val="00651914"/>
    <w:rsid w:val="0065622C"/>
    <w:rsid w:val="00656832"/>
    <w:rsid w:val="00660FC5"/>
    <w:rsid w:val="0066661E"/>
    <w:rsid w:val="00670328"/>
    <w:rsid w:val="00686C40"/>
    <w:rsid w:val="006945AF"/>
    <w:rsid w:val="00697D6B"/>
    <w:rsid w:val="006B002C"/>
    <w:rsid w:val="006B423B"/>
    <w:rsid w:val="006B460A"/>
    <w:rsid w:val="006B5760"/>
    <w:rsid w:val="006C1F0E"/>
    <w:rsid w:val="006C2758"/>
    <w:rsid w:val="006C2AAD"/>
    <w:rsid w:val="006C4B1E"/>
    <w:rsid w:val="006D19F8"/>
    <w:rsid w:val="006E0FC8"/>
    <w:rsid w:val="006E444A"/>
    <w:rsid w:val="006E79CD"/>
    <w:rsid w:val="006F3B05"/>
    <w:rsid w:val="006F6F4A"/>
    <w:rsid w:val="007038B2"/>
    <w:rsid w:val="00707FC6"/>
    <w:rsid w:val="00713415"/>
    <w:rsid w:val="007163B4"/>
    <w:rsid w:val="00717993"/>
    <w:rsid w:val="00725451"/>
    <w:rsid w:val="00726F38"/>
    <w:rsid w:val="007537ED"/>
    <w:rsid w:val="00753CC0"/>
    <w:rsid w:val="00753F23"/>
    <w:rsid w:val="00754AF3"/>
    <w:rsid w:val="007610B7"/>
    <w:rsid w:val="00765FDA"/>
    <w:rsid w:val="00766195"/>
    <w:rsid w:val="007725DC"/>
    <w:rsid w:val="00781A68"/>
    <w:rsid w:val="00786156"/>
    <w:rsid w:val="007872FA"/>
    <w:rsid w:val="00790C83"/>
    <w:rsid w:val="00791A52"/>
    <w:rsid w:val="007926C1"/>
    <w:rsid w:val="007967E4"/>
    <w:rsid w:val="00796F73"/>
    <w:rsid w:val="007A13ED"/>
    <w:rsid w:val="007B1EC7"/>
    <w:rsid w:val="007B2FD7"/>
    <w:rsid w:val="007C3950"/>
    <w:rsid w:val="007D3408"/>
    <w:rsid w:val="007E0AFF"/>
    <w:rsid w:val="007E4A6A"/>
    <w:rsid w:val="007E50AD"/>
    <w:rsid w:val="007E598A"/>
    <w:rsid w:val="007F1A99"/>
    <w:rsid w:val="00817084"/>
    <w:rsid w:val="00821C41"/>
    <w:rsid w:val="00822CCF"/>
    <w:rsid w:val="00826B49"/>
    <w:rsid w:val="00840ACE"/>
    <w:rsid w:val="00845D28"/>
    <w:rsid w:val="00852F50"/>
    <w:rsid w:val="008660CE"/>
    <w:rsid w:val="0087053C"/>
    <w:rsid w:val="00871A70"/>
    <w:rsid w:val="00875426"/>
    <w:rsid w:val="00877953"/>
    <w:rsid w:val="0088191E"/>
    <w:rsid w:val="00882220"/>
    <w:rsid w:val="00884561"/>
    <w:rsid w:val="00885979"/>
    <w:rsid w:val="008A3872"/>
    <w:rsid w:val="008B0894"/>
    <w:rsid w:val="008B48E4"/>
    <w:rsid w:val="008B752C"/>
    <w:rsid w:val="008C1BB7"/>
    <w:rsid w:val="008E5260"/>
    <w:rsid w:val="008F1B41"/>
    <w:rsid w:val="008F5361"/>
    <w:rsid w:val="00901A6F"/>
    <w:rsid w:val="00903369"/>
    <w:rsid w:val="00904F85"/>
    <w:rsid w:val="009055D4"/>
    <w:rsid w:val="00912595"/>
    <w:rsid w:val="00913308"/>
    <w:rsid w:val="00917986"/>
    <w:rsid w:val="009216EC"/>
    <w:rsid w:val="0092600A"/>
    <w:rsid w:val="00930174"/>
    <w:rsid w:val="009322D1"/>
    <w:rsid w:val="009427B3"/>
    <w:rsid w:val="009612E1"/>
    <w:rsid w:val="00961FF2"/>
    <w:rsid w:val="009621E4"/>
    <w:rsid w:val="0096379B"/>
    <w:rsid w:val="00964C5F"/>
    <w:rsid w:val="00964CDF"/>
    <w:rsid w:val="00982A78"/>
    <w:rsid w:val="00987AC5"/>
    <w:rsid w:val="00990252"/>
    <w:rsid w:val="00990392"/>
    <w:rsid w:val="009932E6"/>
    <w:rsid w:val="00995DB7"/>
    <w:rsid w:val="009964DB"/>
    <w:rsid w:val="009B6B0B"/>
    <w:rsid w:val="009C1AD5"/>
    <w:rsid w:val="009D0107"/>
    <w:rsid w:val="009D3941"/>
    <w:rsid w:val="009E77FA"/>
    <w:rsid w:val="009F2310"/>
    <w:rsid w:val="009F4431"/>
    <w:rsid w:val="00A03135"/>
    <w:rsid w:val="00A03F7D"/>
    <w:rsid w:val="00A10AA5"/>
    <w:rsid w:val="00A117DA"/>
    <w:rsid w:val="00A17A38"/>
    <w:rsid w:val="00A20DF2"/>
    <w:rsid w:val="00A23C02"/>
    <w:rsid w:val="00A36642"/>
    <w:rsid w:val="00A3713D"/>
    <w:rsid w:val="00A4137E"/>
    <w:rsid w:val="00A43806"/>
    <w:rsid w:val="00A55D07"/>
    <w:rsid w:val="00A55DA1"/>
    <w:rsid w:val="00A66DFB"/>
    <w:rsid w:val="00A70A84"/>
    <w:rsid w:val="00A71103"/>
    <w:rsid w:val="00A84554"/>
    <w:rsid w:val="00A856DE"/>
    <w:rsid w:val="00A91C15"/>
    <w:rsid w:val="00AA11D7"/>
    <w:rsid w:val="00AB45F9"/>
    <w:rsid w:val="00AC26C2"/>
    <w:rsid w:val="00AC5FEB"/>
    <w:rsid w:val="00AD2DDF"/>
    <w:rsid w:val="00AE00E9"/>
    <w:rsid w:val="00AE59D9"/>
    <w:rsid w:val="00AF08F7"/>
    <w:rsid w:val="00AF0989"/>
    <w:rsid w:val="00AF6DD1"/>
    <w:rsid w:val="00B02364"/>
    <w:rsid w:val="00B05358"/>
    <w:rsid w:val="00B05473"/>
    <w:rsid w:val="00B0638A"/>
    <w:rsid w:val="00B12A30"/>
    <w:rsid w:val="00B15B48"/>
    <w:rsid w:val="00B21966"/>
    <w:rsid w:val="00B2461E"/>
    <w:rsid w:val="00B26477"/>
    <w:rsid w:val="00B328CD"/>
    <w:rsid w:val="00B35DD9"/>
    <w:rsid w:val="00B40898"/>
    <w:rsid w:val="00B41949"/>
    <w:rsid w:val="00B57028"/>
    <w:rsid w:val="00B572E3"/>
    <w:rsid w:val="00B60B6D"/>
    <w:rsid w:val="00B60E60"/>
    <w:rsid w:val="00B7580E"/>
    <w:rsid w:val="00B76BDC"/>
    <w:rsid w:val="00B774CE"/>
    <w:rsid w:val="00B7788C"/>
    <w:rsid w:val="00B82E40"/>
    <w:rsid w:val="00B93AF0"/>
    <w:rsid w:val="00B952E7"/>
    <w:rsid w:val="00BA1C24"/>
    <w:rsid w:val="00BA222F"/>
    <w:rsid w:val="00BA4A3A"/>
    <w:rsid w:val="00BB01C5"/>
    <w:rsid w:val="00BB0B49"/>
    <w:rsid w:val="00BB3514"/>
    <w:rsid w:val="00BB6058"/>
    <w:rsid w:val="00BC0DDC"/>
    <w:rsid w:val="00BC53EE"/>
    <w:rsid w:val="00BC7017"/>
    <w:rsid w:val="00BD0462"/>
    <w:rsid w:val="00BD6D9D"/>
    <w:rsid w:val="00BE3767"/>
    <w:rsid w:val="00BE61B3"/>
    <w:rsid w:val="00BE620F"/>
    <w:rsid w:val="00BE7769"/>
    <w:rsid w:val="00BF4724"/>
    <w:rsid w:val="00C01440"/>
    <w:rsid w:val="00C06D77"/>
    <w:rsid w:val="00C12F24"/>
    <w:rsid w:val="00C20B90"/>
    <w:rsid w:val="00C25A73"/>
    <w:rsid w:val="00C3345E"/>
    <w:rsid w:val="00C3410A"/>
    <w:rsid w:val="00C4613F"/>
    <w:rsid w:val="00C46CA0"/>
    <w:rsid w:val="00C72467"/>
    <w:rsid w:val="00C766E5"/>
    <w:rsid w:val="00C77483"/>
    <w:rsid w:val="00C82984"/>
    <w:rsid w:val="00C829CD"/>
    <w:rsid w:val="00C9178D"/>
    <w:rsid w:val="00C96D6D"/>
    <w:rsid w:val="00CA084B"/>
    <w:rsid w:val="00CA0A9F"/>
    <w:rsid w:val="00CA104C"/>
    <w:rsid w:val="00CA6B37"/>
    <w:rsid w:val="00CC30AA"/>
    <w:rsid w:val="00CD2BA3"/>
    <w:rsid w:val="00CE0611"/>
    <w:rsid w:val="00CF053C"/>
    <w:rsid w:val="00CF64CA"/>
    <w:rsid w:val="00D03EC3"/>
    <w:rsid w:val="00D11F5D"/>
    <w:rsid w:val="00D15C1F"/>
    <w:rsid w:val="00D15EE2"/>
    <w:rsid w:val="00D219A5"/>
    <w:rsid w:val="00D23D6F"/>
    <w:rsid w:val="00D27467"/>
    <w:rsid w:val="00D354FB"/>
    <w:rsid w:val="00D40138"/>
    <w:rsid w:val="00D4072D"/>
    <w:rsid w:val="00D47167"/>
    <w:rsid w:val="00D57937"/>
    <w:rsid w:val="00D6175D"/>
    <w:rsid w:val="00D67B29"/>
    <w:rsid w:val="00D7219D"/>
    <w:rsid w:val="00D7645C"/>
    <w:rsid w:val="00D82457"/>
    <w:rsid w:val="00D83A3B"/>
    <w:rsid w:val="00D84F89"/>
    <w:rsid w:val="00D8562E"/>
    <w:rsid w:val="00D90A95"/>
    <w:rsid w:val="00D9212E"/>
    <w:rsid w:val="00D93F9E"/>
    <w:rsid w:val="00DC4981"/>
    <w:rsid w:val="00DD5188"/>
    <w:rsid w:val="00DD7AD8"/>
    <w:rsid w:val="00DD7F7D"/>
    <w:rsid w:val="00DF0513"/>
    <w:rsid w:val="00DF1A59"/>
    <w:rsid w:val="00DF4706"/>
    <w:rsid w:val="00E00F6F"/>
    <w:rsid w:val="00E06B73"/>
    <w:rsid w:val="00E1128E"/>
    <w:rsid w:val="00E44243"/>
    <w:rsid w:val="00E502A9"/>
    <w:rsid w:val="00E53A47"/>
    <w:rsid w:val="00E557A0"/>
    <w:rsid w:val="00E5697F"/>
    <w:rsid w:val="00E6153A"/>
    <w:rsid w:val="00E62B1C"/>
    <w:rsid w:val="00E65735"/>
    <w:rsid w:val="00E71010"/>
    <w:rsid w:val="00E73753"/>
    <w:rsid w:val="00E82EF6"/>
    <w:rsid w:val="00EA2AE7"/>
    <w:rsid w:val="00EA3B49"/>
    <w:rsid w:val="00EA6ACC"/>
    <w:rsid w:val="00EB33D3"/>
    <w:rsid w:val="00EB366E"/>
    <w:rsid w:val="00EB717D"/>
    <w:rsid w:val="00EB7252"/>
    <w:rsid w:val="00EC15D0"/>
    <w:rsid w:val="00EE2F61"/>
    <w:rsid w:val="00EE30B5"/>
    <w:rsid w:val="00EE4B08"/>
    <w:rsid w:val="00EE622C"/>
    <w:rsid w:val="00EF4606"/>
    <w:rsid w:val="00EF77E7"/>
    <w:rsid w:val="00F007F9"/>
    <w:rsid w:val="00F00BFD"/>
    <w:rsid w:val="00F040D1"/>
    <w:rsid w:val="00F07033"/>
    <w:rsid w:val="00F11ACF"/>
    <w:rsid w:val="00F139FB"/>
    <w:rsid w:val="00F26261"/>
    <w:rsid w:val="00F31D2C"/>
    <w:rsid w:val="00F354CA"/>
    <w:rsid w:val="00F35A54"/>
    <w:rsid w:val="00F36435"/>
    <w:rsid w:val="00F632F1"/>
    <w:rsid w:val="00F67F54"/>
    <w:rsid w:val="00F75D5F"/>
    <w:rsid w:val="00F8118E"/>
    <w:rsid w:val="00F910BD"/>
    <w:rsid w:val="00FA0120"/>
    <w:rsid w:val="00FC068F"/>
    <w:rsid w:val="00FC4D9F"/>
    <w:rsid w:val="00FD5AB9"/>
    <w:rsid w:val="00FD5D67"/>
    <w:rsid w:val="00FD7DFB"/>
    <w:rsid w:val="00FF4EE1"/>
    <w:rsid w:val="020E11E6"/>
    <w:rsid w:val="127D4FB2"/>
    <w:rsid w:val="1E5C3AED"/>
    <w:rsid w:val="2EFC6F3A"/>
    <w:rsid w:val="35282B45"/>
    <w:rsid w:val="35872CB7"/>
    <w:rsid w:val="44494EC8"/>
    <w:rsid w:val="46231A02"/>
    <w:rsid w:val="64640461"/>
    <w:rsid w:val="67C81147"/>
    <w:rsid w:val="6B2C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ody Text Indent"/>
    <w:basedOn w:val="1"/>
    <w:link w:val="14"/>
    <w:qFormat/>
    <w:uiPriority w:val="0"/>
    <w:pPr>
      <w:spacing w:after="120"/>
      <w:ind w:left="200" w:leftChars="200"/>
    </w:p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character" w:styleId="10">
    <w:name w:val="Hyperlink"/>
    <w:basedOn w:val="9"/>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正文文本缩进 字符"/>
    <w:basedOn w:val="9"/>
    <w:link w:val="3"/>
    <w:qFormat/>
    <w:uiPriority w:val="0"/>
    <w:rPr>
      <w:rFonts w:ascii="Times New Roman" w:hAnsi="Times New Roman" w:eastAsia="宋体" w:cs="Times New Roman"/>
      <w:szCs w:val="20"/>
    </w:rPr>
  </w:style>
  <w:style w:type="character" w:customStyle="1" w:styleId="15">
    <w:name w:val="批注框文本 字符"/>
    <w:basedOn w:val="9"/>
    <w:link w:val="4"/>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批注文字 字符"/>
    <w:basedOn w:val="9"/>
    <w:link w:val="2"/>
    <w:semiHidden/>
    <w:qFormat/>
    <w:uiPriority w:val="99"/>
    <w:rPr>
      <w:rFonts w:ascii="Times New Roman" w:hAnsi="Times New Roman" w:eastAsia="宋体" w:cs="Times New Roman"/>
      <w:kern w:val="2"/>
      <w:sz w:val="21"/>
    </w:rPr>
  </w:style>
  <w:style w:type="character" w:customStyle="1" w:styleId="18">
    <w:name w:val="批注主题 字符"/>
    <w:basedOn w:val="17"/>
    <w:link w:val="7"/>
    <w:semiHidden/>
    <w:qFormat/>
    <w:uiPriority w:val="99"/>
    <w:rPr>
      <w:rFonts w:ascii="Times New Roman" w:hAnsi="Times New Roman" w:eastAsia="宋体" w:cs="Times New Roman"/>
      <w:b/>
      <w:bCs/>
      <w:kern w:val="2"/>
      <w:sz w:val="21"/>
    </w:rPr>
  </w:style>
  <w:style w:type="character" w:customStyle="1" w:styleId="19">
    <w:name w:val="fontstyle01"/>
    <w:basedOn w:val="9"/>
    <w:qFormat/>
    <w:uiPriority w:val="0"/>
    <w:rPr>
      <w:rFonts w:hint="eastAsia" w:ascii="宋体" w:hAnsi="宋体" w:eastAsia="宋体"/>
      <w:color w:val="000000"/>
      <w:sz w:val="26"/>
      <w:szCs w:val="26"/>
    </w:rPr>
  </w:style>
  <w:style w:type="character" w:customStyle="1" w:styleId="20">
    <w:name w:val="fontstyle21"/>
    <w:basedOn w:val="9"/>
    <w:qFormat/>
    <w:uiPriority w:val="0"/>
    <w:rPr>
      <w:rFonts w:hint="default" w:ascii="MicrosoftYaHei" w:hAnsi="MicrosoftYaHei"/>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5114-7954-4421-9651-E2D840ACCF17}">
  <ds:schemaRefs/>
</ds:datastoreItem>
</file>

<file path=docProps/app.xml><?xml version="1.0" encoding="utf-8"?>
<Properties xmlns="http://schemas.openxmlformats.org/officeDocument/2006/extended-properties" xmlns:vt="http://schemas.openxmlformats.org/officeDocument/2006/docPropsVTypes">
  <Template>Normal</Template>
  <Pages>3</Pages>
  <Words>238</Words>
  <Characters>1363</Characters>
  <Lines>11</Lines>
  <Paragraphs>3</Paragraphs>
  <TotalTime>45</TotalTime>
  <ScaleCrop>false</ScaleCrop>
  <LinksUpToDate>false</LinksUpToDate>
  <CharactersWithSpaces>1598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2022-03-17T10:10:00Z</dcterms:created>
  <dc:creator>lenovo</dc:creator>
  <cp:lastModifiedBy>董月源</cp:lastModifiedBy>
  <cp:lastPrinted>2022-05-27T10:09:00Z</cp:lastPrinted>
  <dcterms:modified xsi:type="dcterms:W3CDTF">2023-11-22T06:09:53Z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0686D0398820432FB0CC37B6A2452BAB_12</vt:lpwstr>
  </property>
</Properties>
</file>