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312" w:afterLines="10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证券代码：603289                                  证券简称： 泰瑞机器</w:t>
      </w:r>
    </w:p>
    <w:p>
      <w:pPr>
        <w:pStyle w:val="5"/>
        <w:spacing w:before="0" w:beforeAutospacing="0" w:after="0" w:afterAutospacing="0" w:line="360" w:lineRule="auto"/>
        <w:ind w:firstLine="643" w:firstLineChars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泰瑞机器股份有限公司</w:t>
      </w:r>
    </w:p>
    <w:p>
      <w:pPr>
        <w:pStyle w:val="5"/>
        <w:spacing w:before="0" w:beforeAutospacing="0" w:after="0" w:afterAutospacing="0" w:line="360" w:lineRule="auto"/>
        <w:ind w:firstLine="643" w:firstLineChars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2023年11月23日投资者关系活动记录表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投资者关系活动类别</w:t>
            </w:r>
          </w:p>
        </w:tc>
        <w:tc>
          <w:tcPr>
            <w:tcW w:w="6340" w:type="dxa"/>
          </w:tcPr>
          <w:p>
            <w:pPr>
              <w:pStyle w:val="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Wingdings 2" w:hAnsi="Wingdings 2"/>
              </w:rPr>
              <w:t>R</w:t>
            </w:r>
            <w:r>
              <w:rPr>
                <w:rFonts w:ascii="Times New Roman" w:hAnsi="Times New Roman"/>
              </w:rPr>
              <w:t>特定对象调研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分析师会议</w:t>
            </w:r>
          </w:p>
          <w:p>
            <w:pPr>
              <w:pStyle w:val="5"/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 xml:space="preserve">媒体采访  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业绩说明会</w:t>
            </w:r>
          </w:p>
          <w:p>
            <w:pPr>
              <w:pStyle w:val="5"/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 xml:space="preserve">新闻发布会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路演活动</w:t>
            </w:r>
          </w:p>
          <w:p>
            <w:pPr>
              <w:pStyle w:val="5"/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现场参观</w:t>
            </w:r>
          </w:p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参与单位名称及人员姓名</w:t>
            </w:r>
          </w:p>
        </w:tc>
        <w:tc>
          <w:tcPr>
            <w:tcW w:w="634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方正证券  赵璐</w:t>
            </w:r>
          </w:p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申万菱信  谢欣雨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6340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2023年11月23日（星期四）10:00-12:00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地点</w:t>
            </w:r>
          </w:p>
        </w:tc>
        <w:tc>
          <w:tcPr>
            <w:tcW w:w="6340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杭州经济技术开发区下沙街道文泽北路245号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上市公司接待人员姓名</w:t>
            </w:r>
          </w:p>
        </w:tc>
        <w:tc>
          <w:tcPr>
            <w:tcW w:w="6340" w:type="dxa"/>
            <w:vAlign w:val="center"/>
          </w:tcPr>
          <w:p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董事会秘书：丁宏娇女士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投资者关系活动主要内容介绍</w:t>
            </w:r>
          </w:p>
        </w:tc>
        <w:tc>
          <w:tcPr>
            <w:tcW w:w="6340" w:type="dxa"/>
          </w:tcPr>
          <w:p>
            <w:pPr>
              <w:pStyle w:val="5"/>
              <w:adjustRightInd w:val="0"/>
              <w:snapToGrid w:val="0"/>
              <w:spacing w:before="156" w:beforeLines="5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问题1：公司产品下游各主要应用领域收入占比划分，新能源汽车占比多少？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答：以公司2022年注塑机国内销售数据为例（不含外销），公司注塑机产品在汽车领域收入占比</w:t>
            </w:r>
            <w:r>
              <w:rPr>
                <w:rFonts w:hint="eastAsia" w:ascii="Times New Roman" w:hAnsi="Times New Roman"/>
              </w:rPr>
              <w:t>约</w:t>
            </w:r>
            <w:r>
              <w:rPr>
                <w:rFonts w:ascii="Times New Roman" w:hAnsi="Times New Roman"/>
              </w:rPr>
              <w:t>为59.74%，家电领域收入占比</w:t>
            </w:r>
            <w:r>
              <w:rPr>
                <w:rFonts w:hint="eastAsia" w:ascii="Times New Roman" w:hAnsi="Times New Roman"/>
              </w:rPr>
              <w:t>约</w:t>
            </w:r>
            <w:r>
              <w:rPr>
                <w:rFonts w:ascii="Times New Roman" w:hAnsi="Times New Roman"/>
              </w:rPr>
              <w:t>为7.13%，城市建设领域收入占比</w:t>
            </w:r>
            <w:r>
              <w:rPr>
                <w:rFonts w:hint="eastAsia" w:ascii="Times New Roman" w:hAnsi="Times New Roman"/>
              </w:rPr>
              <w:t>约</w:t>
            </w:r>
            <w:r>
              <w:rPr>
                <w:rFonts w:ascii="Times New Roman" w:hAnsi="Times New Roman"/>
              </w:rPr>
              <w:t>为3.24%，其他领域收入占比</w:t>
            </w:r>
            <w:r>
              <w:rPr>
                <w:rFonts w:hint="eastAsia" w:ascii="Times New Roman" w:hAnsi="Times New Roman"/>
              </w:rPr>
              <w:t>约</w:t>
            </w:r>
            <w:r>
              <w:rPr>
                <w:rFonts w:ascii="Times New Roman" w:hAnsi="Times New Roman"/>
              </w:rPr>
              <w:t>为29.89%。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问题2：公司两板机、三板机及电动机的收入占比情况？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答：以公司2022年销售数据为例，两板机收入占比约32.75%，三板机收入占比约49.72%，电动机收入占比约17.53%。 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问题3：公司产品直销、经销收入的占比分别是多少？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答：2022年，公司注塑机产品直销收入占比约为64.40%，经销收入占比约为35.60%。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问题4：公司产品国内、海外收入占比分别是多少？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答：2022年，公司注塑机产品国内收入占比约为60.23%，国外收入占比约为39.77%。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问题5</w:t>
            </w:r>
            <w:r>
              <w:rPr>
                <w:rFonts w:hint="eastAsia" w:ascii="Times New Roman" w:hAnsi="Times New Roman"/>
                <w:b/>
                <w:bCs/>
              </w:rPr>
              <w:t>：</w:t>
            </w:r>
            <w:r>
              <w:rPr>
                <w:rFonts w:ascii="Times New Roman" w:hAnsi="Times New Roman"/>
                <w:b/>
                <w:bCs/>
              </w:rPr>
              <w:t>目前公司海外市场主要出口到哪些国家和地区？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答：公司注塑机产品目前主要出口到欧洲、亚洲、北美洲等地区。以公司2022年销售数据为例，欧洲收入占比约为24.75%，亚洲收入占比约为46.56%，北美洲收入占比约为15.36%。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问题6</w:t>
            </w:r>
            <w:r>
              <w:rPr>
                <w:rFonts w:hint="eastAsia" w:ascii="Times New Roman" w:hAnsi="Times New Roman"/>
                <w:b/>
                <w:bCs/>
              </w:rPr>
              <w:t>：</w:t>
            </w:r>
            <w:r>
              <w:rPr>
                <w:rFonts w:ascii="Times New Roman" w:hAnsi="Times New Roman"/>
                <w:b/>
                <w:bCs/>
              </w:rPr>
              <w:t>未来海外哪些国家需求比较旺盛？或者海外哪些国家有业务机会？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（1）俄乌冲突，欧洲能源危机，欧洲当地制造业能源、材料成本上升，产能不足，而欧洲是高端装备主要产地，中国高端装备制造业迎来进口及出口双替代窗口期；（2）墨西哥为各汽车厂商出口美国的重要生产基地，同时欧洲汽车产业链较为成熟，墨西哥和欧洲市场汽车应用M、H等大型多物料注塑设备业务机会多；（3）人口大国人均塑料消费低的国家如印度、印尼等国家拟有业务机会；（4）“一带一路”沿线新兴国家，投资景气度较高或者财政有较大空间加杠杆“参照中国经验投资驱动”的国家比如越南、泰国等亚洲国家拟有业务机会；（5）逆全球化发达国家重建制造业</w:t>
            </w:r>
            <w:r>
              <w:rPr>
                <w:rFonts w:hint="eastAsia" w:ascii="Times New Roman" w:hAnsi="Times New Roman"/>
              </w:rPr>
              <w:t>使得</w:t>
            </w:r>
            <w:r>
              <w:rPr>
                <w:rFonts w:ascii="Times New Roman" w:hAnsi="Times New Roman"/>
              </w:rPr>
              <w:t>机械设备行业迎来海外发达国家市场机遇及挑战。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问题7：我们目前注塑产品电动、二板、三板产品分别能做多少锁模力的？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答：目前电动注塑机（NEO.E）的锁模力主要约为60t–1400t，二板机（NEO.H）的锁模力主要约为550t–7000t，多组分注塑机（NEO.M）锁模力主要约为1120t–3520t，三板机（NEO.T）锁模力主要</w:t>
            </w:r>
            <w:r>
              <w:rPr>
                <w:rFonts w:hint="eastAsia" w:ascii="Times New Roman" w:hAnsi="Times New Roman"/>
              </w:rPr>
              <w:t>约</w:t>
            </w:r>
            <w:r>
              <w:rPr>
                <w:rFonts w:ascii="Times New Roman" w:hAnsi="Times New Roman"/>
              </w:rPr>
              <w:t>为90t-1050t。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问题8：应用领域汽车主要是生产什么的？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答：注塑设备主要生产车灯、结构件、内外饰等。其中内饰件比如仪表板、车门板、内侧把手，空调配件箱等，外饰件比如保险杠、进气格栅、立柱饰板等。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问题9：公司产品的交付周期一般多久？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答：客户从提需求下订到交付，一般情况大机型75-120天；中机型45-65天；小机型25-40天交付。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问题10：目前公司的产能利用率有多少，募投新增产能如何，新增产能否能被市场消化？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答：公司目前产能利用率已达95%左右，产能利用率已基本饱和。新增募投</w:t>
            </w:r>
            <w:r>
              <w:rPr>
                <w:rFonts w:hint="eastAsia" w:ascii="Times New Roman" w:hAnsi="Times New Roman"/>
              </w:rPr>
              <w:t>项目</w:t>
            </w:r>
            <w:r>
              <w:rPr>
                <w:rFonts w:ascii="Times New Roman" w:hAnsi="Times New Roman"/>
              </w:rPr>
              <w:t>5000台注塑高端装备，满产后产值约25.57亿，新增29台压铸机，满产后产值约2.8亿。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首先，根据Grand View Research研究机构数据统计，2022年全球注塑机市场空间约为153.30亿美元，公司2022年注塑机产品营收规模仅为11.86亿元，占全球市场份额仅1.15%，市场占有率提升空间非常大，考虑现有产能加募投新增产能全部消化，市场率也仅约2.4%左右。其次，新能源汽车产业仍处于高速增长期，公司注塑机优势产品在比亚迪得到市场验证并形成示范效应，随着新能源汽车产业的蓬勃发展，公司营收规模有望持续攀升。然后，公司以市场为导向，积极推进注塑机的产品创新和技术升级，竞争力和品牌效应不断增强，叠加高端注塑机国产替代进程加速，公司营收规模有望进一步提升。最后，公司持续加大全球化布局，结合刚提到的海外业务机会，内外销同步驱动有助于营收规模的持续攀升。综上，基于市占率持续提升的考量，我们有信心新增产能可以逐渐被市场消化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问题11：公司全电动注塑机下游的应用领域主要有哪些？客户主要有哪些？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公司全电动注塑机主要应用于汽车、包装、3C电子、医疗、日用品等领域。泰瑞高端全电动注塑机拥有高超的电动技术和丰富的应用经验，兼具精密、高效、耐用、节能、洁净、安全、友好、高适配性等优异性能，目前已与比亚迪、海拉等客户形成了合作关系。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问题12：目前公司一体化压铸产品进展如何，用于生产什么，及未来收入预期？</w:t>
            </w: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>公司以下游应用领域的压铸痛点与需求为导向进行技术研发创新，在压射与合模两大生产工艺方面取得重大突破，首台针对汽车结构件的4500T大型压铸机（适用于汽车结构件，如：减震塔、副车架、A.B柱等）已完成装配、客户试膜及销售合同签署。同时，针对新能源汽车一体化的3500T、7200T、9100T、12000T等大型、超大型压铸机产品也在研制、规划过程中，后续将陆续推出。根据募投</w:t>
            </w:r>
            <w:r>
              <w:rPr>
                <w:rFonts w:hint="eastAsia" w:ascii="Times New Roman" w:hAnsi="Times New Roman"/>
              </w:rPr>
              <w:t>项目</w:t>
            </w:r>
            <w:r>
              <w:rPr>
                <w:rFonts w:ascii="Times New Roman" w:hAnsi="Times New Roman"/>
              </w:rPr>
              <w:t>，一体</w:t>
            </w:r>
            <w:r>
              <w:rPr>
                <w:rFonts w:hint="eastAsia" w:ascii="Times New Roman" w:hAnsi="Times New Roman"/>
              </w:rPr>
              <w:t>化</w:t>
            </w:r>
            <w:r>
              <w:rPr>
                <w:rFonts w:ascii="Times New Roman" w:hAnsi="Times New Roman"/>
              </w:rPr>
              <w:t>压铸</w:t>
            </w:r>
            <w:r>
              <w:rPr>
                <w:rFonts w:hint="eastAsia" w:ascii="Times New Roman" w:hAnsi="Times New Roman"/>
              </w:rPr>
              <w:t>产品</w:t>
            </w:r>
            <w:r>
              <w:rPr>
                <w:rFonts w:ascii="Times New Roman" w:hAnsi="Times New Roman"/>
              </w:rPr>
              <w:t>首期规划是29台，产值约2.8亿。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附件清单（如有）</w:t>
            </w:r>
          </w:p>
        </w:tc>
        <w:tc>
          <w:tcPr>
            <w:tcW w:w="634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日期</w:t>
            </w:r>
          </w:p>
        </w:tc>
        <w:tc>
          <w:tcPr>
            <w:tcW w:w="6340" w:type="dxa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2023年11月24日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zNjMzZDM0MTcwZDQ4MzdlYjUyN2EwMjg1ZWQ1OTAifQ=="/>
  </w:docVars>
  <w:rsids>
    <w:rsidRoot w:val="00037B6D"/>
    <w:rsid w:val="00037B6D"/>
    <w:rsid w:val="001C3923"/>
    <w:rsid w:val="00255791"/>
    <w:rsid w:val="0028247E"/>
    <w:rsid w:val="002C54CE"/>
    <w:rsid w:val="00327960"/>
    <w:rsid w:val="003545D2"/>
    <w:rsid w:val="003C1DB9"/>
    <w:rsid w:val="003D2924"/>
    <w:rsid w:val="003E0851"/>
    <w:rsid w:val="003F3809"/>
    <w:rsid w:val="004B0BD4"/>
    <w:rsid w:val="00591433"/>
    <w:rsid w:val="00633B78"/>
    <w:rsid w:val="00723257"/>
    <w:rsid w:val="007300F0"/>
    <w:rsid w:val="0085419A"/>
    <w:rsid w:val="00860138"/>
    <w:rsid w:val="00895723"/>
    <w:rsid w:val="008C62C0"/>
    <w:rsid w:val="008F566E"/>
    <w:rsid w:val="00907F6B"/>
    <w:rsid w:val="00AE0820"/>
    <w:rsid w:val="00B06D25"/>
    <w:rsid w:val="00BC12CB"/>
    <w:rsid w:val="00BC2743"/>
    <w:rsid w:val="00BD28B4"/>
    <w:rsid w:val="00C41DFE"/>
    <w:rsid w:val="00CE6459"/>
    <w:rsid w:val="00D464A5"/>
    <w:rsid w:val="00D853F7"/>
    <w:rsid w:val="00DD3B67"/>
    <w:rsid w:val="00E135C0"/>
    <w:rsid w:val="00E96C2E"/>
    <w:rsid w:val="00EB5499"/>
    <w:rsid w:val="00EC55FF"/>
    <w:rsid w:val="00F730F1"/>
    <w:rsid w:val="00FE65DB"/>
    <w:rsid w:val="00FF228D"/>
    <w:rsid w:val="6D7F17E3"/>
    <w:rsid w:val="792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uiPriority w:val="99"/>
    <w:rPr>
      <w:rFonts w:ascii="Courier New" w:hAnsi="Courier New" w:cs="Courier New"/>
      <w:sz w:val="20"/>
      <w:szCs w:val="2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8">
    <w:name w:val="页眉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TML 预设格式 字符"/>
    <w:basedOn w:val="7"/>
    <w:link w:val="4"/>
    <w:semiHidden/>
    <w:uiPriority w:val="99"/>
    <w:rPr>
      <w:rFonts w:ascii="Courier New" w:hAnsi="Courier New" w:eastAsia="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354</Words>
  <Characters>2019</Characters>
  <Lines>16</Lines>
  <Paragraphs>4</Paragraphs>
  <TotalTime>59</TotalTime>
  <ScaleCrop>false</ScaleCrop>
  <LinksUpToDate>false</LinksUpToDate>
  <CharactersWithSpaces>2369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2023-09-28T08:57:00Z</dcterms:created>
  <dc:creator>hh</dc:creator>
  <cp:lastModifiedBy>丁宏娇</cp:lastModifiedBy>
  <dcterms:modified xsi:type="dcterms:W3CDTF">2023-11-24T08:46:42Z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C3C5D9FC2A9B48C2ACBC0EFCF0DD5955_13</vt:lpwstr>
  </property>
</Properties>
</file>