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rFonts w:ascii="宋体" w:hAnsi="宋体"/>
          <w:bCs/>
          <w:iCs/>
          <w:color w:val="000000" w:themeColor="text1"/>
          <w:sz w:val="24"/>
          <w14:textFill>
            <w14:solidFill>
              <w14:schemeClr w14:val="tx1"/>
            </w14:solidFill>
          </w14:textFill>
        </w:rPr>
      </w:pPr>
      <w:r>
        <w:rPr>
          <w:rFonts w:hint="eastAsia" w:ascii="宋体" w:hAnsi="宋体"/>
          <w:bCs/>
          <w:iCs/>
          <w:color w:val="000000" w:themeColor="text1"/>
          <w:sz w:val="24"/>
          <w14:textFill>
            <w14:solidFill>
              <w14:schemeClr w14:val="tx1"/>
            </w14:solidFill>
          </w14:textFill>
        </w:rPr>
        <w:t>证券代码：</w:t>
      </w:r>
      <w:r>
        <w:rPr>
          <w:rFonts w:ascii="宋体" w:hAnsi="宋体" w:cs="宋体"/>
          <w:color w:val="000000" w:themeColor="text1"/>
          <w:sz w:val="24"/>
          <w14:textFill>
            <w14:solidFill>
              <w14:schemeClr w14:val="tx1"/>
            </w14:solidFill>
          </w14:textFill>
        </w:rPr>
        <w:t>688063</w:t>
      </w:r>
      <w:r>
        <w:rPr>
          <w:rFonts w:hint="eastAsia" w:ascii="宋体" w:hAnsi="宋体"/>
          <w:bCs/>
          <w:iCs/>
          <w:color w:val="000000" w:themeColor="text1"/>
          <w:sz w:val="24"/>
          <w14:textFill>
            <w14:solidFill>
              <w14:schemeClr w14:val="tx1"/>
            </w14:solidFill>
          </w14:textFill>
        </w:rPr>
        <w:t xml:space="preserve">                      </w:t>
      </w:r>
      <w:r>
        <w:rPr>
          <w:rFonts w:ascii="宋体" w:hAnsi="宋体"/>
          <w:bCs/>
          <w:iCs/>
          <w:color w:val="000000" w:themeColor="text1"/>
          <w:sz w:val="24"/>
          <w14:textFill>
            <w14:solidFill>
              <w14:schemeClr w14:val="tx1"/>
            </w14:solidFill>
          </w14:textFill>
        </w:rPr>
        <w:t xml:space="preserve">         </w:t>
      </w:r>
      <w:r>
        <w:rPr>
          <w:rFonts w:hint="eastAsia" w:ascii="宋体" w:hAnsi="宋体"/>
          <w:bCs/>
          <w:iCs/>
          <w:color w:val="000000" w:themeColor="text1"/>
          <w:sz w:val="24"/>
          <w14:textFill>
            <w14:solidFill>
              <w14:schemeClr w14:val="tx1"/>
            </w14:solidFill>
          </w14:textFill>
        </w:rPr>
        <w:t xml:space="preserve"> </w:t>
      </w:r>
      <w:r>
        <w:rPr>
          <w:rFonts w:ascii="宋体" w:hAnsi="宋体"/>
          <w:bCs/>
          <w:iCs/>
          <w:color w:val="000000" w:themeColor="text1"/>
          <w:sz w:val="24"/>
          <w14:textFill>
            <w14:solidFill>
              <w14:schemeClr w14:val="tx1"/>
            </w14:solidFill>
          </w14:textFill>
        </w:rPr>
        <w:t xml:space="preserve">   </w:t>
      </w:r>
      <w:r>
        <w:rPr>
          <w:rFonts w:hint="eastAsia" w:ascii="宋体" w:hAnsi="宋体"/>
          <w:bCs/>
          <w:iCs/>
          <w:color w:val="000000" w:themeColor="text1"/>
          <w:sz w:val="24"/>
          <w14:textFill>
            <w14:solidFill>
              <w14:schemeClr w14:val="tx1"/>
            </w14:solidFill>
          </w14:textFill>
        </w:rPr>
        <w:t>证券简称：</w:t>
      </w:r>
      <w:r>
        <w:rPr>
          <w:rFonts w:ascii="宋体" w:hAnsi="宋体" w:cs="宋体"/>
          <w:color w:val="000000" w:themeColor="text1"/>
          <w:sz w:val="24"/>
          <w14:textFill>
            <w14:solidFill>
              <w14:schemeClr w14:val="tx1"/>
            </w14:solidFill>
          </w14:textFill>
        </w:rPr>
        <w:t>派能科技</w:t>
      </w:r>
    </w:p>
    <w:p>
      <w:pPr>
        <w:spacing w:before="156" w:beforeLines="50" w:after="156" w:afterLines="50" w:line="400" w:lineRule="exact"/>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上海派能能源科技股份有限</w:t>
      </w:r>
      <w:r>
        <w:rPr>
          <w:rFonts w:hint="eastAsia" w:ascii="宋体" w:hAnsi="宋体" w:cs="宋体"/>
          <w:b/>
          <w:color w:val="000000" w:themeColor="text1"/>
          <w:sz w:val="32"/>
          <w:szCs w:val="32"/>
          <w14:textFill>
            <w14:solidFill>
              <w14:schemeClr w14:val="tx1"/>
            </w14:solidFill>
          </w14:textFill>
        </w:rPr>
        <w:t>公司</w:t>
      </w:r>
    </w:p>
    <w:p>
      <w:pPr>
        <w:spacing w:before="156" w:beforeLines="50" w:after="156" w:afterLines="50" w:line="400" w:lineRule="exact"/>
        <w:jc w:val="center"/>
        <w:rPr>
          <w:rFonts w:ascii="宋体" w:hAnsi="宋体"/>
          <w:b/>
          <w:bCs/>
          <w:iCs/>
          <w:color w:val="000000" w:themeColor="text1"/>
          <w:sz w:val="32"/>
          <w:szCs w:val="32"/>
          <w14:textFill>
            <w14:solidFill>
              <w14:schemeClr w14:val="tx1"/>
            </w14:solidFill>
          </w14:textFill>
        </w:rPr>
      </w:pPr>
      <w:r>
        <w:rPr>
          <w:rFonts w:hint="eastAsia" w:ascii="宋体" w:hAnsi="宋体"/>
          <w:b/>
          <w:bCs/>
          <w:iCs/>
          <w:color w:val="000000" w:themeColor="text1"/>
          <w:sz w:val="32"/>
          <w:szCs w:val="32"/>
          <w14:textFill>
            <w14:solidFill>
              <w14:schemeClr w14:val="tx1"/>
            </w14:solidFill>
          </w14:textFill>
        </w:rPr>
        <w:t>投资者关系活动记录表</w:t>
      </w:r>
    </w:p>
    <w:p>
      <w:pPr>
        <w:spacing w:line="400" w:lineRule="exact"/>
        <w:rPr>
          <w:rFonts w:ascii="宋体" w:hAnsi="宋体"/>
          <w:bCs/>
          <w:iCs/>
          <w:color w:val="000000" w:themeColor="text1"/>
          <w:sz w:val="24"/>
          <w14:textFill>
            <w14:solidFill>
              <w14:schemeClr w14:val="tx1"/>
            </w14:solidFill>
          </w14:textFill>
        </w:rPr>
      </w:pPr>
      <w:r>
        <w:rPr>
          <w:rFonts w:hint="eastAsia" w:ascii="宋体" w:hAnsi="宋体"/>
          <w:bCs/>
          <w:iCs/>
          <w:color w:val="000000" w:themeColor="text1"/>
          <w:sz w:val="24"/>
          <w14:textFill>
            <w14:solidFill>
              <w14:schemeClr w14:val="tx1"/>
            </w14:solidFill>
          </w14:textFill>
        </w:rPr>
        <w:t xml:space="preserve">                                                </w:t>
      </w:r>
      <w:r>
        <w:rPr>
          <w:rFonts w:ascii="宋体" w:hAnsi="宋体"/>
          <w:bCs/>
          <w:iCs/>
          <w:color w:val="000000" w:themeColor="text1"/>
          <w:sz w:val="24"/>
          <w14:textFill>
            <w14:solidFill>
              <w14:schemeClr w14:val="tx1"/>
            </w14:solidFill>
          </w14:textFill>
        </w:rPr>
        <w:t xml:space="preserve">    </w:t>
      </w:r>
      <w:r>
        <w:rPr>
          <w:rFonts w:hint="eastAsia" w:ascii="宋体" w:hAnsi="宋体"/>
          <w:bCs/>
          <w:iCs/>
          <w:color w:val="000000" w:themeColor="text1"/>
          <w:sz w:val="24"/>
          <w14:textFill>
            <w14:solidFill>
              <w14:schemeClr w14:val="tx1"/>
            </w14:solidFill>
          </w14:textFill>
        </w:rPr>
        <w:t xml:space="preserve">  编号：</w:t>
      </w:r>
      <w:r>
        <w:rPr>
          <w:rFonts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14:textFill>
            <w14:solidFill>
              <w14:schemeClr w14:val="tx1"/>
            </w14:solidFill>
          </w14:textFill>
        </w:rPr>
        <w:t>3</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0</w:t>
      </w:r>
      <w:r>
        <w:rPr>
          <w:rFonts w:ascii="宋体" w:hAnsi="宋体" w:cs="宋体"/>
          <w:color w:val="000000" w:themeColor="text1"/>
          <w:sz w:val="24"/>
          <w14:textFill>
            <w14:solidFill>
              <w14:schemeClr w14:val="tx1"/>
            </w14:solidFill>
          </w14:textFill>
        </w:rPr>
        <w:t>4</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iCs/>
                <w:color w:val="000000" w:themeColor="text1"/>
                <w:szCs w:val="21"/>
                <w14:textFill>
                  <w14:solidFill>
                    <w14:schemeClr w14:val="tx1"/>
                  </w14:solidFill>
                </w14:textFill>
              </w:rPr>
            </w:pPr>
            <w:r>
              <w:rPr>
                <w:rFonts w:hint="eastAsia" w:ascii="宋体" w:hAnsi="宋体" w:cs="宋体"/>
                <w:b/>
                <w:bCs/>
                <w:iCs/>
                <w:color w:val="000000" w:themeColor="text1"/>
                <w:szCs w:val="21"/>
                <w14:textFill>
                  <w14:solidFill>
                    <w14:schemeClr w14:val="tx1"/>
                  </w14:solidFill>
                </w14:textFill>
              </w:rPr>
              <w:t>投资者关系活动类别</w:t>
            </w:r>
          </w:p>
        </w:tc>
        <w:tc>
          <w:tcPr>
            <w:tcW w:w="658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i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A3"/>
            </w:r>
            <w:r>
              <w:rPr>
                <w:rFonts w:hint="eastAsia" w:ascii="宋体" w:hAnsi="宋体" w:cs="宋体"/>
                <w:color w:val="000000" w:themeColor="text1"/>
                <w:szCs w:val="21"/>
                <w14:textFill>
                  <w14:solidFill>
                    <w14:schemeClr w14:val="tx1"/>
                  </w14:solidFill>
                </w14:textFill>
              </w:rPr>
              <w:t xml:space="preserve">特定对象调研        </w:t>
            </w:r>
            <w:r>
              <w:rPr>
                <w:rFonts w:hint="eastAsia" w:ascii="宋体" w:hAnsi="宋体" w:cs="宋体"/>
                <w:color w:val="000000" w:themeColor="text1"/>
                <w:szCs w:val="21"/>
                <w14:textFill>
                  <w14:solidFill>
                    <w14:schemeClr w14:val="tx1"/>
                  </w14:solidFill>
                </w14:textFill>
              </w:rPr>
              <w:sym w:font="Wingdings 2" w:char="00A3"/>
            </w:r>
            <w:r>
              <w:rPr>
                <w:rFonts w:hint="eastAsia" w:ascii="宋体" w:hAnsi="宋体" w:cs="宋体"/>
                <w:color w:val="000000" w:themeColor="text1"/>
                <w:szCs w:val="21"/>
                <w14:textFill>
                  <w14:solidFill>
                    <w14:schemeClr w14:val="tx1"/>
                  </w14:solidFill>
                </w14:textFill>
              </w:rPr>
              <w:t>分析师会议</w:t>
            </w:r>
          </w:p>
          <w:p>
            <w:pPr>
              <w:spacing w:line="360" w:lineRule="auto"/>
              <w:rPr>
                <w:rFonts w:ascii="宋体" w:hAnsi="宋体" w:cs="宋体"/>
                <w:bCs/>
                <w:i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A3"/>
            </w:r>
            <w:r>
              <w:rPr>
                <w:rFonts w:hint="eastAsia" w:ascii="宋体" w:hAnsi="宋体" w:cs="宋体"/>
                <w:color w:val="000000" w:themeColor="text1"/>
                <w:szCs w:val="21"/>
                <w14:textFill>
                  <w14:solidFill>
                    <w14:schemeClr w14:val="tx1"/>
                  </w14:solidFill>
                </w14:textFill>
              </w:rPr>
              <w:t xml:space="preserve">媒体采访            </w:t>
            </w:r>
            <w:r>
              <w:rPr>
                <w:rFonts w:hint="eastAsia" w:ascii="宋体" w:hAnsi="宋体" w:cs="宋体"/>
                <w:color w:val="000000" w:themeColor="text1"/>
                <w:szCs w:val="21"/>
                <w14:textFill>
                  <w14:solidFill>
                    <w14:schemeClr w14:val="tx1"/>
                  </w14:solidFill>
                </w14:textFill>
              </w:rPr>
              <w:sym w:font="Wingdings 2" w:char="0052"/>
            </w:r>
            <w:r>
              <w:rPr>
                <w:rFonts w:hint="eastAsia" w:ascii="宋体" w:hAnsi="宋体" w:cs="宋体"/>
                <w:color w:val="000000" w:themeColor="text1"/>
                <w:szCs w:val="21"/>
                <w14:textFill>
                  <w14:solidFill>
                    <w14:schemeClr w14:val="tx1"/>
                  </w14:solidFill>
                </w14:textFill>
              </w:rPr>
              <w:t>业绩说明会</w:t>
            </w:r>
          </w:p>
          <w:p>
            <w:pPr>
              <w:spacing w:line="360" w:lineRule="auto"/>
              <w:rPr>
                <w:rFonts w:ascii="宋体" w:hAnsi="宋体" w:cs="宋体"/>
                <w:bCs/>
                <w:i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A3"/>
            </w:r>
            <w:r>
              <w:rPr>
                <w:rFonts w:hint="eastAsia" w:ascii="宋体" w:hAnsi="宋体" w:cs="宋体"/>
                <w:color w:val="000000" w:themeColor="text1"/>
                <w:szCs w:val="21"/>
                <w14:textFill>
                  <w14:solidFill>
                    <w14:schemeClr w14:val="tx1"/>
                  </w14:solidFill>
                </w14:textFill>
              </w:rPr>
              <w:t xml:space="preserve">新闻发布会          </w:t>
            </w:r>
            <w:r>
              <w:rPr>
                <w:rFonts w:hint="eastAsia" w:ascii="宋体" w:hAnsi="宋体" w:cs="宋体"/>
                <w:color w:val="000000" w:themeColor="text1"/>
                <w:szCs w:val="21"/>
                <w14:textFill>
                  <w14:solidFill>
                    <w14:schemeClr w14:val="tx1"/>
                  </w14:solidFill>
                </w14:textFill>
              </w:rPr>
              <w:sym w:font="Wingdings 2" w:char="00A3"/>
            </w:r>
            <w:r>
              <w:rPr>
                <w:rFonts w:hint="eastAsia" w:ascii="宋体" w:hAnsi="宋体" w:cs="宋体"/>
                <w:color w:val="000000" w:themeColor="text1"/>
                <w:szCs w:val="21"/>
                <w14:textFill>
                  <w14:solidFill>
                    <w14:schemeClr w14:val="tx1"/>
                  </w14:solidFill>
                </w14:textFill>
              </w:rPr>
              <w:t>路演活动</w:t>
            </w:r>
          </w:p>
          <w:p>
            <w:pPr>
              <w:tabs>
                <w:tab w:val="left" w:pos="3045"/>
                <w:tab w:val="center" w:pos="3199"/>
              </w:tabs>
              <w:spacing w:line="360" w:lineRule="auto"/>
              <w:rPr>
                <w:rFonts w:ascii="宋体" w:hAnsi="宋体" w:cs="宋体"/>
                <w:bCs/>
                <w:i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A3"/>
            </w:r>
            <w:r>
              <w:rPr>
                <w:rFonts w:hint="eastAsia" w:ascii="宋体" w:hAnsi="宋体" w:cs="宋体"/>
                <w:color w:val="000000" w:themeColor="text1"/>
                <w:szCs w:val="21"/>
                <w14:textFill>
                  <w14:solidFill>
                    <w14:schemeClr w14:val="tx1"/>
                  </w14:solidFill>
                </w14:textFill>
              </w:rPr>
              <w:t xml:space="preserve">现场参观            </w:t>
            </w:r>
            <w:r>
              <w:rPr>
                <w:rFonts w:hint="eastAsia" w:ascii="宋体" w:hAnsi="宋体" w:cs="宋体"/>
                <w:color w:val="000000" w:themeColor="text1"/>
                <w:szCs w:val="21"/>
                <w14:textFill>
                  <w14:solidFill>
                    <w14:schemeClr w14:val="tx1"/>
                  </w14:solidFill>
                </w14:textFill>
              </w:rPr>
              <w:sym w:font="Wingdings 2" w:char="00A3"/>
            </w:r>
            <w:r>
              <w:rPr>
                <w:rFonts w:hint="eastAsia" w:ascii="宋体" w:hAnsi="宋体" w:cs="宋体"/>
                <w:color w:val="000000" w:themeColor="text1"/>
                <w:szCs w:val="21"/>
                <w14:textFill>
                  <w14:solidFill>
                    <w14:schemeClr w14:val="tx1"/>
                  </w14:solidFill>
                </w14:textFill>
              </w:rPr>
              <w:t>电话通讯</w:t>
            </w:r>
          </w:p>
          <w:p>
            <w:pPr>
              <w:tabs>
                <w:tab w:val="center" w:pos="3199"/>
              </w:tabs>
              <w:spacing w:line="360" w:lineRule="auto"/>
              <w:rPr>
                <w:rFonts w:ascii="宋体" w:hAnsi="宋体" w:cs="宋体"/>
                <w:bCs/>
                <w:i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A3"/>
            </w:r>
            <w:r>
              <w:rPr>
                <w:rFonts w:hint="eastAsia" w:ascii="宋体" w:hAnsi="宋体" w:cs="宋体"/>
                <w:color w:val="000000" w:themeColor="text1"/>
                <w:szCs w:val="2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iCs/>
                <w:color w:val="000000" w:themeColor="text1"/>
                <w:szCs w:val="21"/>
                <w14:textFill>
                  <w14:solidFill>
                    <w14:schemeClr w14:val="tx1"/>
                  </w14:solidFill>
                </w14:textFill>
              </w:rPr>
            </w:pPr>
            <w:r>
              <w:rPr>
                <w:rFonts w:hint="eastAsia" w:ascii="宋体" w:hAnsi="宋体" w:cs="宋体"/>
                <w:b/>
                <w:bCs/>
                <w:iCs/>
                <w:color w:val="000000" w:themeColor="text1"/>
                <w:szCs w:val="21"/>
                <w14:textFill>
                  <w14:solidFill>
                    <w14:schemeClr w14:val="tx1"/>
                  </w14:solidFill>
                </w14:textFill>
              </w:rPr>
              <w:t>参与单位名称及人员姓名</w:t>
            </w:r>
          </w:p>
        </w:tc>
        <w:tc>
          <w:tcPr>
            <w:tcW w:w="65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线上参与上海派能能源科技股份有限公司（以下简称“公司”）“</w:t>
            </w:r>
            <w:r>
              <w:rPr>
                <w:rFonts w:ascii="宋体" w:hAnsi="宋体" w:cs="宋体"/>
                <w:color w:val="000000" w:themeColor="text1"/>
                <w:szCs w:val="21"/>
                <w14:textFill>
                  <w14:solidFill>
                    <w14:schemeClr w14:val="tx1"/>
                  </w14:solidFill>
                </w14:textFill>
              </w:rPr>
              <w:t>2023</w:t>
            </w:r>
            <w:r>
              <w:rPr>
                <w:rFonts w:hint="eastAsia" w:ascii="宋体" w:hAnsi="宋体" w:cs="宋体"/>
                <w:color w:val="000000" w:themeColor="text1"/>
                <w:szCs w:val="21"/>
                <w14:textFill>
                  <w14:solidFill>
                    <w14:schemeClr w14:val="tx1"/>
                  </w14:solidFill>
                </w14:textFill>
              </w:rPr>
              <w:t>年第三季度业绩说明会”活动的投资者。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iCs/>
                <w:color w:val="000000" w:themeColor="text1"/>
                <w:szCs w:val="21"/>
                <w14:textFill>
                  <w14:solidFill>
                    <w14:schemeClr w14:val="tx1"/>
                  </w14:solidFill>
                </w14:textFill>
              </w:rPr>
            </w:pPr>
            <w:r>
              <w:rPr>
                <w:rFonts w:hint="eastAsia" w:ascii="宋体" w:hAnsi="宋体" w:cs="宋体"/>
                <w:b/>
                <w:bCs/>
                <w:iCs/>
                <w:color w:val="000000" w:themeColor="text1"/>
                <w:szCs w:val="21"/>
                <w14:textFill>
                  <w14:solidFill>
                    <w14:schemeClr w14:val="tx1"/>
                  </w14:solidFill>
                </w14:textFill>
              </w:rPr>
              <w:t>时间</w:t>
            </w:r>
          </w:p>
        </w:tc>
        <w:tc>
          <w:tcPr>
            <w:tcW w:w="65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iCs/>
                <w:color w:val="000000" w:themeColor="text1"/>
                <w:szCs w:val="21"/>
                <w14:textFill>
                  <w14:solidFill>
                    <w14:schemeClr w14:val="tx1"/>
                  </w14:solidFill>
                </w14:textFill>
              </w:rPr>
            </w:pPr>
            <w:r>
              <w:rPr>
                <w:rFonts w:hint="eastAsia" w:ascii="宋体" w:hAnsi="宋体" w:cs="宋体"/>
                <w:bCs/>
                <w:iCs/>
                <w:color w:val="000000" w:themeColor="text1"/>
                <w:szCs w:val="21"/>
                <w14:textFill>
                  <w14:solidFill>
                    <w14:schemeClr w14:val="tx1"/>
                  </w14:solidFill>
                </w14:textFill>
              </w:rPr>
              <w:t>2023年</w:t>
            </w:r>
            <w:r>
              <w:rPr>
                <w:rFonts w:ascii="宋体" w:hAnsi="宋体" w:cs="宋体"/>
                <w:bCs/>
                <w:iCs/>
                <w:color w:val="000000" w:themeColor="text1"/>
                <w:szCs w:val="21"/>
                <w14:textFill>
                  <w14:solidFill>
                    <w14:schemeClr w14:val="tx1"/>
                  </w14:solidFill>
                </w14:textFill>
              </w:rPr>
              <w:t>11</w:t>
            </w:r>
            <w:r>
              <w:rPr>
                <w:rFonts w:hint="eastAsia" w:ascii="宋体" w:hAnsi="宋体" w:cs="宋体"/>
                <w:bCs/>
                <w:iCs/>
                <w:color w:val="000000" w:themeColor="text1"/>
                <w:szCs w:val="21"/>
                <w14:textFill>
                  <w14:solidFill>
                    <w14:schemeClr w14:val="tx1"/>
                  </w14:solidFill>
                </w14:textFill>
              </w:rPr>
              <w:t>月</w:t>
            </w:r>
            <w:r>
              <w:rPr>
                <w:rFonts w:ascii="宋体" w:hAnsi="宋体" w:cs="宋体"/>
                <w:bCs/>
                <w:iCs/>
                <w:color w:val="000000" w:themeColor="text1"/>
                <w:szCs w:val="21"/>
                <w14:textFill>
                  <w14:solidFill>
                    <w14:schemeClr w14:val="tx1"/>
                  </w14:solidFill>
                </w14:textFill>
              </w:rPr>
              <w:t>28</w:t>
            </w:r>
            <w:r>
              <w:rPr>
                <w:rFonts w:hint="eastAsia" w:ascii="宋体" w:hAnsi="宋体" w:cs="宋体"/>
                <w:bCs/>
                <w:iCs/>
                <w:color w:val="000000" w:themeColor="text1"/>
                <w:szCs w:val="21"/>
                <w14:textFill>
                  <w14:solidFill>
                    <w14:schemeClr w14:val="tx1"/>
                  </w14:solidFill>
                </w14:textFill>
              </w:rPr>
              <w:t>日（星期二）下午13:00-1</w:t>
            </w:r>
            <w:r>
              <w:rPr>
                <w:rFonts w:ascii="宋体" w:hAnsi="宋体" w:cs="宋体"/>
                <w:bCs/>
                <w:iCs/>
                <w:color w:val="000000" w:themeColor="text1"/>
                <w:szCs w:val="21"/>
                <w14:textFill>
                  <w14:solidFill>
                    <w14:schemeClr w14:val="tx1"/>
                  </w14:solidFill>
                </w14:textFill>
              </w:rPr>
              <w:t>4</w:t>
            </w:r>
            <w:r>
              <w:rPr>
                <w:rFonts w:hint="eastAsia" w:ascii="宋体" w:hAnsi="宋体" w:cs="宋体"/>
                <w:bCs/>
                <w:iCs/>
                <w:color w:val="000000" w:themeColor="text1"/>
                <w:szCs w:val="21"/>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iCs/>
                <w:color w:val="000000" w:themeColor="text1"/>
                <w:szCs w:val="21"/>
                <w14:textFill>
                  <w14:solidFill>
                    <w14:schemeClr w14:val="tx1"/>
                  </w14:solidFill>
                </w14:textFill>
              </w:rPr>
            </w:pPr>
            <w:r>
              <w:rPr>
                <w:rFonts w:hint="eastAsia" w:ascii="宋体" w:hAnsi="宋体" w:cs="宋体"/>
                <w:b/>
                <w:bCs/>
                <w:iCs/>
                <w:color w:val="000000" w:themeColor="text1"/>
                <w:szCs w:val="21"/>
                <w14:textFill>
                  <w14:solidFill>
                    <w14:schemeClr w14:val="tx1"/>
                  </w14:solidFill>
                </w14:textFill>
              </w:rPr>
              <w:t>地点</w:t>
            </w:r>
          </w:p>
        </w:tc>
        <w:tc>
          <w:tcPr>
            <w:tcW w:w="65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iCs/>
                <w:color w:val="000000" w:themeColor="text1"/>
                <w:szCs w:val="21"/>
                <w14:textFill>
                  <w14:solidFill>
                    <w14:schemeClr w14:val="tx1"/>
                  </w14:solidFill>
                </w14:textFill>
              </w:rPr>
            </w:pPr>
            <w:r>
              <w:rPr>
                <w:rFonts w:ascii="宋体" w:hAnsi="宋体" w:cs="宋体"/>
                <w:bCs/>
                <w:iCs/>
                <w:color w:val="000000" w:themeColor="text1"/>
                <w:szCs w:val="21"/>
                <w14:textFill>
                  <w14:solidFill>
                    <w14:schemeClr w14:val="tx1"/>
                  </w14:solidFill>
                </w14:textFill>
              </w:rPr>
              <w:t>上海证券交易所上证路演中心</w:t>
            </w:r>
          </w:p>
          <w:p>
            <w:pPr>
              <w:spacing w:line="360" w:lineRule="auto"/>
              <w:rPr>
                <w:rFonts w:ascii="宋体" w:hAnsi="宋体" w:cs="宋体"/>
                <w:bCs/>
                <w:iCs/>
                <w:color w:val="000000" w:themeColor="text1"/>
                <w:szCs w:val="21"/>
                <w14:textFill>
                  <w14:solidFill>
                    <w14:schemeClr w14:val="tx1"/>
                  </w14:solidFill>
                </w14:textFill>
              </w:rPr>
            </w:pPr>
            <w:r>
              <w:rPr>
                <w:rFonts w:ascii="宋体" w:hAnsi="宋体" w:cs="宋体"/>
                <w:bCs/>
                <w:iCs/>
                <w:color w:val="000000" w:themeColor="text1"/>
                <w:szCs w:val="21"/>
                <w14:textFill>
                  <w14:solidFill>
                    <w14:schemeClr w14:val="tx1"/>
                  </w14:solidFill>
                </w14:textFill>
              </w:rPr>
              <w:t>（网址：http://roadshow.sseinfo.com/）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iCs/>
                <w:color w:val="000000" w:themeColor="text1"/>
                <w:szCs w:val="21"/>
                <w14:textFill>
                  <w14:solidFill>
                    <w14:schemeClr w14:val="tx1"/>
                  </w14:solidFill>
                </w14:textFill>
              </w:rPr>
            </w:pPr>
            <w:r>
              <w:rPr>
                <w:rFonts w:hint="eastAsia" w:ascii="宋体" w:hAnsi="宋体" w:cs="宋体"/>
                <w:b/>
                <w:bCs/>
                <w:iCs/>
                <w:color w:val="000000" w:themeColor="text1"/>
                <w:szCs w:val="21"/>
                <w14:textFill>
                  <w14:solidFill>
                    <w14:schemeClr w14:val="tx1"/>
                  </w14:solidFill>
                </w14:textFill>
              </w:rPr>
              <w:t>上市公司接待人员姓名</w:t>
            </w:r>
          </w:p>
        </w:tc>
        <w:tc>
          <w:tcPr>
            <w:tcW w:w="65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iCs/>
                <w:color w:val="000000" w:themeColor="text1"/>
                <w:szCs w:val="21"/>
                <w14:textFill>
                  <w14:solidFill>
                    <w14:schemeClr w14:val="tx1"/>
                  </w14:solidFill>
                </w14:textFill>
              </w:rPr>
            </w:pPr>
            <w:r>
              <w:rPr>
                <w:rFonts w:hint="eastAsia" w:ascii="宋体" w:hAnsi="宋体" w:cs="宋体"/>
                <w:bCs/>
                <w:iCs/>
                <w:color w:val="000000" w:themeColor="text1"/>
                <w:szCs w:val="21"/>
                <w14:textFill>
                  <w14:solidFill>
                    <w14:schemeClr w14:val="tx1"/>
                  </w14:solidFill>
                </w14:textFill>
              </w:rPr>
              <w:t>公司董事、总裁谈文先生；</w:t>
            </w:r>
          </w:p>
          <w:p>
            <w:pPr>
              <w:spacing w:line="360" w:lineRule="auto"/>
              <w:rPr>
                <w:rFonts w:ascii="宋体" w:hAnsi="宋体" w:cs="宋体"/>
                <w:bCs/>
                <w:iCs/>
                <w:color w:val="000000" w:themeColor="text1"/>
                <w:szCs w:val="21"/>
                <w14:textFill>
                  <w14:solidFill>
                    <w14:schemeClr w14:val="tx1"/>
                  </w14:solidFill>
                </w14:textFill>
              </w:rPr>
            </w:pPr>
            <w:r>
              <w:rPr>
                <w:rFonts w:hint="eastAsia" w:ascii="宋体" w:hAnsi="宋体" w:cs="宋体"/>
                <w:bCs/>
                <w:iCs/>
                <w:color w:val="000000" w:themeColor="text1"/>
                <w:szCs w:val="21"/>
                <w14:textFill>
                  <w14:solidFill>
                    <w14:schemeClr w14:val="tx1"/>
                  </w14:solidFill>
                </w14:textFill>
              </w:rPr>
              <w:t>公司独立董事郑洪河先生；</w:t>
            </w:r>
          </w:p>
          <w:p>
            <w:pPr>
              <w:spacing w:line="360" w:lineRule="auto"/>
              <w:rPr>
                <w:rFonts w:ascii="宋体" w:hAnsi="宋体" w:cs="宋体"/>
                <w:bCs/>
                <w:iCs/>
                <w:color w:val="000000" w:themeColor="text1"/>
                <w:szCs w:val="21"/>
                <w14:textFill>
                  <w14:solidFill>
                    <w14:schemeClr w14:val="tx1"/>
                  </w14:solidFill>
                </w14:textFill>
              </w:rPr>
            </w:pPr>
            <w:r>
              <w:rPr>
                <w:rFonts w:hint="eastAsia" w:ascii="宋体" w:hAnsi="宋体" w:cs="宋体"/>
                <w:bCs/>
                <w:iCs/>
                <w:color w:val="000000" w:themeColor="text1"/>
                <w:szCs w:val="21"/>
                <w14:textFill>
                  <w14:solidFill>
                    <w14:schemeClr w14:val="tx1"/>
                  </w14:solidFill>
                </w14:textFill>
              </w:rPr>
              <w:t>公司副总裁、财务负责人、董事会秘书叶文举先生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iCs/>
                <w:color w:val="000000" w:themeColor="text1"/>
                <w:szCs w:val="21"/>
                <w14:textFill>
                  <w14:solidFill>
                    <w14:schemeClr w14:val="tx1"/>
                  </w14:solidFill>
                </w14:textFill>
              </w:rPr>
            </w:pPr>
            <w:r>
              <w:rPr>
                <w:rFonts w:hint="eastAsia" w:ascii="宋体" w:hAnsi="宋体" w:cs="宋体"/>
                <w:b/>
                <w:bCs/>
                <w:iCs/>
                <w:color w:val="000000" w:themeColor="text1"/>
                <w:szCs w:val="21"/>
                <w14:textFill>
                  <w14:solidFill>
                    <w14:schemeClr w14:val="tx1"/>
                  </w14:solidFill>
                </w14:textFill>
              </w:rPr>
              <w:t>投资者关系活动主要内容介绍</w:t>
            </w:r>
          </w:p>
        </w:tc>
        <w:tc>
          <w:tcPr>
            <w:tcW w:w="6588"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公司参加“</w:t>
            </w:r>
            <w:r>
              <w:rPr>
                <w:rFonts w:ascii="宋体" w:hAnsi="宋体" w:cs="宋体"/>
                <w:bCs/>
                <w:color w:val="000000" w:themeColor="text1"/>
                <w:szCs w:val="21"/>
                <w14:textFill>
                  <w14:solidFill>
                    <w14:schemeClr w14:val="tx1"/>
                  </w14:solidFill>
                </w14:textFill>
              </w:rPr>
              <w:t>2023</w:t>
            </w:r>
            <w:r>
              <w:rPr>
                <w:rFonts w:hint="eastAsia" w:ascii="宋体" w:hAnsi="宋体" w:cs="宋体"/>
                <w:bCs/>
                <w:color w:val="000000" w:themeColor="text1"/>
                <w:szCs w:val="21"/>
                <w14:textFill>
                  <w14:solidFill>
                    <w14:schemeClr w14:val="tx1"/>
                  </w14:solidFill>
                </w14:textFill>
              </w:rPr>
              <w:t>年第三季度业绩说明会”活动，就投资者关心的公司治理、发展战略和经营状况等问题进行了在线交流，交流的主要内容包括：</w:t>
            </w:r>
          </w:p>
          <w:p>
            <w:pPr>
              <w:spacing w:line="276"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问题：</w:t>
            </w:r>
            <w:r>
              <w:rPr>
                <w:rFonts w:hint="eastAsia" w:ascii="宋体" w:hAnsi="宋体" w:cs="宋体"/>
                <w:sz w:val="21"/>
                <w:szCs w:val="21"/>
              </w:rPr>
              <w:t>1.1月2日解禁之后，会象天合光能一样抛售，价格雪崩，如何避免？2.今年分红吗？3.欧洲市场阳委还是向上？</w:t>
            </w:r>
          </w:p>
          <w:p>
            <w:pPr>
              <w:spacing w:line="276" w:lineRule="auto"/>
              <w:rPr>
                <w:rFonts w:hint="eastAsia" w:ascii="宋体" w:hAnsi="宋体" w:cs="宋体"/>
                <w:sz w:val="21"/>
                <w:szCs w:val="21"/>
              </w:rPr>
            </w:pPr>
            <w:r>
              <w:rPr>
                <w:rFonts w:hint="eastAsia" w:ascii="宋体" w:hAnsi="宋体" w:cs="宋体"/>
                <w:b/>
                <w:color w:val="000000" w:themeColor="text1"/>
                <w:szCs w:val="21"/>
                <w14:textFill>
                  <w14:solidFill>
                    <w14:schemeClr w14:val="tx1"/>
                  </w14:solidFill>
                </w14:textFill>
              </w:rPr>
              <w:t>回答：</w:t>
            </w:r>
            <w:r>
              <w:rPr>
                <w:rFonts w:hint="eastAsia" w:ascii="宋体" w:hAnsi="宋体" w:cs="宋体"/>
                <w:sz w:val="21"/>
                <w:szCs w:val="21"/>
              </w:rPr>
              <w:t>尊敬的投资者，您好！1.公司首次公开发行限售股上市流通后，股东减持将严格遵守相关法律法规的规定及减持意向承诺，并将严格按照法律法规的规定履行信息披露义务。2.公司的利润分配方案会按照《公司章程》及相关法律法规的规定并结合公司实际经营情况进行综合考虑，制定合理的利润分配方案，并严格按照交易所相关规定及时履行信息披露义务，请关注公司后续公告。3.欧洲地区由于部分国家和地区补贴退坡、下游企业去库等因影响，户储市场出现阶段性放缓。公司将时刻关注市场变化，坚持全球化发展战略，在巩固既有优势市场的同时，积极拓展其他区域和其他细分市场。谢谢您的关注。</w:t>
            </w:r>
          </w:p>
          <w:p>
            <w:pPr>
              <w:spacing w:line="276" w:lineRule="auto"/>
              <w:rPr>
                <w:rFonts w:hint="eastAsia" w:ascii="宋体" w:hAnsi="宋体" w:cs="宋体"/>
                <w:bCs/>
                <w:color w:val="000000" w:themeColor="text1"/>
                <w:szCs w:val="21"/>
                <w14:textFill>
                  <w14:solidFill>
                    <w14:schemeClr w14:val="tx1"/>
                  </w14:solidFill>
                </w14:textFill>
              </w:rPr>
            </w:pPr>
          </w:p>
          <w:p>
            <w:pPr>
              <w:spacing w:line="276"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问题：</w:t>
            </w:r>
            <w:r>
              <w:rPr>
                <w:rFonts w:hint="eastAsia" w:ascii="宋体" w:hAnsi="宋体" w:cs="宋体"/>
                <w:sz w:val="21"/>
                <w:szCs w:val="21"/>
              </w:rPr>
              <w:t>688063股价一路下跌，定增价格249元，现在股价100元左右，公司对股价维护不重视？</w:t>
            </w:r>
          </w:p>
          <w:p>
            <w:pPr>
              <w:spacing w:line="276" w:lineRule="auto"/>
              <w:rPr>
                <w:rFonts w:hint="eastAsia" w:ascii="宋体" w:hAnsi="宋体" w:cs="宋体"/>
                <w:sz w:val="21"/>
                <w:szCs w:val="21"/>
              </w:rPr>
            </w:pPr>
            <w:r>
              <w:rPr>
                <w:rFonts w:hint="eastAsia" w:ascii="宋体" w:hAnsi="宋体" w:cs="宋体"/>
                <w:b/>
                <w:color w:val="000000" w:themeColor="text1"/>
                <w:szCs w:val="21"/>
                <w14:textFill>
                  <w14:solidFill>
                    <w14:schemeClr w14:val="tx1"/>
                  </w14:solidFill>
                </w14:textFill>
              </w:rPr>
              <w:t>回答：</w:t>
            </w:r>
            <w:r>
              <w:rPr>
                <w:rFonts w:hint="eastAsia" w:ascii="宋体" w:hAnsi="宋体" w:cs="宋体"/>
                <w:sz w:val="21"/>
                <w:szCs w:val="21"/>
              </w:rPr>
              <w:t>尊敬的投资者，您好！（1）二级市场股价受多重因素的影响，包括宏观环境、市场波动、供求关系等，公司始终坚持主业，稳健经营，规范运作。（2）目前公司股份回购工作正在有序且持续地实施中，公司遵循相关法律法规及监管要求履行信息披露义务，有关公司股份回购进展情况，敬请投资者关注公司于上海证券交易所（www.sse.com.cn）披露的《关于以集中竞价交易方式回购公司股份的进展公告》。谢谢您的关注。</w:t>
            </w:r>
          </w:p>
          <w:p>
            <w:pPr>
              <w:spacing w:line="276" w:lineRule="auto"/>
              <w:rPr>
                <w:rFonts w:ascii="宋体" w:hAnsi="宋体" w:cs="宋体"/>
                <w:b/>
                <w:color w:val="000000" w:themeColor="text1"/>
                <w:szCs w:val="21"/>
                <w14:textFill>
                  <w14:solidFill>
                    <w14:schemeClr w14:val="tx1"/>
                  </w14:solidFill>
                </w14:textFill>
              </w:rPr>
            </w:pPr>
          </w:p>
          <w:p>
            <w:pPr>
              <w:spacing w:line="276"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问题：</w:t>
            </w:r>
            <w:r>
              <w:rPr>
                <w:rFonts w:hint="eastAsia" w:ascii="宋体" w:hAnsi="宋体" w:cs="宋体"/>
                <w:sz w:val="21"/>
                <w:szCs w:val="21"/>
              </w:rPr>
              <w:t>1、目前公司工商业储能方面进展如何？2、钠离子电池方面有何进展？如何看待当前钠电的发展？预计其何时能量产？</w:t>
            </w:r>
          </w:p>
          <w:p>
            <w:pPr>
              <w:spacing w:line="276"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回答：</w:t>
            </w:r>
            <w:r>
              <w:rPr>
                <w:rFonts w:hint="eastAsia" w:ascii="宋体" w:hAnsi="宋体" w:cs="宋体"/>
                <w:sz w:val="21"/>
                <w:szCs w:val="21"/>
              </w:rPr>
              <w:t>尊敬的投资者，您好！公司工商业储能产品已通过国家标准GB/T 36276、GB/T 34131。亚非拉市场工商业储能产品拓展取得倍增成果，面对国内日益兴起的工商业储能市场，公司推出基于长寿命大容量铝壳储能电池的一体化储能系统，并已实现商用。公司钠离子电池产品已通过德国莱茵TÜV、美国UL、国际IEC等权威认证，目前正加速实现户用储能、工商业储能产品示范。谢谢您的关注。</w:t>
            </w:r>
          </w:p>
          <w:p>
            <w:pPr>
              <w:spacing w:line="276" w:lineRule="auto"/>
              <w:rPr>
                <w:rFonts w:ascii="宋体" w:hAnsi="宋体" w:cs="宋体"/>
                <w:b/>
                <w:color w:val="000000" w:themeColor="text1"/>
                <w:szCs w:val="21"/>
                <w14:textFill>
                  <w14:solidFill>
                    <w14:schemeClr w14:val="tx1"/>
                  </w14:solidFill>
                </w14:textFill>
              </w:rPr>
            </w:pPr>
          </w:p>
          <w:p>
            <w:pPr>
              <w:spacing w:line="276"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问题：</w:t>
            </w:r>
            <w:r>
              <w:rPr>
                <w:rFonts w:hint="eastAsia" w:ascii="宋体" w:hAnsi="宋体" w:cs="宋体"/>
                <w:sz w:val="21"/>
                <w:szCs w:val="21"/>
              </w:rPr>
              <w:t>贵公司在2022年全球储能系统出货量排名第1的背景下，2023年出货量急剧下滑，市场占有率急剧萎缩，现在连前10都排不进去，请问贵公司管理层是否在战略决策上出现重大失误？后续应该如何应对不断萎缩的市场占有率？</w:t>
            </w:r>
          </w:p>
          <w:p>
            <w:pPr>
              <w:spacing w:line="276" w:lineRule="auto"/>
              <w:rPr>
                <w:rFonts w:hint="eastAsia" w:ascii="宋体" w:hAnsi="宋体" w:cs="宋体"/>
                <w:sz w:val="21"/>
                <w:szCs w:val="21"/>
              </w:rPr>
            </w:pPr>
            <w:r>
              <w:rPr>
                <w:rFonts w:hint="eastAsia" w:ascii="宋体" w:hAnsi="宋体" w:cs="宋体"/>
                <w:b/>
                <w:color w:val="000000" w:themeColor="text1"/>
                <w:szCs w:val="21"/>
                <w14:textFill>
                  <w14:solidFill>
                    <w14:schemeClr w14:val="tx1"/>
                  </w14:solidFill>
                </w14:textFill>
              </w:rPr>
              <w:t>回答：</w:t>
            </w:r>
            <w:r>
              <w:rPr>
                <w:rFonts w:hint="eastAsia" w:ascii="宋体" w:hAnsi="宋体" w:cs="宋体"/>
                <w:sz w:val="21"/>
                <w:szCs w:val="21"/>
              </w:rPr>
              <w:t>尊敬的投资者，您好！2023年度全球户用储能系统排名数据仍未终止统计，公司尚未收到相关统计数据。户用储能行业由于欧洲地区面临下游企业去库存等因素影响，市场增速阶段性放缓。公司将在巩固既有市场的同时，持续拓展国际、国</w:t>
            </w:r>
            <w:bookmarkStart w:id="0" w:name="_GoBack"/>
            <w:bookmarkEnd w:id="0"/>
            <w:r>
              <w:rPr>
                <w:rFonts w:hint="eastAsia" w:ascii="宋体" w:hAnsi="宋体" w:cs="宋体"/>
                <w:sz w:val="21"/>
                <w:szCs w:val="21"/>
              </w:rPr>
              <w:t>内市场，逐步加强不同储能应用领域的市场开拓力度。谢谢您的关注。</w:t>
            </w:r>
          </w:p>
          <w:p>
            <w:pPr>
              <w:spacing w:line="276" w:lineRule="auto"/>
              <w:rPr>
                <w:rFonts w:hint="eastAsia" w:ascii="宋体" w:hAnsi="宋体" w:cs="宋体"/>
                <w:b/>
                <w:color w:val="000000" w:themeColor="text1"/>
                <w:szCs w:val="21"/>
                <w14:textFill>
                  <w14:solidFill>
                    <w14:schemeClr w14:val="tx1"/>
                  </w14:solidFill>
                </w14:textFill>
              </w:rPr>
            </w:pPr>
          </w:p>
          <w:p>
            <w:pPr>
              <w:spacing w:line="276"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问题：</w:t>
            </w:r>
            <w:r>
              <w:rPr>
                <w:rFonts w:hint="eastAsia" w:ascii="宋体" w:hAnsi="宋体" w:cs="宋体"/>
                <w:sz w:val="21"/>
                <w:szCs w:val="21"/>
              </w:rPr>
              <w:t>请问四季度海外业务恢复得怎么样？第三季度营收才5亿，下降幅度很大。请讲一下主要原因。</w:t>
            </w:r>
          </w:p>
          <w:p>
            <w:pPr>
              <w:spacing w:line="276"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回答：</w:t>
            </w:r>
            <w:r>
              <w:rPr>
                <w:rFonts w:hint="eastAsia" w:ascii="宋体" w:hAnsi="宋体" w:cs="宋体"/>
                <w:sz w:val="21"/>
                <w:szCs w:val="21"/>
              </w:rPr>
              <w:t>尊敬的投资者，您好！目前，欧洲部分市场仍处于去库阶段。第三季度营收下降主要系受下游企业去库存，户储市场需求阶段性放缓影响，公司产品销售量较去年同期有所下降所致。谢谢您的关注。</w:t>
            </w:r>
          </w:p>
          <w:p>
            <w:pPr>
              <w:spacing w:line="276" w:lineRule="auto"/>
              <w:rPr>
                <w:rFonts w:ascii="宋体" w:hAnsi="宋体" w:cs="宋体"/>
                <w:b/>
                <w:color w:val="000000" w:themeColor="text1"/>
                <w:szCs w:val="21"/>
                <w14:textFill>
                  <w14:solidFill>
                    <w14:schemeClr w14:val="tx1"/>
                  </w14:solidFill>
                </w14:textFill>
              </w:rPr>
            </w:pPr>
          </w:p>
          <w:p>
            <w:pPr>
              <w:spacing w:line="276"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问题：</w:t>
            </w:r>
            <w:r>
              <w:rPr>
                <w:rFonts w:hint="eastAsia" w:ascii="宋体" w:hAnsi="宋体" w:cs="宋体"/>
                <w:sz w:val="21"/>
                <w:szCs w:val="21"/>
              </w:rPr>
              <w:t>谈总你好，根据你们了解和估计，欧洲户储去库存什么时候可以恢复到正常库存水平？</w:t>
            </w:r>
          </w:p>
          <w:p>
            <w:pPr>
              <w:spacing w:line="276"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回答：</w:t>
            </w:r>
            <w:r>
              <w:rPr>
                <w:rFonts w:hint="eastAsia" w:ascii="宋体" w:hAnsi="宋体" w:cs="宋体"/>
                <w:sz w:val="21"/>
                <w:szCs w:val="21"/>
              </w:rPr>
              <w:t>尊敬的投资者，您好！目前在不同的区域市场库存情况不同，但相比上半年库存积压情况已有改善。谢谢您的关注。</w:t>
            </w:r>
          </w:p>
          <w:p>
            <w:pPr>
              <w:spacing w:line="276"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问题：</w:t>
            </w:r>
            <w:r>
              <w:rPr>
                <w:rFonts w:hint="eastAsia" w:ascii="宋体" w:hAnsi="宋体" w:cs="宋体"/>
                <w:sz w:val="21"/>
                <w:szCs w:val="21"/>
              </w:rPr>
              <w:t>公司现在都不回复互动易上的信息了？请问是什么原因？</w:t>
            </w:r>
          </w:p>
          <w:p>
            <w:pPr>
              <w:spacing w:line="276"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回答：</w:t>
            </w:r>
            <w:r>
              <w:rPr>
                <w:rFonts w:hint="eastAsia" w:ascii="宋体" w:hAnsi="宋体" w:cs="宋体"/>
                <w:sz w:val="21"/>
                <w:szCs w:val="21"/>
              </w:rPr>
              <w:t>尊敬的投资者，您好！公司会定期对投资者的问题进行统一回复。谢谢您的关注。</w:t>
            </w:r>
          </w:p>
          <w:p>
            <w:pPr>
              <w:spacing w:line="276" w:lineRule="auto"/>
              <w:rPr>
                <w:rFonts w:ascii="宋体" w:hAnsi="宋体" w:cs="宋体"/>
                <w:b/>
                <w:color w:val="000000" w:themeColor="text1"/>
                <w:szCs w:val="21"/>
                <w14:textFill>
                  <w14:solidFill>
                    <w14:schemeClr w14:val="tx1"/>
                  </w14:solidFill>
                </w14:textFill>
              </w:rPr>
            </w:pPr>
          </w:p>
          <w:p>
            <w:pPr>
              <w:spacing w:line="276"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问题：</w:t>
            </w:r>
            <w:r>
              <w:rPr>
                <w:rFonts w:hint="eastAsia" w:ascii="宋体" w:hAnsi="宋体" w:cs="宋体"/>
                <w:sz w:val="21"/>
                <w:szCs w:val="21"/>
              </w:rPr>
              <w:t>1、第三季度海外营收占比达多少？目前公司海外收入主要集中在哪些国家或地区？各地区所销产品有何不同？目前海外市场竞争格局如何？海外市场面临哪些挑战？2、公司未来的规划如何？下一步的增长点在哪？3、如何看待行业的发展趋势？公司面临哪些机遇和挑战？将如何应对？</w:t>
            </w:r>
            <w:r>
              <w:rPr>
                <w:rFonts w:hint="eastAsia" w:ascii="宋体" w:hAnsi="宋体" w:cs="宋体"/>
                <w:sz w:val="21"/>
                <w:szCs w:val="21"/>
              </w:rPr>
              <w:br w:type="textWrapping"/>
            </w:r>
            <w:r>
              <w:rPr>
                <w:rFonts w:hint="eastAsia" w:ascii="宋体" w:hAnsi="宋体" w:cs="宋体"/>
                <w:b/>
                <w:color w:val="000000" w:themeColor="text1"/>
                <w:szCs w:val="21"/>
                <w14:textFill>
                  <w14:solidFill>
                    <w14:schemeClr w14:val="tx1"/>
                  </w14:solidFill>
                </w14:textFill>
              </w:rPr>
              <w:t>回答：</w:t>
            </w:r>
            <w:r>
              <w:rPr>
                <w:rFonts w:hint="eastAsia" w:ascii="宋体" w:hAnsi="宋体" w:cs="宋体"/>
                <w:sz w:val="21"/>
                <w:szCs w:val="21"/>
              </w:rPr>
              <w:t>尊敬的投资者，您好！目前公司海外收入主要集中在欧洲、非洲、北美洲等地区。未来，公司一方面加强海外市场本地化建设以及拓展新的海外区域市场，另一方面将加强拓展国内工商储市场。储能是个长期的赛道，目前行业出现短期波动但不能失去对行业的信心，我们仍将坚持在储能赛道，不断拓展新能源发电、电网辅助服务、微电网、工商业园区、充电桩、数据中心、通信基站等场景储能应用市场。全球储能行业长期的成长性是一直在的。2023年，宏观环境变化、部分国家和地区补贴退坡、上游原材料价格回落、下游企业去库等多重因素叠加影响下公司户用储能产品销售量增速出现阶段性放缓。公司将持续拓展市场和应用领域，视下游客户需求情况拓展相关产品市场。谢谢您的关注。</w:t>
            </w:r>
          </w:p>
          <w:p>
            <w:pPr>
              <w:spacing w:line="276" w:lineRule="auto"/>
              <w:rPr>
                <w:rFonts w:ascii="宋体" w:hAnsi="宋体" w:cs="宋体"/>
                <w:b/>
                <w:color w:val="000000" w:themeColor="text1"/>
                <w:szCs w:val="21"/>
                <w14:textFill>
                  <w14:solidFill>
                    <w14:schemeClr w14:val="tx1"/>
                  </w14:solidFill>
                </w14:textFill>
              </w:rPr>
            </w:pPr>
          </w:p>
          <w:p>
            <w:pPr>
              <w:spacing w:line="276"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问题：</w:t>
            </w:r>
            <w:r>
              <w:rPr>
                <w:rFonts w:hint="eastAsia" w:ascii="宋体" w:hAnsi="宋体" w:cs="宋体"/>
                <w:sz w:val="21"/>
                <w:szCs w:val="21"/>
              </w:rPr>
              <w:t>前期讲，对公司有信心，回购，现回购了多少？股价到目前价位，股民预测，可能到80元，管理层有什么办法止血回升？谢谢</w:t>
            </w:r>
          </w:p>
          <w:p>
            <w:pPr>
              <w:spacing w:line="276"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回答：</w:t>
            </w:r>
            <w:r>
              <w:rPr>
                <w:rFonts w:hint="eastAsia" w:ascii="宋体" w:hAnsi="宋体" w:cs="宋体"/>
                <w:sz w:val="21"/>
                <w:szCs w:val="21"/>
              </w:rPr>
              <w:t>尊敬的投资者，您好！目前公司股份回购工作正在有序且持续地实施中，公司遵循相关法律法规及监管要求履行信息披露义务，有关公司股份回购进展情况，敬请投资者关注公司于每月前三个交易日在上海证券交易所（www.sse.com.cn）披露的《关于以集中竞价交易方式回购公司股份的进展公告》。谢谢您的关注。</w:t>
            </w:r>
          </w:p>
          <w:p>
            <w:pPr>
              <w:spacing w:line="276" w:lineRule="auto"/>
              <w:rPr>
                <w:rFonts w:ascii="宋体" w:hAnsi="宋体" w:cs="宋体"/>
                <w:b/>
                <w:color w:val="000000" w:themeColor="text1"/>
                <w:szCs w:val="21"/>
                <w14:textFill>
                  <w14:solidFill>
                    <w14:schemeClr w14:val="tx1"/>
                  </w14:solidFill>
                </w14:textFill>
              </w:rPr>
            </w:pPr>
          </w:p>
          <w:p>
            <w:pPr>
              <w:spacing w:line="276"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问题：</w:t>
            </w:r>
            <w:r>
              <w:rPr>
                <w:rFonts w:hint="eastAsia" w:ascii="宋体" w:hAnsi="宋体" w:cs="宋体"/>
                <w:sz w:val="21"/>
                <w:szCs w:val="21"/>
              </w:rPr>
              <w:t>请问董事长，目前公司的订单是否有所恢复，目前公司的产能利用率是多少？公司的募投项目还在正常进行吗？欧美市场的去库存到什么阶段了？公司在工商业储能项目上有大的订单吗？公司股价创下历史新低投资者亏损严重，公司在维护股价方面后续有何打算？</w:t>
            </w:r>
          </w:p>
          <w:p>
            <w:pPr>
              <w:spacing w:line="276"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回答：</w:t>
            </w:r>
            <w:r>
              <w:rPr>
                <w:rFonts w:hint="eastAsia" w:ascii="宋体" w:hAnsi="宋体" w:cs="宋体"/>
                <w:sz w:val="21"/>
                <w:szCs w:val="21"/>
              </w:rPr>
              <w:t>尊敬的投资者，您好！公司遵循相关法律法规及监管要求履行信息披露义务，有关公司产能情况，请持续关注公司的相关公告及定期报告。公司募投项目建设进展顺利，派能科技10Gwh锂电池研发制造基地一期项目5Gwh目前已建成投产。目前不同的区域市场库存情况不同，但相比上半年库存积压情况已有改善。公司产品线实现Wh级到MWh级无缝覆盖，并可通过集装箱系统扩展至百MWh，能够覆盖从家庭到工商业再到电网、大型新能源发电站等各种场景，为用户提供全场景解决方案。目前公司已在工商业、大型储能实现持续发货。目前公司股份回购工作正在有序且持续地实施中，公司遵循相关法律法规及监管要求履行信息披露义务，有关公司股份回购进展情况，敬请投资者关注公司于每月前三个交易日在上海证券交易所（www.sse.com.cn）披露的《关于以集中竞价交易方式回购公司股份的进展公告》。谢谢您的关注。</w:t>
            </w:r>
          </w:p>
          <w:p>
            <w:pPr>
              <w:spacing w:line="276" w:lineRule="auto"/>
              <w:rPr>
                <w:rFonts w:ascii="宋体" w:hAnsi="宋体" w:cs="宋体"/>
                <w:b/>
                <w:color w:val="000000" w:themeColor="text1"/>
                <w:szCs w:val="21"/>
                <w14:textFill>
                  <w14:solidFill>
                    <w14:schemeClr w14:val="tx1"/>
                  </w14:solidFill>
                </w14:textFill>
              </w:rPr>
            </w:pPr>
          </w:p>
          <w:p>
            <w:pPr>
              <w:spacing w:line="276"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问题：</w:t>
            </w:r>
            <w:r>
              <w:rPr>
                <w:rFonts w:hint="eastAsia" w:ascii="宋体" w:hAnsi="宋体" w:cs="宋体"/>
                <w:sz w:val="21"/>
                <w:szCs w:val="21"/>
              </w:rPr>
              <w:t>1、公司第三季度各产品毛利率是多少？同比情况如何？原因是？2、公司前三季度前五大客户分别是？收入占比多少？主要涉及什么产品及业务？新拓展了哪些客户？</w:t>
            </w:r>
          </w:p>
          <w:p>
            <w:pPr>
              <w:spacing w:line="276"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回答：</w:t>
            </w:r>
            <w:r>
              <w:rPr>
                <w:rFonts w:hint="eastAsia" w:ascii="宋体" w:hAnsi="宋体" w:cs="宋体"/>
                <w:sz w:val="21"/>
                <w:szCs w:val="21"/>
              </w:rPr>
              <w:t>尊敬的投资者，您好！公司遵循相关法律法规及监管要求履行信息披露义务，有关经营业绩数据，敬请关注公司后续在上海证券交易所（www.sse.com.cn）披露的定期报告。谢谢您的关注。</w:t>
            </w:r>
          </w:p>
          <w:p>
            <w:pPr>
              <w:spacing w:line="276" w:lineRule="auto"/>
              <w:rPr>
                <w:rFonts w:ascii="宋体" w:hAnsi="宋体" w:cs="宋体"/>
                <w:b/>
                <w:color w:val="000000" w:themeColor="text1"/>
                <w:szCs w:val="21"/>
                <w14:textFill>
                  <w14:solidFill>
                    <w14:schemeClr w14:val="tx1"/>
                  </w14:solidFill>
                </w14:textFill>
              </w:rPr>
            </w:pPr>
          </w:p>
          <w:p>
            <w:pPr>
              <w:spacing w:line="276"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问题：</w:t>
            </w:r>
            <w:r>
              <w:rPr>
                <w:rFonts w:hint="eastAsia" w:ascii="宋体" w:hAnsi="宋体" w:cs="宋体"/>
                <w:sz w:val="21"/>
                <w:szCs w:val="21"/>
              </w:rPr>
              <w:t>谈总您好！请问公司对户储行业长期的发展趋势有何预判？现阶段的库存和竞争预计会持续到什么时间？公司对推动业绩长期稳定增长有何规划？</w:t>
            </w:r>
          </w:p>
          <w:p>
            <w:pPr>
              <w:spacing w:line="276"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回答：</w:t>
            </w:r>
            <w:r>
              <w:rPr>
                <w:rFonts w:hint="eastAsia" w:ascii="宋体" w:hAnsi="宋体" w:cs="宋体"/>
                <w:sz w:val="21"/>
                <w:szCs w:val="21"/>
              </w:rPr>
              <w:t>尊敬的投资者，您好！户用储能是整个新能源及储能行业的一环，代表着一种新的表后能源利用方式，我们长期看好该行业的发展。但行业短期受政策、库存及宏观环境影响，波动较大。目前在不同的区域市场库存情况不同，但相比上半年库存积压情况已有改善。随着可再生能源的推广和技术进步，对高效储能解决方案的需求将不断增加。此外，政策支持和环保意识提升也将促进行业发展。公司将在保持家用储能市场领先地位的同时，逐步加强在工商业储能、电网侧、新能源发电侧以及独立储能等不同储能应用领域的市场开拓力度。谢谢您的关注。</w:t>
            </w:r>
          </w:p>
          <w:p>
            <w:pPr>
              <w:spacing w:line="276" w:lineRule="auto"/>
              <w:rPr>
                <w:rFonts w:ascii="宋体" w:hAnsi="宋体" w:cs="宋体"/>
                <w:b/>
                <w:color w:val="000000" w:themeColor="text1"/>
                <w:szCs w:val="21"/>
                <w14:textFill>
                  <w14:solidFill>
                    <w14:schemeClr w14:val="tx1"/>
                  </w14:solidFill>
                </w14:textFill>
              </w:rPr>
            </w:pPr>
          </w:p>
          <w:p>
            <w:pPr>
              <w:spacing w:line="276"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问题：</w:t>
            </w:r>
            <w:r>
              <w:rPr>
                <w:rFonts w:hint="eastAsia" w:ascii="宋体" w:hAnsi="宋体" w:cs="宋体"/>
                <w:sz w:val="21"/>
                <w:szCs w:val="21"/>
              </w:rPr>
              <w:t>公司高管拿着同行业上市公司高管5-10倍的薪酬，而公司收入和利润的增速远低于同行，公司股价较高点回撤80%以上，公司高管是否能主动降薪50%以上，以帮助公司走出困境？</w:t>
            </w:r>
          </w:p>
          <w:p>
            <w:pPr>
              <w:spacing w:line="276"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回答：</w:t>
            </w:r>
            <w:r>
              <w:rPr>
                <w:rFonts w:hint="eastAsia" w:ascii="宋体" w:hAnsi="宋体" w:cs="宋体"/>
                <w:sz w:val="21"/>
                <w:szCs w:val="21"/>
              </w:rPr>
              <w:t>尊敬的投资者，您好！感谢您的建议，谢谢您的关注。</w:t>
            </w:r>
          </w:p>
          <w:p>
            <w:pPr>
              <w:spacing w:line="276" w:lineRule="auto"/>
              <w:rPr>
                <w:rFonts w:ascii="宋体" w:hAnsi="宋体" w:cs="宋体"/>
                <w:b/>
                <w:color w:val="000000" w:themeColor="text1"/>
                <w:szCs w:val="21"/>
                <w14:textFill>
                  <w14:solidFill>
                    <w14:schemeClr w14:val="tx1"/>
                  </w14:solidFill>
                </w14:textFill>
              </w:rPr>
            </w:pPr>
          </w:p>
          <w:p>
            <w:pPr>
              <w:spacing w:line="276"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问题：</w:t>
            </w:r>
            <w:r>
              <w:rPr>
                <w:rFonts w:hint="eastAsia" w:ascii="宋体" w:hAnsi="宋体" w:cs="宋体"/>
                <w:sz w:val="21"/>
                <w:szCs w:val="21"/>
              </w:rPr>
              <w:t>总裁你好！做为个人投资者我带着对公司未来的憧憬在高位买入了公司股票，目前损失惨重心情极度恐慌，希望总裁重视我们个人投资者利益。1、肥西项目9月份已开始投产，目前客户导入情况如何？产能利用率是多少？国内、国外业务拓展情况如何？2、欧洲去库情况怎么样？进入四季度环比情况是否改善？欧洲库存是否系当初为了定增突击销售造成的？3、工具箱内是否还有提振股价的措施？谢谢</w:t>
            </w:r>
          </w:p>
          <w:p>
            <w:pPr>
              <w:spacing w:line="276"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回答：</w:t>
            </w:r>
            <w:r>
              <w:rPr>
                <w:rFonts w:hint="eastAsia" w:ascii="宋体" w:hAnsi="宋体" w:cs="宋体"/>
                <w:sz w:val="21"/>
                <w:szCs w:val="21"/>
              </w:rPr>
              <w:t>尊敬的投资者，您好！有关公司产能情况，请持续关注公司的相关公告及定期报告。目前在不同的区域市场库存情况不同，但相比上半年库存积压情况已有改善。目前公司股份回购工作正在有序且持续地实施中。谢谢您的关注。</w:t>
            </w:r>
          </w:p>
          <w:p>
            <w:pPr>
              <w:spacing w:line="276" w:lineRule="auto"/>
              <w:rPr>
                <w:rFonts w:ascii="宋体" w:hAnsi="宋体" w:cs="宋体"/>
                <w:b/>
                <w:color w:val="000000" w:themeColor="text1"/>
                <w:szCs w:val="21"/>
                <w14:textFill>
                  <w14:solidFill>
                    <w14:schemeClr w14:val="tx1"/>
                  </w14:solidFill>
                </w14:textFill>
              </w:rPr>
            </w:pPr>
          </w:p>
          <w:p>
            <w:pPr>
              <w:spacing w:line="276"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问题：</w:t>
            </w:r>
            <w:r>
              <w:rPr>
                <w:rFonts w:hint="eastAsia" w:ascii="宋体" w:hAnsi="宋体" w:cs="宋体"/>
                <w:sz w:val="21"/>
                <w:szCs w:val="21"/>
              </w:rPr>
              <w:t>1、第三季度净利润为负的具体原因是？今年整体营收预期如何？2、公司在手订单多少？产能和产能利用率分别是多少？3、目前公司出货量多少？今年整体出货量预期？4、公司募投项目进展如何？预计何时完成？</w:t>
            </w:r>
          </w:p>
          <w:p>
            <w:pPr>
              <w:spacing w:line="276"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回答：</w:t>
            </w:r>
            <w:r>
              <w:rPr>
                <w:rFonts w:hint="eastAsia" w:ascii="宋体" w:hAnsi="宋体" w:cs="宋体"/>
                <w:sz w:val="21"/>
                <w:szCs w:val="21"/>
              </w:rPr>
              <w:t>尊敬的投资者，您好！目前，第三季度净利润下降主要受下游企业去库存，户储市场需求阶段性放缓影响，公司产品销售量下降、产销量下滑使得同期成本增加、以及国际交易结算外汇汇率波动所致。公司再融资募投项目建设进展顺利，“派能科技10GWh锂电池研发制造基地项目”一期已经建成，有关经营业绩数据，敬请关注公司后续在上海证券交易所（www.sse.com.cn）披露的定期报告。谢谢您的关注。</w:t>
            </w:r>
          </w:p>
          <w:p>
            <w:pPr>
              <w:spacing w:line="276" w:lineRule="auto"/>
              <w:rPr>
                <w:rFonts w:ascii="宋体" w:hAnsi="宋体" w:cs="宋体"/>
                <w:b/>
                <w:color w:val="000000" w:themeColor="text1"/>
                <w:szCs w:val="21"/>
                <w14:textFill>
                  <w14:solidFill>
                    <w14:schemeClr w14:val="tx1"/>
                  </w14:solidFill>
                </w14:textFill>
              </w:rPr>
            </w:pPr>
          </w:p>
          <w:p>
            <w:pPr>
              <w:spacing w:line="276"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问题：</w:t>
            </w:r>
            <w:r>
              <w:rPr>
                <w:rFonts w:hint="eastAsia" w:ascii="宋体" w:hAnsi="宋体" w:cs="宋体"/>
                <w:sz w:val="21"/>
                <w:szCs w:val="21"/>
              </w:rPr>
              <w:t>合肥项目目前有产品量产吗？</w:t>
            </w:r>
          </w:p>
          <w:p>
            <w:pPr>
              <w:spacing w:line="276"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回答：</w:t>
            </w:r>
            <w:r>
              <w:rPr>
                <w:rFonts w:hint="eastAsia" w:ascii="宋体" w:hAnsi="宋体" w:cs="宋体"/>
                <w:sz w:val="21"/>
                <w:szCs w:val="21"/>
              </w:rPr>
              <w:t>尊敬的投资者，您好！公司再融资募投项目建设进展顺利，“派能科技10GWh锂电池研发制造基地项目”一期已经建成，有关经营业绩数据，敬请关注公司后续在上海证券交易所（www.sse.com.cn）披露的定期报告。谢谢您的关注。</w:t>
            </w:r>
          </w:p>
          <w:p>
            <w:pPr>
              <w:spacing w:line="276" w:lineRule="auto"/>
              <w:rPr>
                <w:rFonts w:ascii="宋体" w:hAnsi="宋体" w:cs="宋体"/>
                <w:b/>
                <w:color w:val="000000" w:themeColor="text1"/>
                <w:szCs w:val="21"/>
                <w14:textFill>
                  <w14:solidFill>
                    <w14:schemeClr w14:val="tx1"/>
                  </w14:solidFill>
                </w14:textFill>
              </w:rPr>
            </w:pPr>
          </w:p>
          <w:p>
            <w:pPr>
              <w:spacing w:line="276"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问题：</w:t>
            </w:r>
            <w:r>
              <w:rPr>
                <w:rFonts w:hint="eastAsia" w:ascii="宋体" w:hAnsi="宋体" w:cs="宋体"/>
                <w:sz w:val="21"/>
                <w:szCs w:val="21"/>
              </w:rPr>
              <w:t>公司目前新市场开拓进展如何，非户储业务有无涉足</w:t>
            </w:r>
          </w:p>
          <w:p>
            <w:pPr>
              <w:spacing w:line="276"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回答：</w:t>
            </w:r>
            <w:r>
              <w:rPr>
                <w:rFonts w:hint="eastAsia" w:ascii="宋体" w:hAnsi="宋体" w:cs="宋体"/>
                <w:sz w:val="21"/>
                <w:szCs w:val="21"/>
              </w:rPr>
              <w:t>尊敬的投资者，您好！公司持续拓展锂电储能市场和应用领域，深化全球化发展战略。（1）在国际市场，公司在巩固既有户储市场的同时，积极拓展其他区域和其他细分市场。2023年上半年，公司家用储能产品及基于同款电芯的船用电池均已通过日本JET认证，为未来市场拓展打下良好基础；公司钠离子电池产品已通过德国莱茵TÜV、美国UL、国际IEC等权威认证，目前正加速实现户用储能、工商业储能产品示范；针对美国市场的储能相关定制产品取得阶段性成果，为稳步提升美国市场份额增加竞争优势；亚非拉市场工商业储能产品拓展取得倍增成果，为公司全球化战略的实施打下良好基础。（2）在国内市场，公司在工商业储能、微电网、离网储能、光储充、通信储能、新能源配套储能、便携式储能等领域持续拓展。2023年上半年，面对国内日益兴起的工商业储能市场，公司推出基于长寿命大容量铝壳储能电池的一体化储能系统，该产品集成化程度高、部署方便快捷，在工商业储能领域具备较强竞争力。公司将在保持家用储能市场领先地位的同时，逐步加强在工商业储能、电网侧、新能源发电侧以及独立储能等不同储能应用领域的市场开拓力度。谢谢您的关注。</w:t>
            </w:r>
          </w:p>
          <w:p>
            <w:pPr>
              <w:spacing w:line="276" w:lineRule="auto"/>
              <w:rPr>
                <w:rFonts w:ascii="宋体" w:hAnsi="宋体" w:cs="宋体"/>
                <w:b/>
                <w:color w:val="000000" w:themeColor="text1"/>
                <w:szCs w:val="21"/>
                <w14:textFill>
                  <w14:solidFill>
                    <w14:schemeClr w14:val="tx1"/>
                  </w14:solidFill>
                </w14:textFill>
              </w:rPr>
            </w:pPr>
          </w:p>
          <w:p>
            <w:pPr>
              <w:spacing w:line="276"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问题：</w:t>
            </w:r>
            <w:r>
              <w:rPr>
                <w:rFonts w:hint="eastAsia" w:ascii="宋体" w:hAnsi="宋体" w:cs="宋体"/>
                <w:sz w:val="21"/>
                <w:szCs w:val="21"/>
              </w:rPr>
              <w:t>美国市场拓展的情况能介绍一下吗？</w:t>
            </w:r>
          </w:p>
          <w:p>
            <w:pPr>
              <w:spacing w:line="276"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回答：</w:t>
            </w:r>
            <w:r>
              <w:rPr>
                <w:rFonts w:hint="eastAsia" w:ascii="宋体" w:hAnsi="宋体" w:cs="宋体"/>
                <w:sz w:val="21"/>
                <w:szCs w:val="21"/>
              </w:rPr>
              <w:t>尊敬的投资者，您好！2023年，公司进一步深化全球化发展战略，积极参与欧洲、美国、澳大利亚、日本等重要国家和地区的行业展会。公司针对美国市场的储能相关定制产品取得阶段性成果，为稳步提升美国市场份额增加竞争优势。谢谢您的关注。</w:t>
            </w:r>
          </w:p>
          <w:p>
            <w:pPr>
              <w:spacing w:line="276" w:lineRule="auto"/>
              <w:rPr>
                <w:rFonts w:hint="eastAsia" w:ascii="宋体" w:hAnsi="宋体" w:cs="宋体"/>
                <w:b/>
                <w:color w:val="000000" w:themeColor="text1"/>
                <w:szCs w:val="21"/>
                <w14:textFill>
                  <w14:solidFill>
                    <w14:schemeClr w14:val="tx1"/>
                  </w14:solidFill>
                </w14:textFill>
              </w:rPr>
            </w:pPr>
          </w:p>
          <w:p>
            <w:pPr>
              <w:spacing w:line="276" w:lineRule="auto"/>
              <w:rPr>
                <w:rFonts w:hint="eastAsia"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问题：</w:t>
            </w:r>
            <w:r>
              <w:rPr>
                <w:rFonts w:hint="eastAsia" w:ascii="宋体" w:hAnsi="宋体" w:cs="宋体"/>
                <w:sz w:val="21"/>
                <w:szCs w:val="21"/>
              </w:rPr>
              <w:t>目前碳酸锂价格12万左右，对公司库存价格有没有大的影响？对公司出厂价及今年业绩影响大吗？</w:t>
            </w:r>
          </w:p>
          <w:p>
            <w:pPr>
              <w:spacing w:line="276" w:lineRule="auto"/>
              <w:rPr>
                <w:rFonts w:hint="eastAsia" w:ascii="宋体" w:hAnsi="宋体" w:cs="Arial"/>
                <w:sz w:val="20"/>
                <w:szCs w:val="20"/>
              </w:rPr>
            </w:pPr>
            <w:r>
              <w:rPr>
                <w:rFonts w:hint="eastAsia" w:ascii="宋体" w:hAnsi="宋体" w:cs="宋体"/>
                <w:b/>
                <w:color w:val="000000" w:themeColor="text1"/>
                <w:szCs w:val="21"/>
                <w14:textFill>
                  <w14:solidFill>
                    <w14:schemeClr w14:val="tx1"/>
                  </w14:solidFill>
                </w14:textFill>
              </w:rPr>
              <w:t>回答：</w:t>
            </w:r>
            <w:r>
              <w:rPr>
                <w:rFonts w:hint="eastAsia" w:ascii="宋体" w:hAnsi="宋体" w:cs="宋体"/>
                <w:sz w:val="21"/>
                <w:szCs w:val="21"/>
              </w:rPr>
              <w:t>尊敬的投资者，您好！公司将持续关注原材料的价格走势，在原材料价格波动较大且供应商供应能力</w:t>
            </w:r>
            <w:r>
              <w:rPr>
                <w:rFonts w:ascii="宋体" w:hAnsi="宋体" w:cs="Arial"/>
                <w:sz w:val="21"/>
                <w:szCs w:val="21"/>
              </w:rPr>
              <w:t>充足的情况下，公司根据市场需求，严格控制原料库存，谢谢您的关注。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iCs/>
                <w:color w:val="000000" w:themeColor="text1"/>
                <w:szCs w:val="21"/>
                <w14:textFill>
                  <w14:solidFill>
                    <w14:schemeClr w14:val="tx1"/>
                  </w14:solidFill>
                </w14:textFill>
              </w:rPr>
            </w:pPr>
            <w:r>
              <w:rPr>
                <w:rFonts w:hint="eastAsia" w:ascii="宋体" w:hAnsi="宋体" w:cs="宋体"/>
                <w:b/>
                <w:bCs/>
                <w:iCs/>
                <w:color w:val="000000" w:themeColor="text1"/>
                <w:szCs w:val="21"/>
                <w14:textFill>
                  <w14:solidFill>
                    <w14:schemeClr w14:val="tx1"/>
                  </w14:solidFill>
                </w14:textFill>
              </w:rPr>
              <w:t>附件清单</w:t>
            </w:r>
          </w:p>
          <w:p>
            <w:pPr>
              <w:spacing w:line="360" w:lineRule="auto"/>
              <w:jc w:val="center"/>
              <w:rPr>
                <w:rFonts w:ascii="宋体" w:hAnsi="宋体" w:cs="宋体"/>
                <w:b/>
                <w:bCs/>
                <w:iCs/>
                <w:color w:val="000000" w:themeColor="text1"/>
                <w:szCs w:val="21"/>
                <w14:textFill>
                  <w14:solidFill>
                    <w14:schemeClr w14:val="tx1"/>
                  </w14:solidFill>
                </w14:textFill>
              </w:rPr>
            </w:pPr>
            <w:r>
              <w:rPr>
                <w:rFonts w:hint="eastAsia" w:ascii="宋体" w:hAnsi="宋体" w:cs="宋体"/>
                <w:b/>
                <w:bCs/>
                <w:iCs/>
                <w:color w:val="000000" w:themeColor="text1"/>
                <w:szCs w:val="21"/>
                <w14:textFill>
                  <w14:solidFill>
                    <w14:schemeClr w14:val="tx1"/>
                  </w14:solidFill>
                </w14:textFill>
              </w:rPr>
              <w:t>（如有）</w:t>
            </w:r>
          </w:p>
        </w:tc>
        <w:tc>
          <w:tcPr>
            <w:tcW w:w="65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iCs/>
                <w:color w:val="000000" w:themeColor="text1"/>
                <w:szCs w:val="21"/>
                <w14:textFill>
                  <w14:solidFill>
                    <w14:schemeClr w14:val="tx1"/>
                  </w14:solidFill>
                </w14:textFill>
              </w:rPr>
            </w:pPr>
            <w:r>
              <w:rPr>
                <w:rFonts w:hint="eastAsia" w:ascii="宋体" w:hAnsi="宋体" w:cs="宋体"/>
                <w:b/>
                <w:bCs/>
                <w:iCs/>
                <w:color w:val="000000" w:themeColor="text1"/>
                <w:szCs w:val="21"/>
                <w14:textFill>
                  <w14:solidFill>
                    <w14:schemeClr w14:val="tx1"/>
                  </w14:solidFill>
                </w14:textFill>
              </w:rPr>
              <w:t>日期</w:t>
            </w:r>
          </w:p>
        </w:tc>
        <w:tc>
          <w:tcPr>
            <w:tcW w:w="65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iCs/>
                <w:color w:val="000000" w:themeColor="text1"/>
                <w:szCs w:val="21"/>
                <w14:textFill>
                  <w14:solidFill>
                    <w14:schemeClr w14:val="tx1"/>
                  </w14:solidFill>
                </w14:textFill>
              </w:rPr>
            </w:pPr>
            <w:r>
              <w:rPr>
                <w:rFonts w:hint="eastAsia" w:ascii="宋体" w:hAnsi="宋体" w:cs="宋体"/>
                <w:bCs/>
                <w:iCs/>
                <w:color w:val="000000" w:themeColor="text1"/>
                <w:szCs w:val="21"/>
                <w14:textFill>
                  <w14:solidFill>
                    <w14:schemeClr w14:val="tx1"/>
                  </w14:solidFill>
                </w14:textFill>
              </w:rPr>
              <w:t>2023年</w:t>
            </w:r>
            <w:r>
              <w:rPr>
                <w:rFonts w:ascii="宋体" w:hAnsi="宋体" w:cs="宋体"/>
                <w:bCs/>
                <w:iCs/>
                <w:color w:val="000000" w:themeColor="text1"/>
                <w:szCs w:val="21"/>
                <w14:textFill>
                  <w14:solidFill>
                    <w14:schemeClr w14:val="tx1"/>
                  </w14:solidFill>
                </w14:textFill>
              </w:rPr>
              <w:t>11</w:t>
            </w:r>
            <w:r>
              <w:rPr>
                <w:rFonts w:hint="eastAsia" w:ascii="宋体" w:hAnsi="宋体" w:cs="宋体"/>
                <w:bCs/>
                <w:iCs/>
                <w:color w:val="000000" w:themeColor="text1"/>
                <w:szCs w:val="21"/>
                <w14:textFill>
                  <w14:solidFill>
                    <w14:schemeClr w14:val="tx1"/>
                  </w14:solidFill>
                </w14:textFill>
              </w:rPr>
              <w:t>月2</w:t>
            </w:r>
            <w:r>
              <w:rPr>
                <w:rFonts w:ascii="宋体" w:hAnsi="宋体" w:cs="宋体"/>
                <w:bCs/>
                <w:iCs/>
                <w:color w:val="000000" w:themeColor="text1"/>
                <w:szCs w:val="21"/>
                <w14:textFill>
                  <w14:solidFill>
                    <w14:schemeClr w14:val="tx1"/>
                  </w14:solidFill>
                </w14:textFill>
              </w:rPr>
              <w:t>8</w:t>
            </w:r>
            <w:r>
              <w:rPr>
                <w:rFonts w:hint="eastAsia" w:ascii="宋体" w:hAnsi="宋体" w:cs="宋体"/>
                <w:bCs/>
                <w:iCs/>
                <w:color w:val="000000" w:themeColor="text1"/>
                <w:szCs w:val="21"/>
                <w14:textFill>
                  <w14:solidFill>
                    <w14:schemeClr w14:val="tx1"/>
                  </w14:solidFill>
                </w14:textFill>
              </w:rPr>
              <w:t>日</w:t>
            </w:r>
          </w:p>
        </w:tc>
      </w:tr>
    </w:tbl>
    <w:p>
      <w:pPr>
        <w:ind w:firstLine="420"/>
        <w:rPr>
          <w:rFonts w:ascii="宋体" w:hAnsi="宋体"/>
          <w:color w:val="000000" w:themeColor="text1"/>
          <w14:textFill>
            <w14:solidFill>
              <w14:schemeClr w14:val="tx1"/>
            </w14:solidFill>
          </w14:textFill>
        </w:rPr>
      </w:pPr>
    </w:p>
    <w:sectPr>
      <w:footerReference r:id="rId3" w:type="default"/>
      <w:pgSz w:w="11906" w:h="16838"/>
      <w:pgMar w:top="1440" w:right="1800" w:bottom="1440" w:left="1800" w:header="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1489976"/>
      <w:docPartObj>
        <w:docPartGallery w:val="autotext"/>
      </w:docPartObj>
    </w:sdtPr>
    <w:sdtContent>
      <w:sdt>
        <w:sdtPr>
          <w:id w:val="1728636285"/>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0Yzc4NGI1MGJkN2FkNjczMWIwODYzNDU5MTJiMzYifQ=="/>
  </w:docVars>
  <w:rsids>
    <w:rsidRoot w:val="00172A27"/>
    <w:rsid w:val="000059C1"/>
    <w:rsid w:val="00005A6A"/>
    <w:rsid w:val="00005DB8"/>
    <w:rsid w:val="00006742"/>
    <w:rsid w:val="000101B6"/>
    <w:rsid w:val="000153A6"/>
    <w:rsid w:val="00015F15"/>
    <w:rsid w:val="00020553"/>
    <w:rsid w:val="000230A8"/>
    <w:rsid w:val="00036621"/>
    <w:rsid w:val="000375CA"/>
    <w:rsid w:val="00046262"/>
    <w:rsid w:val="00052C0B"/>
    <w:rsid w:val="000553B0"/>
    <w:rsid w:val="00060560"/>
    <w:rsid w:val="000665BC"/>
    <w:rsid w:val="0007314A"/>
    <w:rsid w:val="000731F4"/>
    <w:rsid w:val="00074D6D"/>
    <w:rsid w:val="000765CD"/>
    <w:rsid w:val="00076770"/>
    <w:rsid w:val="000773EF"/>
    <w:rsid w:val="0008011F"/>
    <w:rsid w:val="000824EC"/>
    <w:rsid w:val="00091979"/>
    <w:rsid w:val="000969BA"/>
    <w:rsid w:val="00097C6A"/>
    <w:rsid w:val="000A1F0F"/>
    <w:rsid w:val="000A1F33"/>
    <w:rsid w:val="000A2226"/>
    <w:rsid w:val="000B0E2E"/>
    <w:rsid w:val="000C49A0"/>
    <w:rsid w:val="000C4AAF"/>
    <w:rsid w:val="000D1837"/>
    <w:rsid w:val="000D5DD3"/>
    <w:rsid w:val="000E5BE0"/>
    <w:rsid w:val="000F31DE"/>
    <w:rsid w:val="000F36B4"/>
    <w:rsid w:val="00107B79"/>
    <w:rsid w:val="00117CE3"/>
    <w:rsid w:val="00127021"/>
    <w:rsid w:val="0013154C"/>
    <w:rsid w:val="00135331"/>
    <w:rsid w:val="001353E7"/>
    <w:rsid w:val="00141CB0"/>
    <w:rsid w:val="00150D3B"/>
    <w:rsid w:val="00165CDE"/>
    <w:rsid w:val="00172A27"/>
    <w:rsid w:val="00172D2F"/>
    <w:rsid w:val="00180A55"/>
    <w:rsid w:val="00181592"/>
    <w:rsid w:val="00184E44"/>
    <w:rsid w:val="00192BDC"/>
    <w:rsid w:val="001A3360"/>
    <w:rsid w:val="001B0B6E"/>
    <w:rsid w:val="001B3F39"/>
    <w:rsid w:val="001C20BA"/>
    <w:rsid w:val="001C6975"/>
    <w:rsid w:val="001C7F69"/>
    <w:rsid w:val="001D02CA"/>
    <w:rsid w:val="001D1BF1"/>
    <w:rsid w:val="001D27BC"/>
    <w:rsid w:val="001E35FD"/>
    <w:rsid w:val="001E514C"/>
    <w:rsid w:val="001F0009"/>
    <w:rsid w:val="001F76F3"/>
    <w:rsid w:val="00205502"/>
    <w:rsid w:val="00207561"/>
    <w:rsid w:val="00210376"/>
    <w:rsid w:val="002105C4"/>
    <w:rsid w:val="00216CCF"/>
    <w:rsid w:val="0022029C"/>
    <w:rsid w:val="00220E0F"/>
    <w:rsid w:val="002329BC"/>
    <w:rsid w:val="0023591B"/>
    <w:rsid w:val="00242FB1"/>
    <w:rsid w:val="00244077"/>
    <w:rsid w:val="00244981"/>
    <w:rsid w:val="00246F81"/>
    <w:rsid w:val="00253F74"/>
    <w:rsid w:val="0026005F"/>
    <w:rsid w:val="002671AC"/>
    <w:rsid w:val="0026773C"/>
    <w:rsid w:val="00273E52"/>
    <w:rsid w:val="002743EA"/>
    <w:rsid w:val="0027462D"/>
    <w:rsid w:val="00282A76"/>
    <w:rsid w:val="00283244"/>
    <w:rsid w:val="00283EF6"/>
    <w:rsid w:val="00284F78"/>
    <w:rsid w:val="00286756"/>
    <w:rsid w:val="00291118"/>
    <w:rsid w:val="002923C4"/>
    <w:rsid w:val="002B1073"/>
    <w:rsid w:val="002B37E4"/>
    <w:rsid w:val="002B4D32"/>
    <w:rsid w:val="002C26FB"/>
    <w:rsid w:val="002C409F"/>
    <w:rsid w:val="002D4AA3"/>
    <w:rsid w:val="002D5BA1"/>
    <w:rsid w:val="002D7D34"/>
    <w:rsid w:val="002E1522"/>
    <w:rsid w:val="002E2522"/>
    <w:rsid w:val="002E6E91"/>
    <w:rsid w:val="002F3C66"/>
    <w:rsid w:val="002F462B"/>
    <w:rsid w:val="00304B5D"/>
    <w:rsid w:val="0030632B"/>
    <w:rsid w:val="0031004F"/>
    <w:rsid w:val="00312430"/>
    <w:rsid w:val="00316C52"/>
    <w:rsid w:val="00316E48"/>
    <w:rsid w:val="00320D5B"/>
    <w:rsid w:val="0032121E"/>
    <w:rsid w:val="003248B9"/>
    <w:rsid w:val="00334B30"/>
    <w:rsid w:val="0034152A"/>
    <w:rsid w:val="003426BA"/>
    <w:rsid w:val="0034572E"/>
    <w:rsid w:val="003468BB"/>
    <w:rsid w:val="00347360"/>
    <w:rsid w:val="00361C4C"/>
    <w:rsid w:val="00362AD7"/>
    <w:rsid w:val="00363B27"/>
    <w:rsid w:val="00363E39"/>
    <w:rsid w:val="0036469A"/>
    <w:rsid w:val="00364C4C"/>
    <w:rsid w:val="00364E10"/>
    <w:rsid w:val="003702B3"/>
    <w:rsid w:val="00372345"/>
    <w:rsid w:val="00376F5D"/>
    <w:rsid w:val="003910C8"/>
    <w:rsid w:val="00391B40"/>
    <w:rsid w:val="003924E8"/>
    <w:rsid w:val="003A0505"/>
    <w:rsid w:val="003A1F96"/>
    <w:rsid w:val="003A50FD"/>
    <w:rsid w:val="003B07EF"/>
    <w:rsid w:val="003B0ABE"/>
    <w:rsid w:val="003B23E2"/>
    <w:rsid w:val="003B61D2"/>
    <w:rsid w:val="003C0D42"/>
    <w:rsid w:val="003C3CDF"/>
    <w:rsid w:val="003C47C3"/>
    <w:rsid w:val="003C5983"/>
    <w:rsid w:val="003D0115"/>
    <w:rsid w:val="003D07FC"/>
    <w:rsid w:val="003D3827"/>
    <w:rsid w:val="003E3B0F"/>
    <w:rsid w:val="003F30A9"/>
    <w:rsid w:val="003F4BE3"/>
    <w:rsid w:val="003F6632"/>
    <w:rsid w:val="00410FBD"/>
    <w:rsid w:val="00411B8D"/>
    <w:rsid w:val="00415FEF"/>
    <w:rsid w:val="00416566"/>
    <w:rsid w:val="0042269B"/>
    <w:rsid w:val="00424A33"/>
    <w:rsid w:val="00424B08"/>
    <w:rsid w:val="00424DDD"/>
    <w:rsid w:val="00430A7D"/>
    <w:rsid w:val="004374AF"/>
    <w:rsid w:val="0044080E"/>
    <w:rsid w:val="004441F8"/>
    <w:rsid w:val="0045072C"/>
    <w:rsid w:val="004546A6"/>
    <w:rsid w:val="004633CD"/>
    <w:rsid w:val="00465D55"/>
    <w:rsid w:val="004703C0"/>
    <w:rsid w:val="004705D4"/>
    <w:rsid w:val="00472B64"/>
    <w:rsid w:val="00480F27"/>
    <w:rsid w:val="004868B6"/>
    <w:rsid w:val="00490715"/>
    <w:rsid w:val="00492DC2"/>
    <w:rsid w:val="00495B18"/>
    <w:rsid w:val="004973C9"/>
    <w:rsid w:val="00497491"/>
    <w:rsid w:val="004A3BB2"/>
    <w:rsid w:val="004A467E"/>
    <w:rsid w:val="004A5A48"/>
    <w:rsid w:val="004A7B62"/>
    <w:rsid w:val="004B1E1E"/>
    <w:rsid w:val="004B2D34"/>
    <w:rsid w:val="004C3AFC"/>
    <w:rsid w:val="004C50AE"/>
    <w:rsid w:val="004C60E9"/>
    <w:rsid w:val="004D7D5C"/>
    <w:rsid w:val="004E534E"/>
    <w:rsid w:val="004E74DE"/>
    <w:rsid w:val="004E7BF6"/>
    <w:rsid w:val="004F057A"/>
    <w:rsid w:val="004F7AE4"/>
    <w:rsid w:val="004F7B97"/>
    <w:rsid w:val="0050123D"/>
    <w:rsid w:val="005109A3"/>
    <w:rsid w:val="00521751"/>
    <w:rsid w:val="00522FCE"/>
    <w:rsid w:val="00525142"/>
    <w:rsid w:val="00527F3F"/>
    <w:rsid w:val="005426A9"/>
    <w:rsid w:val="00542D51"/>
    <w:rsid w:val="00543823"/>
    <w:rsid w:val="00545BD1"/>
    <w:rsid w:val="00546E9A"/>
    <w:rsid w:val="0055468C"/>
    <w:rsid w:val="005562C9"/>
    <w:rsid w:val="005627E9"/>
    <w:rsid w:val="0056334D"/>
    <w:rsid w:val="00563A2C"/>
    <w:rsid w:val="00567519"/>
    <w:rsid w:val="005677D6"/>
    <w:rsid w:val="005720E8"/>
    <w:rsid w:val="00575A34"/>
    <w:rsid w:val="00584EEA"/>
    <w:rsid w:val="0059279A"/>
    <w:rsid w:val="00596DFA"/>
    <w:rsid w:val="005A57E7"/>
    <w:rsid w:val="005B22F8"/>
    <w:rsid w:val="005B33B6"/>
    <w:rsid w:val="005B370E"/>
    <w:rsid w:val="005B78A8"/>
    <w:rsid w:val="005C06B6"/>
    <w:rsid w:val="005C1D8F"/>
    <w:rsid w:val="005C5944"/>
    <w:rsid w:val="005D515B"/>
    <w:rsid w:val="005D7D63"/>
    <w:rsid w:val="005E1B82"/>
    <w:rsid w:val="005E3545"/>
    <w:rsid w:val="005E393D"/>
    <w:rsid w:val="005E7976"/>
    <w:rsid w:val="005F12B3"/>
    <w:rsid w:val="005F28D3"/>
    <w:rsid w:val="005F3886"/>
    <w:rsid w:val="005F5CC8"/>
    <w:rsid w:val="00601656"/>
    <w:rsid w:val="0060236D"/>
    <w:rsid w:val="00604BAE"/>
    <w:rsid w:val="00604F6B"/>
    <w:rsid w:val="00610C64"/>
    <w:rsid w:val="00611F01"/>
    <w:rsid w:val="0061239B"/>
    <w:rsid w:val="006124CA"/>
    <w:rsid w:val="00614D39"/>
    <w:rsid w:val="006210D8"/>
    <w:rsid w:val="006255A5"/>
    <w:rsid w:val="00631CCB"/>
    <w:rsid w:val="006402A4"/>
    <w:rsid w:val="00641736"/>
    <w:rsid w:val="006427EC"/>
    <w:rsid w:val="00643518"/>
    <w:rsid w:val="00643776"/>
    <w:rsid w:val="006508E6"/>
    <w:rsid w:val="00650D71"/>
    <w:rsid w:val="00653255"/>
    <w:rsid w:val="00660952"/>
    <w:rsid w:val="00661764"/>
    <w:rsid w:val="00670450"/>
    <w:rsid w:val="00674737"/>
    <w:rsid w:val="006750A9"/>
    <w:rsid w:val="00685A97"/>
    <w:rsid w:val="006908E7"/>
    <w:rsid w:val="00691F3F"/>
    <w:rsid w:val="00697935"/>
    <w:rsid w:val="006A1DD0"/>
    <w:rsid w:val="006A3BC7"/>
    <w:rsid w:val="006B3C1F"/>
    <w:rsid w:val="006B6D56"/>
    <w:rsid w:val="006C2E4D"/>
    <w:rsid w:val="006C5627"/>
    <w:rsid w:val="006D0056"/>
    <w:rsid w:val="006D0322"/>
    <w:rsid w:val="006D0D80"/>
    <w:rsid w:val="006D1950"/>
    <w:rsid w:val="006E2FBC"/>
    <w:rsid w:val="006E7D7A"/>
    <w:rsid w:val="0070284C"/>
    <w:rsid w:val="00706E21"/>
    <w:rsid w:val="007109E3"/>
    <w:rsid w:val="00712FC6"/>
    <w:rsid w:val="00713DC2"/>
    <w:rsid w:val="00717F90"/>
    <w:rsid w:val="00725E5A"/>
    <w:rsid w:val="00726216"/>
    <w:rsid w:val="00733CC9"/>
    <w:rsid w:val="00735D0A"/>
    <w:rsid w:val="007372C8"/>
    <w:rsid w:val="0074581F"/>
    <w:rsid w:val="00746AB1"/>
    <w:rsid w:val="00746B2C"/>
    <w:rsid w:val="007551DB"/>
    <w:rsid w:val="0076281E"/>
    <w:rsid w:val="007722DA"/>
    <w:rsid w:val="007737AB"/>
    <w:rsid w:val="00783627"/>
    <w:rsid w:val="0079000B"/>
    <w:rsid w:val="00791D38"/>
    <w:rsid w:val="007923F0"/>
    <w:rsid w:val="007946B4"/>
    <w:rsid w:val="00795AC4"/>
    <w:rsid w:val="007A4412"/>
    <w:rsid w:val="007A579E"/>
    <w:rsid w:val="007A57C2"/>
    <w:rsid w:val="007B1897"/>
    <w:rsid w:val="007B2D63"/>
    <w:rsid w:val="007B40FC"/>
    <w:rsid w:val="007C032D"/>
    <w:rsid w:val="007C6FD6"/>
    <w:rsid w:val="007C7574"/>
    <w:rsid w:val="007D2103"/>
    <w:rsid w:val="007D4407"/>
    <w:rsid w:val="007D65EF"/>
    <w:rsid w:val="007D6F5A"/>
    <w:rsid w:val="007E0CB2"/>
    <w:rsid w:val="007E18DC"/>
    <w:rsid w:val="007E5D0D"/>
    <w:rsid w:val="007E5ECD"/>
    <w:rsid w:val="007E7B37"/>
    <w:rsid w:val="007F4EF5"/>
    <w:rsid w:val="007F55A1"/>
    <w:rsid w:val="008013A7"/>
    <w:rsid w:val="00804784"/>
    <w:rsid w:val="00807419"/>
    <w:rsid w:val="0082002F"/>
    <w:rsid w:val="0082783F"/>
    <w:rsid w:val="00832481"/>
    <w:rsid w:val="0083414A"/>
    <w:rsid w:val="00835807"/>
    <w:rsid w:val="0084177A"/>
    <w:rsid w:val="00841787"/>
    <w:rsid w:val="0084780E"/>
    <w:rsid w:val="00852E37"/>
    <w:rsid w:val="00853CF6"/>
    <w:rsid w:val="0089200C"/>
    <w:rsid w:val="008A19A9"/>
    <w:rsid w:val="008A2789"/>
    <w:rsid w:val="008A449F"/>
    <w:rsid w:val="008A746F"/>
    <w:rsid w:val="008B5006"/>
    <w:rsid w:val="008C1AF1"/>
    <w:rsid w:val="008D3AEC"/>
    <w:rsid w:val="008E087B"/>
    <w:rsid w:val="008E44F3"/>
    <w:rsid w:val="008E629F"/>
    <w:rsid w:val="008F54C1"/>
    <w:rsid w:val="008F5904"/>
    <w:rsid w:val="00902DFD"/>
    <w:rsid w:val="00905858"/>
    <w:rsid w:val="0090776A"/>
    <w:rsid w:val="00907B28"/>
    <w:rsid w:val="009113E6"/>
    <w:rsid w:val="009211CE"/>
    <w:rsid w:val="009243E1"/>
    <w:rsid w:val="00927B3E"/>
    <w:rsid w:val="009303FA"/>
    <w:rsid w:val="00932AE8"/>
    <w:rsid w:val="009506EA"/>
    <w:rsid w:val="009510EF"/>
    <w:rsid w:val="009512B7"/>
    <w:rsid w:val="0095591A"/>
    <w:rsid w:val="00956FF6"/>
    <w:rsid w:val="0096223D"/>
    <w:rsid w:val="009731EC"/>
    <w:rsid w:val="00976418"/>
    <w:rsid w:val="009834F1"/>
    <w:rsid w:val="00984C63"/>
    <w:rsid w:val="00991353"/>
    <w:rsid w:val="00991F99"/>
    <w:rsid w:val="009932A4"/>
    <w:rsid w:val="00995E44"/>
    <w:rsid w:val="0099601B"/>
    <w:rsid w:val="009A1781"/>
    <w:rsid w:val="009B1A6C"/>
    <w:rsid w:val="009B52E9"/>
    <w:rsid w:val="009D00C4"/>
    <w:rsid w:val="009D0CF4"/>
    <w:rsid w:val="009D316F"/>
    <w:rsid w:val="009D34BD"/>
    <w:rsid w:val="009D684A"/>
    <w:rsid w:val="009E5D89"/>
    <w:rsid w:val="009E7602"/>
    <w:rsid w:val="009F16A4"/>
    <w:rsid w:val="009F405B"/>
    <w:rsid w:val="009F4531"/>
    <w:rsid w:val="009F47E8"/>
    <w:rsid w:val="009F5221"/>
    <w:rsid w:val="009F5239"/>
    <w:rsid w:val="00A02530"/>
    <w:rsid w:val="00A055EE"/>
    <w:rsid w:val="00A07A12"/>
    <w:rsid w:val="00A132E6"/>
    <w:rsid w:val="00A1332E"/>
    <w:rsid w:val="00A17217"/>
    <w:rsid w:val="00A468F3"/>
    <w:rsid w:val="00A551A7"/>
    <w:rsid w:val="00A64844"/>
    <w:rsid w:val="00A6555B"/>
    <w:rsid w:val="00A65F24"/>
    <w:rsid w:val="00A6723D"/>
    <w:rsid w:val="00A67C97"/>
    <w:rsid w:val="00A74ED9"/>
    <w:rsid w:val="00A77D96"/>
    <w:rsid w:val="00A815CE"/>
    <w:rsid w:val="00A91C54"/>
    <w:rsid w:val="00A92430"/>
    <w:rsid w:val="00AA3F7B"/>
    <w:rsid w:val="00AA4C6C"/>
    <w:rsid w:val="00AA529A"/>
    <w:rsid w:val="00AB0918"/>
    <w:rsid w:val="00AB7DE9"/>
    <w:rsid w:val="00AC055D"/>
    <w:rsid w:val="00AC3E3D"/>
    <w:rsid w:val="00AC3EB1"/>
    <w:rsid w:val="00AC5CD3"/>
    <w:rsid w:val="00AD0901"/>
    <w:rsid w:val="00AD232A"/>
    <w:rsid w:val="00AD4AEB"/>
    <w:rsid w:val="00AD53F5"/>
    <w:rsid w:val="00AD6EA9"/>
    <w:rsid w:val="00AE08EC"/>
    <w:rsid w:val="00AE5AD8"/>
    <w:rsid w:val="00AF68ED"/>
    <w:rsid w:val="00B01BAF"/>
    <w:rsid w:val="00B01D45"/>
    <w:rsid w:val="00B06509"/>
    <w:rsid w:val="00B126C0"/>
    <w:rsid w:val="00B15382"/>
    <w:rsid w:val="00B24DE3"/>
    <w:rsid w:val="00B24FDE"/>
    <w:rsid w:val="00B31A47"/>
    <w:rsid w:val="00B321DD"/>
    <w:rsid w:val="00B37FEB"/>
    <w:rsid w:val="00B45B80"/>
    <w:rsid w:val="00B45E13"/>
    <w:rsid w:val="00B46594"/>
    <w:rsid w:val="00B50BD7"/>
    <w:rsid w:val="00B51299"/>
    <w:rsid w:val="00B64673"/>
    <w:rsid w:val="00B67F7A"/>
    <w:rsid w:val="00B7153D"/>
    <w:rsid w:val="00B72980"/>
    <w:rsid w:val="00B74B4E"/>
    <w:rsid w:val="00B83734"/>
    <w:rsid w:val="00B8532C"/>
    <w:rsid w:val="00B8605D"/>
    <w:rsid w:val="00B90EB0"/>
    <w:rsid w:val="00B92ED7"/>
    <w:rsid w:val="00B92F9E"/>
    <w:rsid w:val="00BA32E3"/>
    <w:rsid w:val="00BA406A"/>
    <w:rsid w:val="00BA4FBD"/>
    <w:rsid w:val="00BA6395"/>
    <w:rsid w:val="00BB2BA7"/>
    <w:rsid w:val="00BB2F02"/>
    <w:rsid w:val="00BB5305"/>
    <w:rsid w:val="00BB6FEA"/>
    <w:rsid w:val="00BC33E9"/>
    <w:rsid w:val="00BC3F10"/>
    <w:rsid w:val="00BC65B6"/>
    <w:rsid w:val="00BC66DD"/>
    <w:rsid w:val="00BC766B"/>
    <w:rsid w:val="00BD134A"/>
    <w:rsid w:val="00BD28AF"/>
    <w:rsid w:val="00BD476D"/>
    <w:rsid w:val="00BD5453"/>
    <w:rsid w:val="00BF16F2"/>
    <w:rsid w:val="00C00C08"/>
    <w:rsid w:val="00C07D54"/>
    <w:rsid w:val="00C10586"/>
    <w:rsid w:val="00C110A1"/>
    <w:rsid w:val="00C157C3"/>
    <w:rsid w:val="00C1653D"/>
    <w:rsid w:val="00C17717"/>
    <w:rsid w:val="00C20344"/>
    <w:rsid w:val="00C231C1"/>
    <w:rsid w:val="00C25CAE"/>
    <w:rsid w:val="00C30109"/>
    <w:rsid w:val="00C3290C"/>
    <w:rsid w:val="00C505B1"/>
    <w:rsid w:val="00C51AB2"/>
    <w:rsid w:val="00C52682"/>
    <w:rsid w:val="00C56F4F"/>
    <w:rsid w:val="00C636A0"/>
    <w:rsid w:val="00C64278"/>
    <w:rsid w:val="00C649BC"/>
    <w:rsid w:val="00C65F99"/>
    <w:rsid w:val="00C662B2"/>
    <w:rsid w:val="00C72622"/>
    <w:rsid w:val="00C72786"/>
    <w:rsid w:val="00C808CF"/>
    <w:rsid w:val="00C810BD"/>
    <w:rsid w:val="00C845AE"/>
    <w:rsid w:val="00C929ED"/>
    <w:rsid w:val="00CA4879"/>
    <w:rsid w:val="00CB0F21"/>
    <w:rsid w:val="00CC6587"/>
    <w:rsid w:val="00CC67F6"/>
    <w:rsid w:val="00CC7A3C"/>
    <w:rsid w:val="00CC7D63"/>
    <w:rsid w:val="00CD0CD0"/>
    <w:rsid w:val="00CD0E85"/>
    <w:rsid w:val="00CE125C"/>
    <w:rsid w:val="00CE1650"/>
    <w:rsid w:val="00CE2F4F"/>
    <w:rsid w:val="00CE4706"/>
    <w:rsid w:val="00CE5BCA"/>
    <w:rsid w:val="00CF0DBA"/>
    <w:rsid w:val="00CF410C"/>
    <w:rsid w:val="00CF58BB"/>
    <w:rsid w:val="00CF5B5B"/>
    <w:rsid w:val="00D01785"/>
    <w:rsid w:val="00D01F37"/>
    <w:rsid w:val="00D05AC2"/>
    <w:rsid w:val="00D13563"/>
    <w:rsid w:val="00D1397C"/>
    <w:rsid w:val="00D1763C"/>
    <w:rsid w:val="00D30FC9"/>
    <w:rsid w:val="00D3145E"/>
    <w:rsid w:val="00D32890"/>
    <w:rsid w:val="00D35852"/>
    <w:rsid w:val="00D438EB"/>
    <w:rsid w:val="00D47D92"/>
    <w:rsid w:val="00D5186E"/>
    <w:rsid w:val="00D521DE"/>
    <w:rsid w:val="00D551DD"/>
    <w:rsid w:val="00D61B26"/>
    <w:rsid w:val="00D6375D"/>
    <w:rsid w:val="00D63DA3"/>
    <w:rsid w:val="00D663F3"/>
    <w:rsid w:val="00D6755A"/>
    <w:rsid w:val="00D704AB"/>
    <w:rsid w:val="00D70C46"/>
    <w:rsid w:val="00D72E78"/>
    <w:rsid w:val="00D739F1"/>
    <w:rsid w:val="00D751FB"/>
    <w:rsid w:val="00D776D0"/>
    <w:rsid w:val="00D81CC1"/>
    <w:rsid w:val="00D827EE"/>
    <w:rsid w:val="00D86E0F"/>
    <w:rsid w:val="00D90686"/>
    <w:rsid w:val="00D90C81"/>
    <w:rsid w:val="00D93A87"/>
    <w:rsid w:val="00DA5A89"/>
    <w:rsid w:val="00DA63E1"/>
    <w:rsid w:val="00DA6DDC"/>
    <w:rsid w:val="00DA7A81"/>
    <w:rsid w:val="00DB361F"/>
    <w:rsid w:val="00DC2EF4"/>
    <w:rsid w:val="00DC4E0C"/>
    <w:rsid w:val="00DC5226"/>
    <w:rsid w:val="00DC7395"/>
    <w:rsid w:val="00DD659F"/>
    <w:rsid w:val="00DD67F0"/>
    <w:rsid w:val="00DD78DD"/>
    <w:rsid w:val="00DE2FC4"/>
    <w:rsid w:val="00DE73AB"/>
    <w:rsid w:val="00DF0C6E"/>
    <w:rsid w:val="00DF3D64"/>
    <w:rsid w:val="00DF4B5E"/>
    <w:rsid w:val="00DF62E3"/>
    <w:rsid w:val="00E0025F"/>
    <w:rsid w:val="00E031E9"/>
    <w:rsid w:val="00E043DE"/>
    <w:rsid w:val="00E07494"/>
    <w:rsid w:val="00E07A23"/>
    <w:rsid w:val="00E07D3F"/>
    <w:rsid w:val="00E103B7"/>
    <w:rsid w:val="00E127F4"/>
    <w:rsid w:val="00E13C8B"/>
    <w:rsid w:val="00E147C3"/>
    <w:rsid w:val="00E17058"/>
    <w:rsid w:val="00E179F1"/>
    <w:rsid w:val="00E229EB"/>
    <w:rsid w:val="00E239DE"/>
    <w:rsid w:val="00E257F6"/>
    <w:rsid w:val="00E26A83"/>
    <w:rsid w:val="00E41248"/>
    <w:rsid w:val="00E538CF"/>
    <w:rsid w:val="00E53D00"/>
    <w:rsid w:val="00E5717B"/>
    <w:rsid w:val="00E65068"/>
    <w:rsid w:val="00E706D2"/>
    <w:rsid w:val="00E7593F"/>
    <w:rsid w:val="00E77BFF"/>
    <w:rsid w:val="00E81E0D"/>
    <w:rsid w:val="00E8220F"/>
    <w:rsid w:val="00E82749"/>
    <w:rsid w:val="00E84666"/>
    <w:rsid w:val="00E84FDB"/>
    <w:rsid w:val="00E9333E"/>
    <w:rsid w:val="00E97E6A"/>
    <w:rsid w:val="00EA5832"/>
    <w:rsid w:val="00EA5B83"/>
    <w:rsid w:val="00EA630C"/>
    <w:rsid w:val="00EA72ED"/>
    <w:rsid w:val="00EB0BB9"/>
    <w:rsid w:val="00EB653E"/>
    <w:rsid w:val="00EB71C6"/>
    <w:rsid w:val="00EC13C1"/>
    <w:rsid w:val="00EC306C"/>
    <w:rsid w:val="00ED5697"/>
    <w:rsid w:val="00ED60E2"/>
    <w:rsid w:val="00EE7FBC"/>
    <w:rsid w:val="00EF4A99"/>
    <w:rsid w:val="00EF531C"/>
    <w:rsid w:val="00F008BF"/>
    <w:rsid w:val="00F01AD5"/>
    <w:rsid w:val="00F0466A"/>
    <w:rsid w:val="00F163EE"/>
    <w:rsid w:val="00F16ED5"/>
    <w:rsid w:val="00F23214"/>
    <w:rsid w:val="00F2787B"/>
    <w:rsid w:val="00F330B5"/>
    <w:rsid w:val="00F33A21"/>
    <w:rsid w:val="00F34335"/>
    <w:rsid w:val="00F455A3"/>
    <w:rsid w:val="00F53030"/>
    <w:rsid w:val="00F53452"/>
    <w:rsid w:val="00F55638"/>
    <w:rsid w:val="00F56265"/>
    <w:rsid w:val="00F65269"/>
    <w:rsid w:val="00F67A6F"/>
    <w:rsid w:val="00F72E2D"/>
    <w:rsid w:val="00F7587E"/>
    <w:rsid w:val="00F75AB9"/>
    <w:rsid w:val="00F75ECD"/>
    <w:rsid w:val="00F77B93"/>
    <w:rsid w:val="00F77F1C"/>
    <w:rsid w:val="00F80635"/>
    <w:rsid w:val="00F86090"/>
    <w:rsid w:val="00F90280"/>
    <w:rsid w:val="00F96A54"/>
    <w:rsid w:val="00F97C64"/>
    <w:rsid w:val="00FA0397"/>
    <w:rsid w:val="00FA1915"/>
    <w:rsid w:val="00FB48C9"/>
    <w:rsid w:val="00FB5048"/>
    <w:rsid w:val="00FE4AAB"/>
    <w:rsid w:val="00FE791B"/>
    <w:rsid w:val="00FF228A"/>
    <w:rsid w:val="00FF31A0"/>
    <w:rsid w:val="00FF6C9A"/>
    <w:rsid w:val="01337719"/>
    <w:rsid w:val="060B7041"/>
    <w:rsid w:val="068B5C69"/>
    <w:rsid w:val="08332927"/>
    <w:rsid w:val="08584742"/>
    <w:rsid w:val="08923B7D"/>
    <w:rsid w:val="0AEC6F0D"/>
    <w:rsid w:val="0FA77648"/>
    <w:rsid w:val="11B914C8"/>
    <w:rsid w:val="11DA36A8"/>
    <w:rsid w:val="11DB031E"/>
    <w:rsid w:val="148D4C4D"/>
    <w:rsid w:val="182833CF"/>
    <w:rsid w:val="1876405C"/>
    <w:rsid w:val="1AEF5208"/>
    <w:rsid w:val="1C6F5DA9"/>
    <w:rsid w:val="1CA63EB2"/>
    <w:rsid w:val="1D17117B"/>
    <w:rsid w:val="1E9202F6"/>
    <w:rsid w:val="1ECD58BF"/>
    <w:rsid w:val="1EFC7683"/>
    <w:rsid w:val="21D13001"/>
    <w:rsid w:val="21FC2208"/>
    <w:rsid w:val="237063D4"/>
    <w:rsid w:val="237335E8"/>
    <w:rsid w:val="24366117"/>
    <w:rsid w:val="24DD3467"/>
    <w:rsid w:val="262524B5"/>
    <w:rsid w:val="28775494"/>
    <w:rsid w:val="28DB6036"/>
    <w:rsid w:val="29931DFF"/>
    <w:rsid w:val="2A01437D"/>
    <w:rsid w:val="2A723E77"/>
    <w:rsid w:val="2AEE17B2"/>
    <w:rsid w:val="2B5B3ED3"/>
    <w:rsid w:val="2C444745"/>
    <w:rsid w:val="2CF77D44"/>
    <w:rsid w:val="2F8A6527"/>
    <w:rsid w:val="31D53B22"/>
    <w:rsid w:val="32A71272"/>
    <w:rsid w:val="346176D6"/>
    <w:rsid w:val="346229E1"/>
    <w:rsid w:val="35625C00"/>
    <w:rsid w:val="35F23C0C"/>
    <w:rsid w:val="378C5D58"/>
    <w:rsid w:val="397C30D7"/>
    <w:rsid w:val="39A64349"/>
    <w:rsid w:val="3B211B8A"/>
    <w:rsid w:val="3E7D5611"/>
    <w:rsid w:val="3EB32451"/>
    <w:rsid w:val="40E441CF"/>
    <w:rsid w:val="42C07441"/>
    <w:rsid w:val="475305F1"/>
    <w:rsid w:val="4A280DAA"/>
    <w:rsid w:val="4B2A2DEB"/>
    <w:rsid w:val="4B5D2CD5"/>
    <w:rsid w:val="4F874D85"/>
    <w:rsid w:val="50644AE3"/>
    <w:rsid w:val="51907961"/>
    <w:rsid w:val="519548C4"/>
    <w:rsid w:val="53487CCC"/>
    <w:rsid w:val="543B7189"/>
    <w:rsid w:val="5673121B"/>
    <w:rsid w:val="567F21FE"/>
    <w:rsid w:val="56A9123F"/>
    <w:rsid w:val="57A32340"/>
    <w:rsid w:val="59AD652F"/>
    <w:rsid w:val="5CD145A6"/>
    <w:rsid w:val="5E9F3A68"/>
    <w:rsid w:val="5F567CBC"/>
    <w:rsid w:val="63B41D21"/>
    <w:rsid w:val="63F937D4"/>
    <w:rsid w:val="64654C7D"/>
    <w:rsid w:val="68343B4D"/>
    <w:rsid w:val="69B41A39"/>
    <w:rsid w:val="6A696621"/>
    <w:rsid w:val="6D390C0C"/>
    <w:rsid w:val="6DD043A5"/>
    <w:rsid w:val="6F591935"/>
    <w:rsid w:val="70BB0849"/>
    <w:rsid w:val="72554235"/>
    <w:rsid w:val="729F5EFC"/>
    <w:rsid w:val="72AD4AA8"/>
    <w:rsid w:val="72CC5BD6"/>
    <w:rsid w:val="72EB1400"/>
    <w:rsid w:val="73E86FB1"/>
    <w:rsid w:val="76C665F0"/>
    <w:rsid w:val="77A5696A"/>
    <w:rsid w:val="783819A2"/>
    <w:rsid w:val="788B54EB"/>
    <w:rsid w:val="7993773F"/>
    <w:rsid w:val="7A60242A"/>
    <w:rsid w:val="7A9144EB"/>
    <w:rsid w:val="7CCC5E07"/>
    <w:rsid w:val="7FF43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paragraph" w:styleId="7">
    <w:name w:val="annotation subject"/>
    <w:basedOn w:val="2"/>
    <w:next w:val="2"/>
    <w:link w:val="14"/>
    <w:semiHidden/>
    <w:unhideWhenUsed/>
    <w:qFormat/>
    <w:uiPriority w:val="99"/>
    <w:rPr>
      <w:b/>
      <w:bCs/>
    </w:rPr>
  </w:style>
  <w:style w:type="character" w:styleId="10">
    <w:name w:val="Emphasis"/>
    <w:basedOn w:val="9"/>
    <w:qFormat/>
    <w:uiPriority w:val="20"/>
    <w:rPr>
      <w:i/>
    </w:rPr>
  </w:style>
  <w:style w:type="character" w:styleId="11">
    <w:name w:val="Hyperlink"/>
    <w:basedOn w:val="9"/>
    <w:unhideWhenUsed/>
    <w:qFormat/>
    <w:uiPriority w:val="99"/>
    <w:rPr>
      <w:color w:val="0000FF"/>
      <w:u w:val="single"/>
    </w:rPr>
  </w:style>
  <w:style w:type="character" w:styleId="12">
    <w:name w:val="annotation reference"/>
    <w:basedOn w:val="9"/>
    <w:semiHidden/>
    <w:unhideWhenUsed/>
    <w:qFormat/>
    <w:uiPriority w:val="99"/>
    <w:rPr>
      <w:sz w:val="21"/>
      <w:szCs w:val="21"/>
    </w:rPr>
  </w:style>
  <w:style w:type="character" w:customStyle="1" w:styleId="13">
    <w:name w:val="批注文字 字符"/>
    <w:basedOn w:val="9"/>
    <w:link w:val="2"/>
    <w:semiHidden/>
    <w:qFormat/>
    <w:uiPriority w:val="99"/>
    <w:rPr>
      <w:rFonts w:ascii="Times New Roman" w:hAnsi="Times New Roman" w:eastAsia="宋体" w:cs="Times New Roman"/>
      <w:szCs w:val="24"/>
    </w:rPr>
  </w:style>
  <w:style w:type="character" w:customStyle="1" w:styleId="14">
    <w:name w:val="批注主题 字符"/>
    <w:basedOn w:val="13"/>
    <w:link w:val="7"/>
    <w:semiHidden/>
    <w:qFormat/>
    <w:uiPriority w:val="99"/>
    <w:rPr>
      <w:rFonts w:ascii="Times New Roman" w:hAnsi="Times New Roman" w:eastAsia="宋体" w:cs="Times New Roman"/>
      <w:b/>
      <w:bCs/>
      <w:szCs w:val="24"/>
    </w:rPr>
  </w:style>
  <w:style w:type="character" w:customStyle="1" w:styleId="15">
    <w:name w:val="批注框文本 字符"/>
    <w:basedOn w:val="9"/>
    <w:link w:val="3"/>
    <w:semiHidden/>
    <w:qFormat/>
    <w:uiPriority w:val="99"/>
    <w:rPr>
      <w:rFonts w:ascii="Times New Roman" w:hAnsi="Times New Roman" w:eastAsia="宋体" w:cs="Times New Roman"/>
      <w:sz w:val="18"/>
      <w:szCs w:val="18"/>
    </w:rPr>
  </w:style>
  <w:style w:type="character" w:customStyle="1" w:styleId="16">
    <w:name w:val="页眉 字符"/>
    <w:basedOn w:val="9"/>
    <w:link w:val="5"/>
    <w:qFormat/>
    <w:uiPriority w:val="99"/>
    <w:rPr>
      <w:rFonts w:ascii="Times New Roman" w:hAnsi="Times New Roman" w:eastAsia="宋体" w:cs="Times New Roman"/>
      <w:sz w:val="18"/>
      <w:szCs w:val="18"/>
    </w:rPr>
  </w:style>
  <w:style w:type="character" w:customStyle="1" w:styleId="17">
    <w:name w:val="页脚 字符"/>
    <w:basedOn w:val="9"/>
    <w:link w:val="4"/>
    <w:qFormat/>
    <w:uiPriority w:val="99"/>
    <w:rPr>
      <w:rFonts w:ascii="Times New Roman" w:hAnsi="Times New Roman" w:eastAsia="宋体" w:cs="Times New Roman"/>
      <w:sz w:val="18"/>
      <w:szCs w:val="18"/>
    </w:rPr>
  </w:style>
  <w:style w:type="character" w:customStyle="1" w:styleId="18">
    <w:name w:val="未处理的提及1"/>
    <w:basedOn w:val="9"/>
    <w:semiHidden/>
    <w:unhideWhenUsed/>
    <w:qFormat/>
    <w:uiPriority w:val="99"/>
    <w:rPr>
      <w:color w:val="605E5C"/>
      <w:shd w:val="clear" w:color="auto" w:fill="E1DFDD"/>
    </w:rPr>
  </w:style>
  <w:style w:type="paragraph" w:customStyle="1" w:styleId="1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C6978-987B-4654-B851-1C1F8F1045AE}">
  <ds:schemaRefs/>
</ds:datastoreItem>
</file>

<file path=docProps/app.xml><?xml version="1.0" encoding="utf-8"?>
<Properties xmlns="http://schemas.openxmlformats.org/officeDocument/2006/extended-properties" xmlns:vt="http://schemas.openxmlformats.org/officeDocument/2006/docPropsVTypes">
  <Template>Normal</Template>
  <Pages>6</Pages>
  <Words>820</Words>
  <Characters>4680</Characters>
  <Lines>39</Lines>
  <Paragraphs>10</Paragraphs>
  <TotalTime>848</TotalTime>
  <ScaleCrop>false</ScaleCrop>
  <LinksUpToDate>false</LinksUpToDate>
  <CharactersWithSpaces>5490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2022-08-31T07:00:00Z</dcterms:created>
  <dc:creator>skd004</dc:creator>
  <cp:lastModifiedBy>沈玲玉</cp:lastModifiedBy>
  <cp:lastPrinted>2023-11-28T07:54:00Z</cp:lastPrinted>
  <dcterms:modified xsi:type="dcterms:W3CDTF">2023-11-28T08:59:26Z</dcterms:modified>
  <cp:revision>716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C8D890ED82B5478BBBE637A70E94771F_13</vt:lpwstr>
  </property>
  <property fmtid="{D5CDD505-2E9C-101B-9397-08002B2CF9AE}" pid="4" name="commondata">
    <vt:lpwstr>eyJoZGlkIjoiMzk0Yzc4NGI1MGJkN2FkNjczMWIwODYzNDU5MTJiMzYifQ==</vt:lpwstr>
  </property>
</Properties>
</file>