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66" w:rsidRDefault="00DC2966" w:rsidP="00DC2966">
      <w:pPr>
        <w:keepNext/>
        <w:keepLines/>
        <w:spacing w:before="260" w:after="260" w:line="360" w:lineRule="auto"/>
        <w:outlineLvl w:val="1"/>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证券代码：6</w:t>
      </w:r>
      <w:r>
        <w:rPr>
          <w:rFonts w:ascii="宋体" w:eastAsia="宋体" w:hAnsi="宋体" w:cs="Times New Roman"/>
          <w:b/>
          <w:bCs/>
          <w:iCs/>
          <w:color w:val="000000" w:themeColor="text1"/>
          <w:sz w:val="24"/>
          <w:szCs w:val="24"/>
        </w:rPr>
        <w:t>88535</w:t>
      </w:r>
      <w:r>
        <w:rPr>
          <w:rFonts w:ascii="宋体" w:eastAsia="宋体" w:hAnsi="宋体" w:cs="Times New Roman" w:hint="eastAsia"/>
          <w:b/>
          <w:bCs/>
          <w:iCs/>
          <w:color w:val="000000" w:themeColor="text1"/>
          <w:sz w:val="24"/>
          <w:szCs w:val="24"/>
        </w:rPr>
        <w:t xml:space="preserve">                                   证券简称：华海诚科</w:t>
      </w:r>
    </w:p>
    <w:p w:rsidR="00DC2966" w:rsidRDefault="00DC2966" w:rsidP="00DC2966">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p>
    <w:p w:rsidR="00DC2966" w:rsidRDefault="00DC2966" w:rsidP="00DC2966">
      <w:pPr>
        <w:keepNext/>
        <w:keepLines/>
        <w:spacing w:beforeLines="50" w:before="156" w:afterLines="50" w:after="156" w:line="360" w:lineRule="auto"/>
        <w:jc w:val="center"/>
        <w:outlineLvl w:val="1"/>
        <w:rPr>
          <w:rFonts w:ascii="宋体" w:eastAsia="宋体" w:hAnsi="宋体" w:cs="Times New Roman"/>
          <w:b/>
          <w:bCs/>
          <w:color w:val="000000" w:themeColor="text1"/>
          <w:sz w:val="32"/>
          <w:szCs w:val="32"/>
        </w:rPr>
      </w:pPr>
      <w:r>
        <w:rPr>
          <w:rFonts w:ascii="宋体" w:eastAsia="宋体" w:hAnsi="宋体" w:cs="Times New Roman" w:hint="eastAsia"/>
          <w:b/>
          <w:bCs/>
          <w:color w:val="000000" w:themeColor="text1"/>
          <w:sz w:val="32"/>
          <w:szCs w:val="32"/>
        </w:rPr>
        <w:t>投资者关系活动记录表</w:t>
      </w:r>
    </w:p>
    <w:tbl>
      <w:tblPr>
        <w:tblW w:w="8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6946"/>
      </w:tblGrid>
      <w:tr w:rsidR="00DC2966" w:rsidTr="00173FBE">
        <w:tc>
          <w:tcPr>
            <w:tcW w:w="1731" w:type="dxa"/>
            <w:shd w:val="clear" w:color="auto" w:fill="auto"/>
            <w:vAlign w:val="center"/>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投资者关系活动类别</w:t>
            </w:r>
          </w:p>
        </w:tc>
        <w:tc>
          <w:tcPr>
            <w:tcW w:w="6946" w:type="dxa"/>
            <w:shd w:val="clear" w:color="auto" w:fill="auto"/>
          </w:tcPr>
          <w:p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特定对象调研        </w:t>
            </w: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分析师会议</w:t>
            </w:r>
          </w:p>
          <w:p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媒体采访            </w:t>
            </w:r>
            <w:r w:rsidR="00FB226B">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业绩说明会</w:t>
            </w:r>
          </w:p>
          <w:p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 xml:space="preserve">新闻发布会          </w:t>
            </w:r>
            <w:r>
              <w:rPr>
                <w:rFonts w:asciiTheme="minorEastAsia" w:hAnsiTheme="minorEastAsia" w:hint="eastAsia"/>
                <w:bCs/>
                <w:iCs/>
                <w:color w:val="000000" w:themeColor="text1"/>
                <w:sz w:val="24"/>
                <w:szCs w:val="24"/>
              </w:rPr>
              <w:sym w:font="Wingdings 2" w:char="00A3"/>
            </w:r>
            <w:r>
              <w:rPr>
                <w:rFonts w:ascii="宋体" w:eastAsia="宋体" w:hAnsi="宋体" w:cs="Times New Roman" w:hint="eastAsia"/>
                <w:color w:val="000000" w:themeColor="text1"/>
                <w:sz w:val="24"/>
                <w:szCs w:val="24"/>
              </w:rPr>
              <w:t>路演活动</w:t>
            </w:r>
          </w:p>
          <w:p w:rsidR="00DC2966" w:rsidRDefault="00DC2966" w:rsidP="00173FBE">
            <w:pPr>
              <w:tabs>
                <w:tab w:val="left" w:pos="2690"/>
                <w:tab w:val="center" w:pos="3199"/>
              </w:tabs>
              <w:spacing w:line="360" w:lineRule="auto"/>
              <w:rPr>
                <w:rFonts w:ascii="宋体" w:eastAsia="宋体" w:hAnsi="宋体" w:cs="Times New Roman"/>
                <w:bCs/>
                <w:iCs/>
                <w:color w:val="000000" w:themeColor="text1"/>
                <w:sz w:val="24"/>
                <w:szCs w:val="24"/>
              </w:rPr>
            </w:pPr>
            <w:r>
              <w:rPr>
                <w:rFonts w:asciiTheme="minorEastAsia" w:hAnsiTheme="minorEastAsia" w:hint="eastAsia"/>
                <w:bCs/>
                <w:iCs/>
                <w:color w:val="000000" w:themeColor="text1"/>
                <w:sz w:val="24"/>
                <w:szCs w:val="24"/>
              </w:rPr>
              <w:t>√</w:t>
            </w:r>
            <w:r>
              <w:rPr>
                <w:rFonts w:ascii="宋体" w:eastAsia="宋体" w:hAnsi="宋体" w:cs="Times New Roman" w:hint="eastAsia"/>
                <w:color w:val="000000" w:themeColor="text1"/>
                <w:sz w:val="24"/>
                <w:szCs w:val="24"/>
              </w:rPr>
              <w:t xml:space="preserve">现场参观 </w:t>
            </w:r>
            <w:r>
              <w:rPr>
                <w:rFonts w:ascii="宋体" w:eastAsia="宋体" w:hAnsi="宋体" w:cs="Times New Roman"/>
                <w:color w:val="000000" w:themeColor="text1"/>
                <w:sz w:val="24"/>
                <w:szCs w:val="24"/>
              </w:rPr>
              <w:t xml:space="preserve">       </w:t>
            </w:r>
            <w:r>
              <w:rPr>
                <w:rFonts w:ascii="宋体" w:eastAsia="宋体" w:hAnsi="宋体" w:cs="Times New Roman" w:hint="eastAsia"/>
                <w:color w:val="000000" w:themeColor="text1"/>
                <w:sz w:val="24"/>
                <w:szCs w:val="24"/>
              </w:rPr>
              <w:t xml:space="preserve"> </w:t>
            </w:r>
            <w:r>
              <w:rPr>
                <w:rFonts w:ascii="宋体" w:eastAsia="宋体" w:hAnsi="宋体" w:cs="Times New Roman"/>
                <w:color w:val="000000" w:themeColor="text1"/>
                <w:sz w:val="24"/>
                <w:szCs w:val="24"/>
              </w:rPr>
              <w:t xml:space="preserve">   </w:t>
            </w:r>
            <w:r>
              <w:rPr>
                <w:rFonts w:asciiTheme="minorEastAsia" w:hAnsiTheme="minorEastAsia" w:hint="eastAsia"/>
                <w:bCs/>
                <w:iCs/>
                <w:color w:val="000000" w:themeColor="text1"/>
                <w:sz w:val="24"/>
                <w:szCs w:val="24"/>
              </w:rPr>
              <w:sym w:font="Wingdings 2" w:char="00A3"/>
            </w:r>
            <w:r>
              <w:rPr>
                <w:rFonts w:ascii="宋体" w:eastAsia="宋体" w:hAnsi="宋体" w:cs="Times New Roman" w:hint="eastAsia"/>
                <w:color w:val="000000" w:themeColor="text1"/>
                <w:sz w:val="24"/>
                <w:szCs w:val="24"/>
              </w:rPr>
              <w:t>电话会议</w:t>
            </w:r>
          </w:p>
          <w:p w:rsidR="00DC2966" w:rsidRDefault="00DC2966" w:rsidP="00173FBE">
            <w:pPr>
              <w:tabs>
                <w:tab w:val="center" w:pos="3199"/>
              </w:tabs>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w:t>
            </w:r>
            <w:r>
              <w:rPr>
                <w:rFonts w:ascii="宋体" w:eastAsia="宋体" w:hAnsi="宋体" w:cs="Times New Roman" w:hint="eastAsia"/>
                <w:color w:val="000000" w:themeColor="text1"/>
                <w:sz w:val="24"/>
                <w:szCs w:val="24"/>
              </w:rPr>
              <w:t>其他 （</w:t>
            </w:r>
            <w:r>
              <w:rPr>
                <w:rFonts w:ascii="宋体" w:eastAsia="宋体" w:hAnsi="宋体" w:cs="Times New Roman" w:hint="eastAsia"/>
                <w:color w:val="000000" w:themeColor="text1"/>
                <w:sz w:val="24"/>
                <w:szCs w:val="24"/>
                <w:u w:val="single"/>
              </w:rPr>
              <w:t>请文字说明其他活动内容）</w:t>
            </w:r>
          </w:p>
        </w:tc>
      </w:tr>
      <w:tr w:rsidR="00DC2966" w:rsidTr="00173FBE">
        <w:tc>
          <w:tcPr>
            <w:tcW w:w="1731" w:type="dxa"/>
            <w:shd w:val="clear" w:color="auto" w:fill="auto"/>
            <w:vAlign w:val="center"/>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参与单位名称及人员姓名</w:t>
            </w:r>
          </w:p>
        </w:tc>
        <w:tc>
          <w:tcPr>
            <w:tcW w:w="6946" w:type="dxa"/>
            <w:shd w:val="clear" w:color="auto" w:fill="auto"/>
          </w:tcPr>
          <w:p w:rsidR="00DC2966" w:rsidRDefault="00177BA5" w:rsidP="00177BA5">
            <w:pPr>
              <w:spacing w:line="276" w:lineRule="auto"/>
              <w:rPr>
                <w:rFonts w:ascii="宋体" w:eastAsia="宋体" w:hAnsi="宋体" w:cs="Times New Roman"/>
                <w:bCs/>
                <w:iCs/>
                <w:color w:val="000000" w:themeColor="text1"/>
                <w:sz w:val="24"/>
                <w:szCs w:val="24"/>
              </w:rPr>
            </w:pPr>
            <w:r>
              <w:rPr>
                <w:rFonts w:ascii="宋体" w:eastAsia="宋体" w:hAnsi="宋体" w:cs="Times New Roman"/>
                <w:bCs/>
                <w:iCs/>
                <w:color w:val="000000" w:themeColor="text1"/>
                <w:sz w:val="24"/>
                <w:szCs w:val="24"/>
              </w:rPr>
              <w:t>山西证券、银河证券、</w:t>
            </w:r>
            <w:r w:rsidR="001A1E29" w:rsidRPr="001A1E29">
              <w:rPr>
                <w:rFonts w:ascii="宋体" w:eastAsia="宋体" w:hAnsi="宋体" w:cs="Times New Roman" w:hint="eastAsia"/>
                <w:bCs/>
                <w:iCs/>
                <w:color w:val="000000" w:themeColor="text1"/>
                <w:sz w:val="24"/>
                <w:szCs w:val="24"/>
              </w:rPr>
              <w:t>中邮证券</w:t>
            </w:r>
            <w:r>
              <w:rPr>
                <w:rFonts w:ascii="宋体" w:eastAsia="宋体" w:hAnsi="宋体" w:cs="Times New Roman"/>
                <w:bCs/>
                <w:iCs/>
                <w:color w:val="000000" w:themeColor="text1"/>
                <w:sz w:val="24"/>
                <w:szCs w:val="24"/>
              </w:rPr>
              <w:t>、</w:t>
            </w:r>
            <w:r w:rsidR="002E7C07">
              <w:rPr>
                <w:rFonts w:ascii="宋体" w:eastAsia="宋体" w:hAnsi="宋体" w:cs="Times New Roman"/>
                <w:bCs/>
                <w:iCs/>
                <w:color w:val="000000" w:themeColor="text1"/>
                <w:sz w:val="24"/>
                <w:szCs w:val="24"/>
              </w:rPr>
              <w:t>线上业绩说明会</w:t>
            </w:r>
          </w:p>
        </w:tc>
      </w:tr>
      <w:tr w:rsidR="00DC2966" w:rsidTr="00173FBE">
        <w:tc>
          <w:tcPr>
            <w:tcW w:w="1731" w:type="dxa"/>
            <w:shd w:val="clear" w:color="auto" w:fill="auto"/>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会议时间</w:t>
            </w:r>
          </w:p>
        </w:tc>
        <w:tc>
          <w:tcPr>
            <w:tcW w:w="6946" w:type="dxa"/>
            <w:shd w:val="clear" w:color="auto" w:fill="auto"/>
          </w:tcPr>
          <w:p w:rsidR="00DC2966" w:rsidRDefault="00DC2966" w:rsidP="00A656D3">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202</w:t>
            </w:r>
            <w:r>
              <w:rPr>
                <w:rFonts w:ascii="宋体" w:eastAsia="宋体" w:hAnsi="宋体" w:cs="Times New Roman"/>
                <w:bCs/>
                <w:iCs/>
                <w:color w:val="000000" w:themeColor="text1"/>
                <w:sz w:val="24"/>
                <w:szCs w:val="24"/>
              </w:rPr>
              <w:t>3</w:t>
            </w:r>
            <w:r>
              <w:rPr>
                <w:rFonts w:ascii="宋体" w:eastAsia="宋体" w:hAnsi="宋体" w:cs="Times New Roman" w:hint="eastAsia"/>
                <w:bCs/>
                <w:iCs/>
                <w:color w:val="000000" w:themeColor="text1"/>
                <w:sz w:val="24"/>
                <w:szCs w:val="24"/>
              </w:rPr>
              <w:t xml:space="preserve">年 </w:t>
            </w:r>
            <w:r w:rsidR="00A656D3">
              <w:rPr>
                <w:rFonts w:ascii="宋体" w:eastAsia="宋体" w:hAnsi="宋体" w:cs="Times New Roman"/>
                <w:bCs/>
                <w:iCs/>
                <w:color w:val="000000" w:themeColor="text1"/>
                <w:sz w:val="24"/>
                <w:szCs w:val="24"/>
              </w:rPr>
              <w:t>11</w:t>
            </w:r>
            <w:r>
              <w:rPr>
                <w:rFonts w:ascii="宋体" w:eastAsia="宋体" w:hAnsi="宋体" w:cs="Times New Roman" w:hint="eastAsia"/>
                <w:iCs/>
                <w:color w:val="000000" w:themeColor="text1"/>
                <w:sz w:val="24"/>
                <w:szCs w:val="24"/>
              </w:rPr>
              <w:t xml:space="preserve">月 </w:t>
            </w:r>
            <w:r w:rsidR="00A656D3">
              <w:rPr>
                <w:rFonts w:ascii="宋体" w:eastAsia="宋体" w:hAnsi="宋体" w:cs="Times New Roman"/>
                <w:iCs/>
                <w:color w:val="000000" w:themeColor="text1"/>
                <w:sz w:val="24"/>
                <w:szCs w:val="24"/>
              </w:rPr>
              <w:t>29</w:t>
            </w:r>
            <w:r>
              <w:rPr>
                <w:rFonts w:ascii="宋体" w:eastAsia="宋体" w:hAnsi="宋体" w:cs="Times New Roman" w:hint="eastAsia"/>
                <w:iCs/>
                <w:color w:val="000000" w:themeColor="text1"/>
                <w:sz w:val="24"/>
                <w:szCs w:val="24"/>
              </w:rPr>
              <w:t>日1</w:t>
            </w:r>
            <w:r w:rsidR="005C48A1">
              <w:rPr>
                <w:rFonts w:ascii="宋体" w:eastAsia="宋体" w:hAnsi="宋体" w:cs="Times New Roman"/>
                <w:iCs/>
                <w:color w:val="000000" w:themeColor="text1"/>
                <w:sz w:val="24"/>
                <w:szCs w:val="24"/>
              </w:rPr>
              <w:t>0</w:t>
            </w:r>
            <w:r>
              <w:rPr>
                <w:rFonts w:ascii="宋体" w:eastAsia="宋体" w:hAnsi="宋体" w:cs="Times New Roman"/>
                <w:iCs/>
                <w:color w:val="000000" w:themeColor="text1"/>
                <w:sz w:val="24"/>
                <w:szCs w:val="24"/>
              </w:rPr>
              <w:t>：</w:t>
            </w:r>
            <w:r w:rsidR="005C48A1">
              <w:rPr>
                <w:rFonts w:ascii="宋体" w:eastAsia="宋体" w:hAnsi="宋体" w:cs="Times New Roman"/>
                <w:iCs/>
                <w:color w:val="000000" w:themeColor="text1"/>
                <w:sz w:val="24"/>
                <w:szCs w:val="24"/>
              </w:rPr>
              <w:t>0</w:t>
            </w:r>
            <w:r>
              <w:rPr>
                <w:rFonts w:ascii="宋体" w:eastAsia="宋体" w:hAnsi="宋体" w:cs="Times New Roman"/>
                <w:iCs/>
                <w:color w:val="000000" w:themeColor="text1"/>
                <w:sz w:val="24"/>
                <w:szCs w:val="24"/>
              </w:rPr>
              <w:t>0-</w:t>
            </w:r>
            <w:r w:rsidR="005C48A1">
              <w:rPr>
                <w:rFonts w:ascii="宋体" w:eastAsia="宋体" w:hAnsi="宋体" w:cs="Times New Roman"/>
                <w:iCs/>
                <w:color w:val="000000" w:themeColor="text1"/>
                <w:sz w:val="24"/>
                <w:szCs w:val="24"/>
              </w:rPr>
              <w:t>11</w:t>
            </w:r>
            <w:r>
              <w:rPr>
                <w:rFonts w:ascii="宋体" w:eastAsia="宋体" w:hAnsi="宋体" w:cs="Times New Roman"/>
                <w:iCs/>
                <w:color w:val="000000" w:themeColor="text1"/>
                <w:sz w:val="24"/>
                <w:szCs w:val="24"/>
              </w:rPr>
              <w:t>：</w:t>
            </w:r>
            <w:r>
              <w:rPr>
                <w:rFonts w:ascii="宋体" w:eastAsia="宋体" w:hAnsi="宋体" w:cs="Times New Roman" w:hint="eastAsia"/>
                <w:iCs/>
                <w:color w:val="000000" w:themeColor="text1"/>
                <w:sz w:val="24"/>
                <w:szCs w:val="24"/>
              </w:rPr>
              <w:t>0</w:t>
            </w:r>
            <w:r>
              <w:rPr>
                <w:rFonts w:ascii="宋体" w:eastAsia="宋体" w:hAnsi="宋体" w:cs="Times New Roman"/>
                <w:iCs/>
                <w:color w:val="000000" w:themeColor="text1"/>
                <w:sz w:val="24"/>
                <w:szCs w:val="24"/>
              </w:rPr>
              <w:t>0</w:t>
            </w:r>
          </w:p>
        </w:tc>
      </w:tr>
      <w:tr w:rsidR="00DC2966" w:rsidTr="00173FBE">
        <w:tc>
          <w:tcPr>
            <w:tcW w:w="1731" w:type="dxa"/>
            <w:shd w:val="clear" w:color="auto" w:fill="auto"/>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会议地点</w:t>
            </w:r>
          </w:p>
        </w:tc>
        <w:tc>
          <w:tcPr>
            <w:tcW w:w="6946" w:type="dxa"/>
            <w:shd w:val="clear" w:color="auto" w:fill="auto"/>
          </w:tcPr>
          <w:p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现场</w:t>
            </w:r>
            <w:r w:rsidR="00CF5503">
              <w:rPr>
                <w:rFonts w:ascii="宋体" w:eastAsia="宋体" w:hAnsi="宋体" w:cs="Times New Roman" w:hint="eastAsia"/>
                <w:bCs/>
                <w:iCs/>
                <w:color w:val="000000" w:themeColor="text1"/>
                <w:sz w:val="24"/>
                <w:szCs w:val="24"/>
              </w:rPr>
              <w:t>；线上</w:t>
            </w:r>
          </w:p>
        </w:tc>
      </w:tr>
      <w:tr w:rsidR="00DC2966" w:rsidTr="00173FBE">
        <w:tc>
          <w:tcPr>
            <w:tcW w:w="1731" w:type="dxa"/>
            <w:shd w:val="clear" w:color="auto" w:fill="auto"/>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上市公司接待人员姓名</w:t>
            </w:r>
          </w:p>
        </w:tc>
        <w:tc>
          <w:tcPr>
            <w:tcW w:w="6946" w:type="dxa"/>
            <w:shd w:val="clear" w:color="auto" w:fill="auto"/>
          </w:tcPr>
          <w:p w:rsidR="00CF5503" w:rsidRDefault="00CF5503" w:rsidP="00173FBE">
            <w:pPr>
              <w:spacing w:line="360" w:lineRule="auto"/>
              <w:rPr>
                <w:rFonts w:ascii="宋体" w:eastAsia="宋体" w:hAnsi="宋体" w:cs="Times New Roman"/>
                <w:bCs/>
                <w:iCs/>
                <w:color w:val="000000" w:themeColor="text1"/>
                <w:sz w:val="24"/>
                <w:szCs w:val="24"/>
              </w:rPr>
            </w:pPr>
            <w:r w:rsidRPr="00CF5503">
              <w:rPr>
                <w:rFonts w:ascii="宋体" w:eastAsia="宋体" w:hAnsi="宋体" w:cs="Times New Roman" w:hint="eastAsia"/>
                <w:bCs/>
                <w:iCs/>
                <w:color w:val="000000" w:themeColor="text1"/>
                <w:sz w:val="24"/>
                <w:szCs w:val="24"/>
              </w:rPr>
              <w:t>董事长、总经理</w:t>
            </w:r>
            <w:r w:rsidR="006152AD">
              <w:rPr>
                <w:rFonts w:ascii="宋体" w:eastAsia="宋体" w:hAnsi="宋体" w:cs="Times New Roman" w:hint="eastAsia"/>
                <w:bCs/>
                <w:iCs/>
                <w:color w:val="000000" w:themeColor="text1"/>
                <w:sz w:val="24"/>
                <w:szCs w:val="24"/>
              </w:rPr>
              <w:t>：</w:t>
            </w:r>
            <w:r w:rsidRPr="00CF5503">
              <w:rPr>
                <w:rFonts w:ascii="宋体" w:eastAsia="宋体" w:hAnsi="宋体" w:cs="Times New Roman" w:hint="eastAsia"/>
                <w:bCs/>
                <w:iCs/>
                <w:color w:val="000000" w:themeColor="text1"/>
                <w:sz w:val="24"/>
                <w:szCs w:val="24"/>
              </w:rPr>
              <w:t>韩江龙</w:t>
            </w:r>
          </w:p>
          <w:p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董事会秘书：董东峰</w:t>
            </w:r>
          </w:p>
          <w:p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t>证券事务代表：钱云</w:t>
            </w:r>
          </w:p>
          <w:p w:rsidR="00FB226B" w:rsidRDefault="00FB226B"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bCs/>
                <w:iCs/>
                <w:color w:val="000000" w:themeColor="text1"/>
                <w:sz w:val="24"/>
                <w:szCs w:val="24"/>
              </w:rPr>
              <w:t>证券事务专员：张雅婷</w:t>
            </w:r>
          </w:p>
        </w:tc>
      </w:tr>
      <w:tr w:rsidR="00DC2966" w:rsidTr="00173FBE">
        <w:trPr>
          <w:trHeight w:val="1125"/>
        </w:trPr>
        <w:tc>
          <w:tcPr>
            <w:tcW w:w="1731" w:type="dxa"/>
            <w:shd w:val="clear" w:color="auto" w:fill="auto"/>
            <w:vAlign w:val="center"/>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t>投资者关系活动主要内容介绍</w:t>
            </w:r>
          </w:p>
        </w:tc>
        <w:tc>
          <w:tcPr>
            <w:tcW w:w="6946" w:type="dxa"/>
            <w:shd w:val="clear" w:color="auto" w:fill="auto"/>
          </w:tcPr>
          <w:p w:rsidR="005E5CE7" w:rsidRPr="005E5CE7" w:rsidRDefault="002B29A4" w:rsidP="005E5CE7">
            <w:pPr>
              <w:spacing w:line="360" w:lineRule="auto"/>
              <w:rPr>
                <w:color w:val="000000" w:themeColor="text1"/>
                <w:sz w:val="24"/>
              </w:rPr>
            </w:pPr>
            <w:r>
              <w:rPr>
                <w:rFonts w:hint="eastAsia"/>
                <w:color w:val="000000" w:themeColor="text1"/>
                <w:sz w:val="24"/>
              </w:rPr>
              <w:t>问题一：</w:t>
            </w:r>
            <w:r w:rsidR="00D4662A" w:rsidRPr="00D4662A">
              <w:rPr>
                <w:rFonts w:hint="eastAsia"/>
                <w:color w:val="000000" w:themeColor="text1"/>
                <w:sz w:val="24"/>
              </w:rPr>
              <w:t>华为开始进军芯片封测，请问公司与华为是否有业</w:t>
            </w:r>
            <w:r w:rsidR="00D4662A">
              <w:rPr>
                <w:rFonts w:hint="eastAsia"/>
                <w:color w:val="000000" w:themeColor="text1"/>
                <w:sz w:val="24"/>
              </w:rPr>
              <w:t>务来往。另外，公司如何把握好这一轮行业回暖的机会，做强做大企业？</w:t>
            </w:r>
          </w:p>
          <w:p w:rsidR="002E56DC" w:rsidRDefault="0078522C" w:rsidP="009A3E7F">
            <w:pPr>
              <w:spacing w:line="360" w:lineRule="auto"/>
              <w:rPr>
                <w:sz w:val="24"/>
              </w:rPr>
            </w:pPr>
            <w:r w:rsidRPr="00202597">
              <w:rPr>
                <w:rFonts w:hint="eastAsia"/>
                <w:sz w:val="24"/>
              </w:rPr>
              <w:t>回复：</w:t>
            </w:r>
            <w:r w:rsidR="00D4662A" w:rsidRPr="00D4662A">
              <w:rPr>
                <w:rFonts w:hint="eastAsia"/>
                <w:color w:val="000000" w:themeColor="text1"/>
                <w:sz w:val="24"/>
              </w:rPr>
              <w:t>由于涉及保密协议，不便透露具体情况；目前行业预测明年会有较大增长，作为企业，我们会持续加大研发投入，抓住国产化替代机遇，努力拓展市场，服务好客户。</w:t>
            </w:r>
          </w:p>
          <w:p w:rsidR="001A1E29" w:rsidRDefault="001A1E29" w:rsidP="009A3E7F">
            <w:pPr>
              <w:spacing w:line="360" w:lineRule="auto"/>
              <w:rPr>
                <w:sz w:val="24"/>
              </w:rPr>
            </w:pPr>
            <w:r>
              <w:rPr>
                <w:sz w:val="24"/>
              </w:rPr>
              <w:t>问题二：</w:t>
            </w:r>
            <w:r w:rsidRPr="001A1E29">
              <w:rPr>
                <w:rFonts w:hint="eastAsia"/>
                <w:sz w:val="24"/>
              </w:rPr>
              <w:t>公司曾表示在先进封装领域积极配合华为等业内新概念厂商开展研发工作，目前部分产品已陆续通过考核验证。请问，针对的是哪些产品？</w:t>
            </w:r>
            <w:r w:rsidRPr="001A1E29">
              <w:rPr>
                <w:rFonts w:hint="eastAsia"/>
                <w:sz w:val="24"/>
              </w:rPr>
              <w:t>HBM</w:t>
            </w:r>
            <w:r w:rsidRPr="001A1E29">
              <w:rPr>
                <w:rFonts w:hint="eastAsia"/>
                <w:sz w:val="24"/>
              </w:rPr>
              <w:t>和</w:t>
            </w:r>
            <w:r w:rsidRPr="001A1E29">
              <w:rPr>
                <w:rFonts w:hint="eastAsia"/>
                <w:sz w:val="24"/>
              </w:rPr>
              <w:t>GPU</w:t>
            </w:r>
            <w:r w:rsidRPr="001A1E29">
              <w:rPr>
                <w:rFonts w:hint="eastAsia"/>
                <w:sz w:val="24"/>
              </w:rPr>
              <w:t>、</w:t>
            </w:r>
            <w:r w:rsidRPr="001A1E29">
              <w:rPr>
                <w:rFonts w:hint="eastAsia"/>
                <w:sz w:val="24"/>
              </w:rPr>
              <w:t>CPU</w:t>
            </w:r>
            <w:r w:rsidRPr="001A1E29">
              <w:rPr>
                <w:rFonts w:hint="eastAsia"/>
                <w:sz w:val="24"/>
              </w:rPr>
              <w:t>吗？</w:t>
            </w:r>
          </w:p>
          <w:p w:rsidR="001A1E29" w:rsidRDefault="001A1E29" w:rsidP="009A3E7F">
            <w:pPr>
              <w:spacing w:line="360" w:lineRule="auto"/>
              <w:rPr>
                <w:sz w:val="24"/>
              </w:rPr>
            </w:pPr>
            <w:r>
              <w:rPr>
                <w:sz w:val="24"/>
              </w:rPr>
              <w:t>回复：</w:t>
            </w:r>
            <w:r w:rsidR="00D4662A" w:rsidRPr="00D4662A">
              <w:rPr>
                <w:rFonts w:hint="eastAsia"/>
                <w:sz w:val="24"/>
              </w:rPr>
              <w:t>公司在先进封装领域持续加大研发投入（如</w:t>
            </w:r>
            <w:r w:rsidR="00D4662A" w:rsidRPr="00D4662A">
              <w:rPr>
                <w:rFonts w:hint="eastAsia"/>
                <w:sz w:val="24"/>
              </w:rPr>
              <w:t>GMC</w:t>
            </w:r>
            <w:r w:rsidR="00D4662A" w:rsidRPr="00D4662A">
              <w:rPr>
                <w:rFonts w:hint="eastAsia"/>
                <w:sz w:val="24"/>
              </w:rPr>
              <w:t>、</w:t>
            </w:r>
            <w:r w:rsidR="00D4662A" w:rsidRPr="00D4662A">
              <w:rPr>
                <w:rFonts w:hint="eastAsia"/>
                <w:sz w:val="24"/>
              </w:rPr>
              <w:t>LMC</w:t>
            </w:r>
            <w:r w:rsidR="00D4662A" w:rsidRPr="00D4662A">
              <w:rPr>
                <w:rFonts w:hint="eastAsia"/>
                <w:sz w:val="24"/>
              </w:rPr>
              <w:t>、</w:t>
            </w:r>
            <w:r w:rsidR="00D4662A" w:rsidRPr="00D4662A">
              <w:rPr>
                <w:rFonts w:hint="eastAsia"/>
                <w:sz w:val="24"/>
              </w:rPr>
              <w:t>FC</w:t>
            </w:r>
            <w:r w:rsidR="00D4662A" w:rsidRPr="00D4662A">
              <w:rPr>
                <w:rFonts w:hint="eastAsia"/>
                <w:sz w:val="24"/>
              </w:rPr>
              <w:t>底填胶、高导热、耐高电压材料等），具体情况请见公司招股书</w:t>
            </w:r>
            <w:r w:rsidR="00D4662A" w:rsidRPr="00D4662A">
              <w:rPr>
                <w:rFonts w:hint="eastAsia"/>
                <w:sz w:val="24"/>
              </w:rPr>
              <w:lastRenderedPageBreak/>
              <w:t>及半年度报告。公司会根据实际情况及时披露。</w:t>
            </w:r>
          </w:p>
          <w:p w:rsidR="00D4662A" w:rsidRDefault="00D4662A" w:rsidP="009A3E7F">
            <w:pPr>
              <w:spacing w:line="360" w:lineRule="auto"/>
              <w:rPr>
                <w:sz w:val="24"/>
              </w:rPr>
            </w:pPr>
            <w:r>
              <w:rPr>
                <w:sz w:val="24"/>
              </w:rPr>
              <w:t>问题三：</w:t>
            </w:r>
            <w:r w:rsidRPr="00D4662A">
              <w:rPr>
                <w:rFonts w:hint="eastAsia"/>
                <w:sz w:val="24"/>
              </w:rPr>
              <w:t>请对</w:t>
            </w:r>
            <w:r w:rsidRPr="00D4662A">
              <w:rPr>
                <w:rFonts w:hint="eastAsia"/>
                <w:sz w:val="24"/>
              </w:rPr>
              <w:t>2023</w:t>
            </w:r>
            <w:r w:rsidRPr="00D4662A">
              <w:rPr>
                <w:rFonts w:hint="eastAsia"/>
                <w:sz w:val="24"/>
              </w:rPr>
              <w:t>年第三季度业绩做一下简要说明</w:t>
            </w:r>
          </w:p>
          <w:p w:rsidR="00D4662A" w:rsidRDefault="00D4662A" w:rsidP="009A3E7F">
            <w:pPr>
              <w:spacing w:line="360" w:lineRule="auto"/>
              <w:rPr>
                <w:sz w:val="24"/>
              </w:rPr>
            </w:pPr>
            <w:r>
              <w:rPr>
                <w:sz w:val="24"/>
              </w:rPr>
              <w:t>回复：</w:t>
            </w:r>
            <w:r w:rsidRPr="00D4662A">
              <w:rPr>
                <w:rFonts w:hint="eastAsia"/>
                <w:sz w:val="24"/>
              </w:rPr>
              <w:t>2023</w:t>
            </w:r>
            <w:r w:rsidRPr="00D4662A">
              <w:rPr>
                <w:rFonts w:hint="eastAsia"/>
                <w:sz w:val="24"/>
              </w:rPr>
              <w:t>年三季度收入同比下降</w:t>
            </w:r>
            <w:r w:rsidRPr="00D4662A">
              <w:rPr>
                <w:rFonts w:hint="eastAsia"/>
                <w:sz w:val="24"/>
              </w:rPr>
              <w:t>2.65%</w:t>
            </w:r>
            <w:r w:rsidRPr="00D4662A">
              <w:rPr>
                <w:rFonts w:hint="eastAsia"/>
                <w:sz w:val="24"/>
              </w:rPr>
              <w:t>，净利润下降</w:t>
            </w:r>
            <w:r w:rsidRPr="00D4662A">
              <w:rPr>
                <w:rFonts w:hint="eastAsia"/>
                <w:sz w:val="24"/>
              </w:rPr>
              <w:t>6.66%</w:t>
            </w:r>
            <w:r w:rsidRPr="00D4662A">
              <w:rPr>
                <w:rFonts w:hint="eastAsia"/>
                <w:sz w:val="24"/>
              </w:rPr>
              <w:t>。消费电子复苏虽不如预期，但是</w:t>
            </w:r>
            <w:r w:rsidRPr="00D4662A">
              <w:rPr>
                <w:rFonts w:hint="eastAsia"/>
                <w:sz w:val="24"/>
              </w:rPr>
              <w:t>1-3</w:t>
            </w:r>
            <w:r w:rsidRPr="00D4662A">
              <w:rPr>
                <w:rFonts w:hint="eastAsia"/>
                <w:sz w:val="24"/>
              </w:rPr>
              <w:t>季度数据环比有所增长。</w:t>
            </w:r>
          </w:p>
          <w:p w:rsidR="00D4662A" w:rsidRDefault="00D4662A" w:rsidP="009A3E7F">
            <w:pPr>
              <w:spacing w:line="360" w:lineRule="auto"/>
              <w:rPr>
                <w:sz w:val="24"/>
              </w:rPr>
            </w:pPr>
            <w:r>
              <w:rPr>
                <w:rFonts w:hint="eastAsia"/>
                <w:sz w:val="24"/>
              </w:rPr>
              <w:t>问题四：</w:t>
            </w:r>
            <w:r w:rsidRPr="00D4662A">
              <w:rPr>
                <w:rFonts w:hint="eastAsia"/>
                <w:sz w:val="24"/>
              </w:rPr>
              <w:t>据研究显示，</w:t>
            </w:r>
            <w:r w:rsidRPr="00D4662A">
              <w:rPr>
                <w:rFonts w:hint="eastAsia"/>
                <w:sz w:val="24"/>
              </w:rPr>
              <w:t>AI</w:t>
            </w:r>
            <w:r w:rsidRPr="00D4662A">
              <w:rPr>
                <w:rFonts w:hint="eastAsia"/>
                <w:sz w:val="24"/>
              </w:rPr>
              <w:t>服务器出货动能强劲带动</w:t>
            </w:r>
            <w:r w:rsidRPr="00D4662A">
              <w:rPr>
                <w:rFonts w:hint="eastAsia"/>
                <w:sz w:val="24"/>
              </w:rPr>
              <w:t>HBM</w:t>
            </w:r>
            <w:r w:rsidRPr="00D4662A">
              <w:rPr>
                <w:rFonts w:hint="eastAsia"/>
                <w:sz w:val="24"/>
              </w:rPr>
              <w:t>（高带宽存储器）需求提升，</w:t>
            </w:r>
            <w:r w:rsidRPr="00D4662A">
              <w:rPr>
                <w:rFonts w:hint="eastAsia"/>
                <w:sz w:val="24"/>
              </w:rPr>
              <w:t>HBM</w:t>
            </w:r>
            <w:r w:rsidRPr="00D4662A">
              <w:rPr>
                <w:rFonts w:hint="eastAsia"/>
                <w:sz w:val="24"/>
              </w:rPr>
              <w:t>属于先进封装的一种，因叠层厚度较高因此需要用特殊的颗粒塑封料封装（</w:t>
            </w:r>
            <w:r w:rsidRPr="00D4662A">
              <w:rPr>
                <w:rFonts w:hint="eastAsia"/>
                <w:sz w:val="24"/>
              </w:rPr>
              <w:t>GMC</w:t>
            </w:r>
            <w:r w:rsidRPr="00D4662A">
              <w:rPr>
                <w:rFonts w:hint="eastAsia"/>
                <w:sz w:val="24"/>
              </w:rPr>
              <w:t>），全球真正</w:t>
            </w:r>
            <w:r w:rsidRPr="00D4662A">
              <w:rPr>
                <w:rFonts w:hint="eastAsia"/>
                <w:sz w:val="24"/>
              </w:rPr>
              <w:t>GMC</w:t>
            </w:r>
            <w:r w:rsidRPr="00D4662A">
              <w:rPr>
                <w:rFonts w:hint="eastAsia"/>
                <w:sz w:val="24"/>
              </w:rPr>
              <w:t>技术只有</w:t>
            </w:r>
            <w:r w:rsidRPr="00D4662A">
              <w:rPr>
                <w:rFonts w:hint="eastAsia"/>
                <w:sz w:val="24"/>
              </w:rPr>
              <w:t>2</w:t>
            </w:r>
            <w:r w:rsidRPr="00D4662A">
              <w:rPr>
                <w:rFonts w:hint="eastAsia"/>
                <w:sz w:val="24"/>
              </w:rPr>
              <w:t>家日系公司（</w:t>
            </w:r>
            <w:r w:rsidRPr="00D4662A">
              <w:rPr>
                <w:rFonts w:hint="eastAsia"/>
                <w:sz w:val="24"/>
              </w:rPr>
              <w:t>S</w:t>
            </w:r>
            <w:r w:rsidRPr="00D4662A">
              <w:rPr>
                <w:rFonts w:hint="eastAsia"/>
                <w:sz w:val="24"/>
              </w:rPr>
              <w:t>公司和</w:t>
            </w:r>
            <w:r w:rsidRPr="00D4662A">
              <w:rPr>
                <w:rFonts w:hint="eastAsia"/>
                <w:sz w:val="24"/>
              </w:rPr>
              <w:t>R</w:t>
            </w:r>
            <w:r w:rsidRPr="00D4662A">
              <w:rPr>
                <w:rFonts w:hint="eastAsia"/>
                <w:sz w:val="24"/>
              </w:rPr>
              <w:t>公司）掌握。但是看华海诚科的招股说明书中公司也有</w:t>
            </w:r>
            <w:r w:rsidRPr="00D4662A">
              <w:rPr>
                <w:rFonts w:hint="eastAsia"/>
                <w:sz w:val="24"/>
              </w:rPr>
              <w:t>GMC</w:t>
            </w:r>
            <w:r w:rsidRPr="00D4662A">
              <w:rPr>
                <w:rFonts w:hint="eastAsia"/>
                <w:sz w:val="24"/>
              </w:rPr>
              <w:t>技术，能不能介绍下相关情况和应用前景？</w:t>
            </w:r>
          </w:p>
          <w:p w:rsidR="00D4662A" w:rsidRDefault="00D4662A" w:rsidP="009A3E7F">
            <w:pPr>
              <w:spacing w:line="360" w:lineRule="auto"/>
              <w:rPr>
                <w:sz w:val="24"/>
              </w:rPr>
            </w:pPr>
            <w:r>
              <w:rPr>
                <w:sz w:val="24"/>
              </w:rPr>
              <w:t>回复：</w:t>
            </w:r>
            <w:r w:rsidRPr="00D4662A">
              <w:rPr>
                <w:rFonts w:hint="eastAsia"/>
                <w:sz w:val="24"/>
              </w:rPr>
              <w:t>公司自研的</w:t>
            </w:r>
            <w:r w:rsidRPr="00D4662A">
              <w:rPr>
                <w:rFonts w:hint="eastAsia"/>
                <w:sz w:val="24"/>
              </w:rPr>
              <w:t>GMC</w:t>
            </w:r>
            <w:r w:rsidRPr="00D4662A">
              <w:rPr>
                <w:rFonts w:hint="eastAsia"/>
                <w:sz w:val="24"/>
              </w:rPr>
              <w:t>设备可以满足</w:t>
            </w:r>
            <w:r w:rsidRPr="00D4662A">
              <w:rPr>
                <w:rFonts w:hint="eastAsia"/>
                <w:sz w:val="24"/>
              </w:rPr>
              <w:t>GMC</w:t>
            </w:r>
            <w:r w:rsidRPr="00D4662A">
              <w:rPr>
                <w:rFonts w:hint="eastAsia"/>
                <w:sz w:val="24"/>
              </w:rPr>
              <w:t>的生产制造，目前有相关产品在送样测试过程中。相比于</w:t>
            </w:r>
            <w:r w:rsidRPr="00D4662A">
              <w:rPr>
                <w:rFonts w:hint="eastAsia"/>
                <w:sz w:val="24"/>
              </w:rPr>
              <w:t>LMC</w:t>
            </w:r>
            <w:r w:rsidR="009568D5">
              <w:rPr>
                <w:rFonts w:hint="eastAsia"/>
                <w:sz w:val="24"/>
              </w:rPr>
              <w:t>（</w:t>
            </w:r>
            <w:r w:rsidR="009568D5" w:rsidRPr="00D4662A">
              <w:rPr>
                <w:rFonts w:hint="eastAsia"/>
                <w:sz w:val="24"/>
              </w:rPr>
              <w:t>液态塑封料</w:t>
            </w:r>
            <w:r w:rsidR="009568D5">
              <w:rPr>
                <w:rFonts w:hint="eastAsia"/>
                <w:sz w:val="24"/>
              </w:rPr>
              <w:t>）</w:t>
            </w:r>
            <w:r w:rsidRPr="00D4662A">
              <w:rPr>
                <w:rFonts w:hint="eastAsia"/>
                <w:sz w:val="24"/>
              </w:rPr>
              <w:t>GMC</w:t>
            </w:r>
            <w:r w:rsidR="009568D5">
              <w:rPr>
                <w:rFonts w:hint="eastAsia"/>
                <w:sz w:val="24"/>
              </w:rPr>
              <w:t>（</w:t>
            </w:r>
            <w:r w:rsidR="009568D5" w:rsidRPr="00D4662A">
              <w:rPr>
                <w:rFonts w:hint="eastAsia"/>
                <w:sz w:val="24"/>
              </w:rPr>
              <w:t>颗粒状塑封料</w:t>
            </w:r>
            <w:r w:rsidR="009568D5">
              <w:rPr>
                <w:rFonts w:hint="eastAsia"/>
                <w:sz w:val="24"/>
              </w:rPr>
              <w:t>）</w:t>
            </w:r>
            <w:r w:rsidRPr="00D4662A">
              <w:rPr>
                <w:rFonts w:hint="eastAsia"/>
                <w:sz w:val="24"/>
              </w:rPr>
              <w:t>有较大的成本优势，在先进封装领域有部分替代</w:t>
            </w:r>
            <w:r w:rsidRPr="00D4662A">
              <w:rPr>
                <w:rFonts w:hint="eastAsia"/>
                <w:sz w:val="24"/>
              </w:rPr>
              <w:t>LMC</w:t>
            </w:r>
            <w:r w:rsidRPr="00D4662A">
              <w:rPr>
                <w:rFonts w:hint="eastAsia"/>
                <w:sz w:val="24"/>
              </w:rPr>
              <w:t>的趋势，市场前景广阔。</w:t>
            </w:r>
            <w:bookmarkStart w:id="0" w:name="_GoBack"/>
            <w:bookmarkEnd w:id="0"/>
          </w:p>
          <w:p w:rsidR="00D4662A" w:rsidRDefault="00D4662A" w:rsidP="009A3E7F">
            <w:pPr>
              <w:spacing w:line="360" w:lineRule="auto"/>
              <w:rPr>
                <w:sz w:val="24"/>
              </w:rPr>
            </w:pPr>
            <w:r>
              <w:rPr>
                <w:rFonts w:hint="eastAsia"/>
                <w:sz w:val="24"/>
              </w:rPr>
              <w:t>问题五：</w:t>
            </w:r>
            <w:r w:rsidRPr="00D4662A">
              <w:rPr>
                <w:rFonts w:hint="eastAsia"/>
                <w:sz w:val="24"/>
              </w:rPr>
              <w:t>贵司高端环氧塑封料已经突破外国垄断，已经实现出货量产。</w:t>
            </w:r>
            <w:r w:rsidR="00C440C9">
              <w:rPr>
                <w:rFonts w:hint="eastAsia"/>
                <w:sz w:val="24"/>
              </w:rPr>
              <w:t>希望贵司</w:t>
            </w:r>
            <w:r w:rsidRPr="00D4662A">
              <w:rPr>
                <w:rFonts w:hint="eastAsia"/>
                <w:sz w:val="24"/>
              </w:rPr>
              <w:t>多描述一些客户情况和销售增速。</w:t>
            </w:r>
          </w:p>
          <w:p w:rsidR="00C440C9" w:rsidRDefault="00C440C9" w:rsidP="009A3E7F">
            <w:pPr>
              <w:spacing w:line="360" w:lineRule="auto"/>
              <w:rPr>
                <w:sz w:val="24"/>
              </w:rPr>
            </w:pPr>
            <w:r>
              <w:rPr>
                <w:sz w:val="24"/>
              </w:rPr>
              <w:t>回复：</w:t>
            </w:r>
            <w:r w:rsidRPr="00C440C9">
              <w:rPr>
                <w:rFonts w:hint="eastAsia"/>
                <w:sz w:val="24"/>
              </w:rPr>
              <w:t>高端塑封料的技术突破到小批量出货到真正的批量需要相当长的时间，现阶段在高端塑封料领域外资仍处于主导地位，即便有部分高端塑封料实现了量产出货，但是进口替代仍然需要凭借不懈的技术开拓、稳定的产品质量、完善及时的客户服务逐步推进。</w:t>
            </w:r>
          </w:p>
          <w:p w:rsidR="00C440C9" w:rsidRDefault="00C440C9" w:rsidP="009A3E7F">
            <w:pPr>
              <w:spacing w:line="360" w:lineRule="auto"/>
              <w:rPr>
                <w:sz w:val="24"/>
              </w:rPr>
            </w:pPr>
            <w:r>
              <w:rPr>
                <w:sz w:val="24"/>
              </w:rPr>
              <w:t>问题六：贵司基础类和先进封装类分别占比大概有多少？</w:t>
            </w:r>
          </w:p>
          <w:p w:rsidR="00E96154" w:rsidRPr="00C440C9" w:rsidRDefault="00C440C9" w:rsidP="00C440C9">
            <w:pPr>
              <w:spacing w:line="360" w:lineRule="auto"/>
              <w:rPr>
                <w:sz w:val="24"/>
              </w:rPr>
            </w:pPr>
            <w:r>
              <w:rPr>
                <w:sz w:val="24"/>
              </w:rPr>
              <w:t>回复：</w:t>
            </w:r>
            <w:r w:rsidR="00E96154" w:rsidRPr="00C440C9">
              <w:rPr>
                <w:sz w:val="24"/>
              </w:rPr>
              <w:t>基础</w:t>
            </w:r>
            <w:r>
              <w:rPr>
                <w:sz w:val="24"/>
              </w:rPr>
              <w:t>类占</w:t>
            </w:r>
            <w:r w:rsidR="00E96154" w:rsidRPr="00C440C9">
              <w:rPr>
                <w:rFonts w:hint="eastAsia"/>
                <w:sz w:val="24"/>
              </w:rPr>
              <w:t>4</w:t>
            </w:r>
            <w:r w:rsidR="00E96154" w:rsidRPr="00C440C9">
              <w:rPr>
                <w:sz w:val="24"/>
              </w:rPr>
              <w:t>0%</w:t>
            </w:r>
            <w:r w:rsidR="00E96154" w:rsidRPr="00C440C9">
              <w:rPr>
                <w:sz w:val="24"/>
              </w:rPr>
              <w:t>多一点，高性能</w:t>
            </w:r>
            <w:r>
              <w:rPr>
                <w:sz w:val="24"/>
              </w:rPr>
              <w:t>大约</w:t>
            </w:r>
            <w:r w:rsidR="00E96154" w:rsidRPr="00C440C9">
              <w:rPr>
                <w:rFonts w:hint="eastAsia"/>
                <w:sz w:val="24"/>
              </w:rPr>
              <w:t>5</w:t>
            </w:r>
            <w:r w:rsidR="00E96154" w:rsidRPr="00C440C9">
              <w:rPr>
                <w:sz w:val="24"/>
              </w:rPr>
              <w:t>5%</w:t>
            </w:r>
            <w:r w:rsidR="00E96154" w:rsidRPr="00C440C9">
              <w:rPr>
                <w:sz w:val="24"/>
              </w:rPr>
              <w:t>，先进封装</w:t>
            </w:r>
            <w:r>
              <w:rPr>
                <w:rFonts w:hint="eastAsia"/>
                <w:sz w:val="24"/>
              </w:rPr>
              <w:t>占剩余部分</w:t>
            </w:r>
            <w:r w:rsidR="00E96154" w:rsidRPr="00C440C9">
              <w:rPr>
                <w:sz w:val="24"/>
              </w:rPr>
              <w:t>，</w:t>
            </w:r>
            <w:r>
              <w:rPr>
                <w:sz w:val="24"/>
              </w:rPr>
              <w:t>基本为</w:t>
            </w:r>
            <w:r w:rsidR="00E96154" w:rsidRPr="00C440C9">
              <w:rPr>
                <w:sz w:val="24"/>
              </w:rPr>
              <w:t>个位数</w:t>
            </w:r>
            <w:r>
              <w:rPr>
                <w:sz w:val="24"/>
              </w:rPr>
              <w:t>，</w:t>
            </w:r>
            <w:r w:rsidR="00E96154" w:rsidRPr="00C440C9">
              <w:rPr>
                <w:sz w:val="24"/>
              </w:rPr>
              <w:t>可以忽略不计</w:t>
            </w:r>
            <w:r>
              <w:rPr>
                <w:sz w:val="24"/>
              </w:rPr>
              <w:t>。</w:t>
            </w:r>
          </w:p>
          <w:p w:rsidR="008E656C" w:rsidRDefault="002B29A4" w:rsidP="008E656C">
            <w:pPr>
              <w:spacing w:line="360" w:lineRule="auto"/>
              <w:rPr>
                <w:sz w:val="24"/>
              </w:rPr>
            </w:pPr>
            <w:r>
              <w:rPr>
                <w:sz w:val="24"/>
              </w:rPr>
              <w:t>问题</w:t>
            </w:r>
            <w:r w:rsidR="00C440C9">
              <w:rPr>
                <w:rFonts w:hint="eastAsia"/>
                <w:sz w:val="24"/>
              </w:rPr>
              <w:t>七</w:t>
            </w:r>
            <w:r>
              <w:rPr>
                <w:sz w:val="24"/>
              </w:rPr>
              <w:t>：</w:t>
            </w:r>
            <w:r w:rsidR="008E656C" w:rsidRPr="008E656C">
              <w:rPr>
                <w:rFonts w:hint="eastAsia"/>
                <w:sz w:val="24"/>
              </w:rPr>
              <w:t>消费电子随着华为的复苏呈现出向好趋势，请问公司有主要客户追加订单吗？</w:t>
            </w:r>
          </w:p>
          <w:p w:rsidR="008E656C" w:rsidRPr="008E656C" w:rsidRDefault="008E656C" w:rsidP="008E656C">
            <w:pPr>
              <w:spacing w:line="360" w:lineRule="auto"/>
              <w:rPr>
                <w:rFonts w:hint="eastAsia"/>
                <w:sz w:val="24"/>
              </w:rPr>
            </w:pPr>
            <w:r>
              <w:rPr>
                <w:sz w:val="24"/>
              </w:rPr>
              <w:t>回复：</w:t>
            </w:r>
            <w:r w:rsidRPr="008E656C">
              <w:rPr>
                <w:rFonts w:hint="eastAsia"/>
                <w:sz w:val="24"/>
              </w:rPr>
              <w:t>公司一、二</w:t>
            </w:r>
            <w:r w:rsidR="00C440C9">
              <w:rPr>
                <w:rFonts w:hint="eastAsia"/>
                <w:sz w:val="24"/>
              </w:rPr>
              <w:t>、三</w:t>
            </w:r>
            <w:r w:rsidRPr="008E656C">
              <w:rPr>
                <w:rFonts w:hint="eastAsia"/>
                <w:sz w:val="24"/>
              </w:rPr>
              <w:t>季度环比出货有所改善，具体情况请参考公司</w:t>
            </w:r>
            <w:r w:rsidR="00C440C9">
              <w:rPr>
                <w:rFonts w:hint="eastAsia"/>
                <w:sz w:val="24"/>
              </w:rPr>
              <w:t>披露的半年度</w:t>
            </w:r>
            <w:r w:rsidRPr="008E656C">
              <w:rPr>
                <w:rFonts w:hint="eastAsia"/>
                <w:sz w:val="24"/>
              </w:rPr>
              <w:t>报告</w:t>
            </w:r>
            <w:r w:rsidR="00C440C9">
              <w:rPr>
                <w:rFonts w:hint="eastAsia"/>
                <w:sz w:val="24"/>
              </w:rPr>
              <w:t>和三季度报告</w:t>
            </w:r>
            <w:r w:rsidRPr="008E656C">
              <w:rPr>
                <w:rFonts w:hint="eastAsia"/>
                <w:sz w:val="24"/>
              </w:rPr>
              <w:t>。</w:t>
            </w:r>
          </w:p>
        </w:tc>
      </w:tr>
      <w:tr w:rsidR="00DC2966" w:rsidTr="00173FBE">
        <w:tc>
          <w:tcPr>
            <w:tcW w:w="1731" w:type="dxa"/>
            <w:shd w:val="clear" w:color="auto" w:fill="auto"/>
            <w:vAlign w:val="center"/>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lastRenderedPageBreak/>
              <w:t>附件清单（如</w:t>
            </w:r>
            <w:r>
              <w:rPr>
                <w:rFonts w:ascii="宋体" w:eastAsia="宋体" w:hAnsi="宋体" w:cs="Times New Roman" w:hint="eastAsia"/>
                <w:b/>
                <w:bCs/>
                <w:iCs/>
                <w:color w:val="000000" w:themeColor="text1"/>
                <w:sz w:val="24"/>
                <w:szCs w:val="24"/>
              </w:rPr>
              <w:lastRenderedPageBreak/>
              <w:t>有）</w:t>
            </w:r>
          </w:p>
        </w:tc>
        <w:tc>
          <w:tcPr>
            <w:tcW w:w="6946" w:type="dxa"/>
            <w:shd w:val="clear" w:color="auto" w:fill="auto"/>
          </w:tcPr>
          <w:p w:rsidR="00DC2966" w:rsidRDefault="00DC2966" w:rsidP="00173FBE">
            <w:pPr>
              <w:spacing w:line="360" w:lineRule="auto"/>
              <w:rPr>
                <w:rFonts w:ascii="宋体" w:eastAsia="宋体" w:hAnsi="宋体" w:cs="Times New Roman"/>
                <w:bCs/>
                <w:iCs/>
                <w:color w:val="000000" w:themeColor="text1"/>
                <w:sz w:val="24"/>
                <w:szCs w:val="24"/>
              </w:rPr>
            </w:pPr>
            <w:r>
              <w:rPr>
                <w:rFonts w:ascii="宋体" w:eastAsia="宋体" w:hAnsi="宋体" w:cs="Times New Roman" w:hint="eastAsia"/>
                <w:bCs/>
                <w:iCs/>
                <w:color w:val="000000" w:themeColor="text1"/>
                <w:sz w:val="24"/>
                <w:szCs w:val="24"/>
              </w:rPr>
              <w:lastRenderedPageBreak/>
              <w:t>无</w:t>
            </w:r>
          </w:p>
        </w:tc>
      </w:tr>
      <w:tr w:rsidR="00DC2966" w:rsidTr="00173FBE">
        <w:tc>
          <w:tcPr>
            <w:tcW w:w="1731" w:type="dxa"/>
            <w:shd w:val="clear" w:color="auto" w:fill="auto"/>
            <w:vAlign w:val="center"/>
          </w:tcPr>
          <w:p w:rsidR="00DC2966" w:rsidRDefault="00DC2966" w:rsidP="00173FBE">
            <w:pPr>
              <w:spacing w:line="360" w:lineRule="auto"/>
              <w:rPr>
                <w:rFonts w:ascii="宋体" w:eastAsia="宋体" w:hAnsi="宋体" w:cs="Times New Roman"/>
                <w:b/>
                <w:bCs/>
                <w:iCs/>
                <w:color w:val="000000" w:themeColor="text1"/>
                <w:sz w:val="24"/>
                <w:szCs w:val="24"/>
              </w:rPr>
            </w:pPr>
            <w:r>
              <w:rPr>
                <w:rFonts w:ascii="宋体" w:eastAsia="宋体" w:hAnsi="宋体" w:cs="Times New Roman" w:hint="eastAsia"/>
                <w:b/>
                <w:bCs/>
                <w:iCs/>
                <w:color w:val="000000" w:themeColor="text1"/>
                <w:sz w:val="24"/>
                <w:szCs w:val="24"/>
              </w:rPr>
              <w:lastRenderedPageBreak/>
              <w:t>日期</w:t>
            </w:r>
          </w:p>
        </w:tc>
        <w:tc>
          <w:tcPr>
            <w:tcW w:w="6946" w:type="dxa"/>
            <w:shd w:val="clear" w:color="auto" w:fill="auto"/>
            <w:vAlign w:val="center"/>
          </w:tcPr>
          <w:p w:rsidR="00DC2966" w:rsidRDefault="00DC2966" w:rsidP="00177BA5">
            <w:pPr>
              <w:spacing w:line="360" w:lineRule="auto"/>
              <w:rPr>
                <w:rFonts w:ascii="宋体" w:eastAsia="宋体" w:hAnsi="宋体" w:cs="Times New Roman"/>
                <w:iCs/>
                <w:color w:val="000000" w:themeColor="text1"/>
                <w:sz w:val="24"/>
                <w:szCs w:val="24"/>
              </w:rPr>
            </w:pPr>
            <w:r>
              <w:rPr>
                <w:rFonts w:ascii="宋体" w:eastAsia="宋体" w:hAnsi="宋体" w:cs="Times New Roman" w:hint="eastAsia"/>
                <w:bCs/>
                <w:iCs/>
                <w:color w:val="000000" w:themeColor="text1"/>
                <w:sz w:val="24"/>
                <w:szCs w:val="24"/>
              </w:rPr>
              <w:t>202</w:t>
            </w:r>
            <w:r>
              <w:rPr>
                <w:rFonts w:ascii="宋体" w:eastAsia="宋体" w:hAnsi="宋体" w:cs="Times New Roman"/>
                <w:bCs/>
                <w:iCs/>
                <w:color w:val="000000" w:themeColor="text1"/>
                <w:sz w:val="24"/>
                <w:szCs w:val="24"/>
              </w:rPr>
              <w:t>3</w:t>
            </w:r>
            <w:r>
              <w:rPr>
                <w:rFonts w:ascii="宋体" w:eastAsia="宋体" w:hAnsi="宋体" w:cs="Times New Roman" w:hint="eastAsia"/>
                <w:bCs/>
                <w:iCs/>
                <w:color w:val="000000" w:themeColor="text1"/>
                <w:sz w:val="24"/>
                <w:szCs w:val="24"/>
              </w:rPr>
              <w:t>年</w:t>
            </w:r>
            <w:r w:rsidR="00177BA5">
              <w:rPr>
                <w:rFonts w:ascii="宋体" w:eastAsia="宋体" w:hAnsi="宋体" w:cs="Times New Roman"/>
                <w:bCs/>
                <w:iCs/>
                <w:color w:val="000000" w:themeColor="text1"/>
                <w:sz w:val="24"/>
                <w:szCs w:val="24"/>
              </w:rPr>
              <w:t>11</w:t>
            </w:r>
            <w:r>
              <w:rPr>
                <w:rFonts w:ascii="宋体" w:eastAsia="宋体" w:hAnsi="宋体" w:cs="Times New Roman" w:hint="eastAsia"/>
                <w:iCs/>
                <w:color w:val="000000" w:themeColor="text1"/>
                <w:sz w:val="24"/>
                <w:szCs w:val="24"/>
              </w:rPr>
              <w:t xml:space="preserve">月 </w:t>
            </w:r>
            <w:r w:rsidR="00177BA5">
              <w:rPr>
                <w:rFonts w:ascii="宋体" w:eastAsia="宋体" w:hAnsi="宋体" w:cs="Times New Roman"/>
                <w:iCs/>
                <w:color w:val="000000" w:themeColor="text1"/>
                <w:sz w:val="24"/>
                <w:szCs w:val="24"/>
              </w:rPr>
              <w:t>29</w:t>
            </w:r>
            <w:r>
              <w:rPr>
                <w:rFonts w:ascii="宋体" w:eastAsia="宋体" w:hAnsi="宋体" w:cs="Times New Roman" w:hint="eastAsia"/>
                <w:iCs/>
                <w:color w:val="000000" w:themeColor="text1"/>
                <w:sz w:val="24"/>
                <w:szCs w:val="24"/>
              </w:rPr>
              <w:t>日</w:t>
            </w:r>
          </w:p>
        </w:tc>
      </w:tr>
    </w:tbl>
    <w:p w:rsidR="00DC2966" w:rsidRDefault="00DC2966" w:rsidP="00DC2966">
      <w:pPr>
        <w:keepNext/>
        <w:keepLines/>
        <w:spacing w:before="260" w:after="260" w:line="360" w:lineRule="auto"/>
        <w:outlineLvl w:val="1"/>
        <w:rPr>
          <w:color w:val="000000" w:themeColor="text1"/>
        </w:rPr>
      </w:pPr>
    </w:p>
    <w:p w:rsidR="001B443E" w:rsidRPr="00DC2966" w:rsidRDefault="001B443E" w:rsidP="00DC2966"/>
    <w:sectPr w:rsidR="001B443E" w:rsidRPr="00DC29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43" w:rsidRDefault="00096B43" w:rsidP="00C81FD8">
      <w:r>
        <w:separator/>
      </w:r>
    </w:p>
  </w:endnote>
  <w:endnote w:type="continuationSeparator" w:id="0">
    <w:p w:rsidR="00096B43" w:rsidRDefault="00096B43" w:rsidP="00C8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43" w:rsidRDefault="00096B43" w:rsidP="00C81FD8">
      <w:r>
        <w:separator/>
      </w:r>
    </w:p>
  </w:footnote>
  <w:footnote w:type="continuationSeparator" w:id="0">
    <w:p w:rsidR="00096B43" w:rsidRDefault="00096B43" w:rsidP="00C81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991"/>
    <w:multiLevelType w:val="hybridMultilevel"/>
    <w:tmpl w:val="F35EE94C"/>
    <w:lvl w:ilvl="0" w:tplc="79A07A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4"/>
    <w:rsid w:val="00026AD9"/>
    <w:rsid w:val="00041798"/>
    <w:rsid w:val="0007023E"/>
    <w:rsid w:val="00072983"/>
    <w:rsid w:val="00092858"/>
    <w:rsid w:val="00096B43"/>
    <w:rsid w:val="000A344F"/>
    <w:rsid w:val="000A493D"/>
    <w:rsid w:val="00141650"/>
    <w:rsid w:val="00177BA5"/>
    <w:rsid w:val="001A1E29"/>
    <w:rsid w:val="001B443E"/>
    <w:rsid w:val="001D4281"/>
    <w:rsid w:val="001D5CCC"/>
    <w:rsid w:val="00202597"/>
    <w:rsid w:val="00264BAF"/>
    <w:rsid w:val="00273235"/>
    <w:rsid w:val="00280149"/>
    <w:rsid w:val="002B29A4"/>
    <w:rsid w:val="002E56DC"/>
    <w:rsid w:val="002E7C07"/>
    <w:rsid w:val="003003F9"/>
    <w:rsid w:val="003A08D3"/>
    <w:rsid w:val="003D6CD4"/>
    <w:rsid w:val="00442F31"/>
    <w:rsid w:val="004B18EF"/>
    <w:rsid w:val="004B3991"/>
    <w:rsid w:val="005001FB"/>
    <w:rsid w:val="00510ABC"/>
    <w:rsid w:val="00511633"/>
    <w:rsid w:val="00521377"/>
    <w:rsid w:val="005546AD"/>
    <w:rsid w:val="00557BE4"/>
    <w:rsid w:val="00586E5B"/>
    <w:rsid w:val="005A7510"/>
    <w:rsid w:val="005B01B6"/>
    <w:rsid w:val="005C48A1"/>
    <w:rsid w:val="005E5CE7"/>
    <w:rsid w:val="005F1905"/>
    <w:rsid w:val="00614358"/>
    <w:rsid w:val="006152AD"/>
    <w:rsid w:val="0062767E"/>
    <w:rsid w:val="0063099F"/>
    <w:rsid w:val="00653A40"/>
    <w:rsid w:val="0066593B"/>
    <w:rsid w:val="006C6893"/>
    <w:rsid w:val="006C71FD"/>
    <w:rsid w:val="00725082"/>
    <w:rsid w:val="007423FB"/>
    <w:rsid w:val="0074354E"/>
    <w:rsid w:val="0078522C"/>
    <w:rsid w:val="00785800"/>
    <w:rsid w:val="00786364"/>
    <w:rsid w:val="00800A99"/>
    <w:rsid w:val="00812CBD"/>
    <w:rsid w:val="00824411"/>
    <w:rsid w:val="0082747D"/>
    <w:rsid w:val="00827EDE"/>
    <w:rsid w:val="0083270E"/>
    <w:rsid w:val="00851B42"/>
    <w:rsid w:val="008E656C"/>
    <w:rsid w:val="00950349"/>
    <w:rsid w:val="009568D5"/>
    <w:rsid w:val="009A3E7F"/>
    <w:rsid w:val="009B287C"/>
    <w:rsid w:val="009C6442"/>
    <w:rsid w:val="009E3981"/>
    <w:rsid w:val="00A213D8"/>
    <w:rsid w:val="00A656D3"/>
    <w:rsid w:val="00A744F3"/>
    <w:rsid w:val="00A833B5"/>
    <w:rsid w:val="00A83FBE"/>
    <w:rsid w:val="00A84B13"/>
    <w:rsid w:val="00A9341A"/>
    <w:rsid w:val="00AB1067"/>
    <w:rsid w:val="00AD6B4F"/>
    <w:rsid w:val="00AE049C"/>
    <w:rsid w:val="00AF382E"/>
    <w:rsid w:val="00AF62C4"/>
    <w:rsid w:val="00B06CB1"/>
    <w:rsid w:val="00C440C9"/>
    <w:rsid w:val="00C46AB1"/>
    <w:rsid w:val="00C51481"/>
    <w:rsid w:val="00C665E7"/>
    <w:rsid w:val="00C667F8"/>
    <w:rsid w:val="00C81FD8"/>
    <w:rsid w:val="00CC38AE"/>
    <w:rsid w:val="00CD5A8B"/>
    <w:rsid w:val="00CF5503"/>
    <w:rsid w:val="00D0577C"/>
    <w:rsid w:val="00D12149"/>
    <w:rsid w:val="00D152DE"/>
    <w:rsid w:val="00D22202"/>
    <w:rsid w:val="00D4662A"/>
    <w:rsid w:val="00D55519"/>
    <w:rsid w:val="00DC26BE"/>
    <w:rsid w:val="00DC2966"/>
    <w:rsid w:val="00DD78E1"/>
    <w:rsid w:val="00E701EC"/>
    <w:rsid w:val="00E96154"/>
    <w:rsid w:val="00ED3E9E"/>
    <w:rsid w:val="00EE6368"/>
    <w:rsid w:val="00EF35D7"/>
    <w:rsid w:val="00F45912"/>
    <w:rsid w:val="00F77E72"/>
    <w:rsid w:val="00F96F52"/>
    <w:rsid w:val="00FB226B"/>
    <w:rsid w:val="00FB7753"/>
    <w:rsid w:val="00FF3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C776645-D6F6-4AA8-8C31-D09BA8A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7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81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81FD8"/>
    <w:rPr>
      <w:sz w:val="18"/>
      <w:szCs w:val="18"/>
    </w:rPr>
  </w:style>
  <w:style w:type="paragraph" w:styleId="a5">
    <w:name w:val="footer"/>
    <w:basedOn w:val="a"/>
    <w:link w:val="Char0"/>
    <w:uiPriority w:val="99"/>
    <w:unhideWhenUsed/>
    <w:rsid w:val="00C81FD8"/>
    <w:pPr>
      <w:tabs>
        <w:tab w:val="center" w:pos="4153"/>
        <w:tab w:val="right" w:pos="8306"/>
      </w:tabs>
      <w:snapToGrid w:val="0"/>
      <w:jc w:val="left"/>
    </w:pPr>
    <w:rPr>
      <w:sz w:val="18"/>
      <w:szCs w:val="18"/>
    </w:rPr>
  </w:style>
  <w:style w:type="character" w:customStyle="1" w:styleId="Char0">
    <w:name w:val="页脚 Char"/>
    <w:basedOn w:val="a0"/>
    <w:link w:val="a5"/>
    <w:uiPriority w:val="99"/>
    <w:rsid w:val="00C81FD8"/>
    <w:rPr>
      <w:sz w:val="18"/>
      <w:szCs w:val="18"/>
    </w:rPr>
  </w:style>
  <w:style w:type="paragraph" w:styleId="a6">
    <w:name w:val="List Paragraph"/>
    <w:basedOn w:val="a"/>
    <w:uiPriority w:val="34"/>
    <w:qFormat/>
    <w:rsid w:val="00E961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2023-11-15T07:15:00Z</dcterms:created>
  <dcterms:modified xsi:type="dcterms:W3CDTF">2023-11-29T03:30:00Z</dcterms:modified>
</cp:coreProperties>
</file>