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i w:val="0"/>
          <w:caps w:val="0"/>
          <w:spacing w:val="0"/>
          <w:sz w:val="28"/>
          <w:szCs w:val="28"/>
          <w:shd w:val="clear" w:fill="FFFFFF"/>
          <w:lang w:val="en-US" w:eastAsia="zh-CN"/>
        </w:rPr>
      </w:pPr>
      <w:bookmarkStart w:id="0" w:name="_GoBack"/>
      <w:bookmarkEnd w:id="0"/>
      <w:r>
        <w:rPr>
          <w:rFonts w:hint="eastAsia" w:ascii="宋体" w:hAnsi="宋体" w:eastAsia="宋体" w:cs="宋体"/>
          <w:b/>
          <w:bCs/>
          <w:i w:val="0"/>
          <w:caps w:val="0"/>
          <w:spacing w:val="0"/>
          <w:sz w:val="28"/>
          <w:szCs w:val="28"/>
          <w:shd w:val="clear" w:fill="FFFFFF"/>
          <w:lang w:val="en-US" w:eastAsia="zh-CN"/>
        </w:rPr>
        <w:t>证券代码：600406                        证券简称：国电南瑞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caps w:val="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caps w:val="0"/>
          <w:spacing w:val="0"/>
          <w:sz w:val="32"/>
          <w:szCs w:val="32"/>
          <w:shd w:val="clear" w:fill="FFFFFF"/>
          <w:lang w:val="en-US" w:eastAsia="zh-CN"/>
        </w:rPr>
      </w:pPr>
      <w:r>
        <w:rPr>
          <w:rFonts w:hint="eastAsia" w:ascii="宋体" w:hAnsi="宋体" w:eastAsia="宋体" w:cs="宋体"/>
          <w:b/>
          <w:bCs/>
          <w:i w:val="0"/>
          <w:caps w:val="0"/>
          <w:spacing w:val="0"/>
          <w:sz w:val="32"/>
          <w:szCs w:val="32"/>
          <w:shd w:val="clear" w:fill="FFFFFF"/>
          <w:lang w:val="en-US" w:eastAsia="zh-CN"/>
        </w:rPr>
        <w:t>国电南瑞科技股份有限公司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caps w:val="0"/>
          <w:spacing w:val="0"/>
          <w:sz w:val="32"/>
          <w:szCs w:val="32"/>
          <w:shd w:val="clear" w:fill="FFFFFF"/>
        </w:rPr>
      </w:pPr>
      <w:r>
        <w:rPr>
          <w:rFonts w:hint="eastAsia" w:ascii="宋体" w:hAnsi="宋体" w:eastAsia="宋体" w:cs="宋体"/>
          <w:b/>
          <w:bCs/>
          <w:i w:val="0"/>
          <w:caps w:val="0"/>
          <w:spacing w:val="0"/>
          <w:sz w:val="32"/>
          <w:szCs w:val="32"/>
          <w:shd w:val="clear" w:fill="FFFFFF"/>
        </w:rPr>
        <w:t>投资者关系活动记录表</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i w:val="0"/>
          <w:caps w:val="0"/>
          <w:spacing w:val="0"/>
          <w:sz w:val="32"/>
          <w:szCs w:val="32"/>
          <w:highlight w:val="none"/>
          <w:shd w:val="clear" w:fill="FFFFFF"/>
          <w:lang w:val="en-US" w:eastAsia="zh-CN"/>
        </w:rPr>
      </w:pPr>
      <w:r>
        <w:rPr>
          <w:rFonts w:hint="eastAsia" w:ascii="宋体" w:hAnsi="宋体" w:eastAsia="宋体" w:cs="宋体"/>
          <w:i w:val="0"/>
          <w:caps w:val="0"/>
          <w:spacing w:val="0"/>
          <w:sz w:val="28"/>
          <w:szCs w:val="28"/>
          <w:shd w:val="clear" w:fill="FFFFFF"/>
          <w:lang w:val="en-US" w:eastAsia="zh-CN"/>
        </w:rPr>
        <w:t>编号：202</w:t>
      </w:r>
      <w:r>
        <w:rPr>
          <w:rFonts w:hint="eastAsia" w:ascii="宋体" w:hAnsi="宋体" w:eastAsia="宋体" w:cs="宋体"/>
          <w:i w:val="0"/>
          <w:caps w:val="0"/>
          <w:spacing w:val="0"/>
          <w:sz w:val="28"/>
          <w:szCs w:val="28"/>
          <w:highlight w:val="none"/>
          <w:shd w:val="clear" w:fill="FFFFFF"/>
          <w:lang w:val="en-US" w:eastAsia="zh-CN"/>
        </w:rPr>
        <w:t>3-01</w:t>
      </w:r>
    </w:p>
    <w:tbl>
      <w:tblPr>
        <w:tblStyle w:val="6"/>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rPr>
              <w:t>投资者关系活动类别</w:t>
            </w:r>
          </w:p>
        </w:tc>
        <w:tc>
          <w:tcPr>
            <w:tcW w:w="54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rPr>
              <w:t>□</w:t>
            </w:r>
            <w:r>
              <w:rPr>
                <w:rFonts w:hint="eastAsia" w:ascii="宋体" w:hAnsi="宋体" w:eastAsia="宋体" w:cs="宋体"/>
                <w:i w:val="0"/>
                <w:caps w:val="0"/>
                <w:spacing w:val="0"/>
                <w:sz w:val="24"/>
                <w:szCs w:val="24"/>
                <w:shd w:val="clear" w:fill="FFFFFF"/>
                <w:lang w:val="en-US" w:eastAsia="zh-CN"/>
              </w:rPr>
              <w:t>投资策略会</w:t>
            </w:r>
            <w:r>
              <w:rPr>
                <w:rFonts w:hint="eastAsia" w:ascii="宋体" w:hAnsi="宋体" w:eastAsia="宋体" w:cs="宋体"/>
                <w:i w:val="0"/>
                <w:caps w:val="0"/>
                <w:spacing w:val="0"/>
                <w:sz w:val="24"/>
                <w:szCs w:val="24"/>
                <w:shd w:val="clear" w:fill="FFFFFF"/>
              </w:rPr>
              <w:sym w:font="Wingdings 2" w:char="00A3"/>
            </w:r>
            <w:r>
              <w:rPr>
                <w:rFonts w:hint="eastAsia" w:ascii="宋体" w:hAnsi="宋体" w:eastAsia="宋体" w:cs="宋体"/>
                <w:i w:val="0"/>
                <w:caps w:val="0"/>
                <w:spacing w:val="0"/>
                <w:sz w:val="24"/>
                <w:szCs w:val="24"/>
                <w:shd w:val="clear" w:fill="FFFFFF"/>
                <w:lang w:val="en-US" w:eastAsia="zh-CN"/>
              </w:rPr>
              <w:t>电话/网络</w:t>
            </w:r>
            <w:r>
              <w:rPr>
                <w:rFonts w:hint="eastAsia" w:ascii="宋体" w:hAnsi="宋体" w:eastAsia="宋体" w:cs="宋体"/>
                <w:i w:val="0"/>
                <w:caps w:val="0"/>
                <w:spacing w:val="0"/>
                <w:sz w:val="24"/>
                <w:szCs w:val="24"/>
                <w:shd w:val="clear" w:fill="FFFFFF"/>
              </w:rPr>
              <w:t>会议□</w:t>
            </w:r>
            <w:r>
              <w:rPr>
                <w:rFonts w:hint="eastAsia" w:ascii="宋体" w:hAnsi="宋体" w:eastAsia="宋体" w:cs="宋体"/>
                <w:i w:val="0"/>
                <w:caps w:val="0"/>
                <w:spacing w:val="0"/>
                <w:sz w:val="24"/>
                <w:szCs w:val="24"/>
                <w:shd w:val="clear" w:fill="FFFFFF"/>
                <w:lang w:val="en-US" w:eastAsia="zh-CN"/>
              </w:rPr>
              <w:t>现场调研</w:t>
            </w:r>
            <w:r>
              <w:rPr>
                <w:rFonts w:hint="eastAsia" w:ascii="宋体" w:hAnsi="宋体" w:eastAsia="宋体" w:cs="宋体"/>
                <w:i w:val="0"/>
                <w:caps w:val="0"/>
                <w:spacing w:val="0"/>
                <w:sz w:val="24"/>
                <w:szCs w:val="24"/>
                <w:shd w:val="clear" w:fill="FFFFFF"/>
              </w:rPr>
              <w:sym w:font="Wingdings 2" w:char="0052"/>
            </w:r>
            <w:r>
              <w:rPr>
                <w:rFonts w:hint="eastAsia" w:ascii="宋体" w:hAnsi="宋体" w:eastAsia="宋体" w:cs="宋体"/>
                <w:i w:val="0"/>
                <w:caps w:val="0"/>
                <w:spacing w:val="0"/>
                <w:sz w:val="24"/>
                <w:szCs w:val="24"/>
                <w:shd w:val="clear" w:fill="FFFFFF"/>
              </w:rPr>
              <w:t>业绩说明会□路演活动□</w:t>
            </w:r>
            <w:r>
              <w:rPr>
                <w:rFonts w:hint="eastAsia" w:ascii="宋体" w:hAnsi="宋体" w:eastAsia="宋体" w:cs="宋体"/>
                <w:i w:val="0"/>
                <w:caps w:val="0"/>
                <w:spacing w:val="0"/>
                <w:sz w:val="24"/>
                <w:szCs w:val="24"/>
                <w:shd w:val="clear" w:fill="FFFFFF"/>
                <w:lang w:val="en-US" w:eastAsia="zh-CN"/>
              </w:rPr>
              <w:t>媒体采访</w:t>
            </w:r>
            <w:r>
              <w:rPr>
                <w:rFonts w:hint="eastAsia" w:ascii="宋体" w:hAnsi="宋体" w:eastAsia="宋体" w:cs="宋体"/>
                <w:i w:val="0"/>
                <w:caps w:val="0"/>
                <w:spacing w:val="0"/>
                <w:sz w:val="24"/>
                <w:szCs w:val="24"/>
                <w:shd w:val="clear" w:fill="FFFFFF"/>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rPr>
              <w:t>时间</w:t>
            </w:r>
          </w:p>
        </w:tc>
        <w:tc>
          <w:tcPr>
            <w:tcW w:w="54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lang w:val="en-US" w:eastAsia="zh-CN"/>
              </w:rPr>
              <w:t>2023年11月30日9:00-10:00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rPr>
              <w:t>地点</w:t>
            </w:r>
          </w:p>
        </w:tc>
        <w:tc>
          <w:tcPr>
            <w:tcW w:w="54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vertAlign w:val="baseline"/>
                <w:lang w:val="en-US" w:eastAsia="zh-CN"/>
              </w:rPr>
              <w:t>上</w:t>
            </w:r>
            <w:r>
              <w:rPr>
                <w:rFonts w:hint="default" w:ascii="宋体" w:hAnsi="宋体" w:eastAsia="宋体" w:cs="宋体"/>
                <w:i w:val="0"/>
                <w:caps w:val="0"/>
                <w:spacing w:val="0"/>
                <w:sz w:val="24"/>
                <w:szCs w:val="24"/>
                <w:shd w:val="clear" w:fill="FFFFFF"/>
                <w:vertAlign w:val="baseline"/>
                <w:lang w:val="en-US" w:eastAsia="zh-CN"/>
              </w:rPr>
              <w:t>海证券交易所上证路演中心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caps w:val="0"/>
                <w:spacing w:val="0"/>
                <w:sz w:val="24"/>
                <w:szCs w:val="24"/>
                <w:shd w:val="clear" w:fill="FFFFFF"/>
                <w:vertAlign w:val="baseline"/>
                <w:lang w:val="en-US" w:eastAsia="zh-CN"/>
              </w:rPr>
            </w:pPr>
            <w:r>
              <w:rPr>
                <w:rFonts w:hint="default" w:ascii="宋体" w:hAnsi="宋体" w:eastAsia="宋体" w:cs="宋体"/>
                <w:i w:val="0"/>
                <w:caps w:val="0"/>
                <w:spacing w:val="0"/>
                <w:sz w:val="24"/>
                <w:szCs w:val="24"/>
                <w:shd w:val="clear" w:fill="FFFFFF"/>
                <w:vertAlign w:val="baseline"/>
                <w:lang w:val="en-US" w:eastAsia="zh-CN"/>
              </w:rPr>
              <w:t>（网址：http://roadshow.sseinfo.com/）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vertAlign w:val="baseline"/>
                <w:lang w:val="en-US" w:eastAsia="zh-CN"/>
              </w:rPr>
              <w:t>召开方式</w:t>
            </w:r>
          </w:p>
        </w:tc>
        <w:tc>
          <w:tcPr>
            <w:tcW w:w="54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vertAlign w:val="baseline"/>
                <w:lang w:val="en-US" w:eastAsia="zh-CN"/>
              </w:rPr>
              <w:t>上证路演中心平台网络文字互动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rPr>
              <w:t>参</w:t>
            </w:r>
            <w:r>
              <w:rPr>
                <w:rFonts w:hint="default" w:ascii="宋体" w:hAnsi="宋体" w:eastAsia="宋体" w:cs="宋体"/>
                <w:i w:val="0"/>
                <w:caps w:val="0"/>
                <w:spacing w:val="0"/>
                <w:sz w:val="24"/>
                <w:szCs w:val="24"/>
                <w:shd w:val="clear" w:fill="FFFFFF"/>
              </w:rPr>
              <w:t>与单位</w:t>
            </w:r>
          </w:p>
        </w:tc>
        <w:tc>
          <w:tcPr>
            <w:tcW w:w="547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vertAlign w:val="baseline"/>
                <w:lang w:val="en-US" w:eastAsia="zh-CN"/>
              </w:rPr>
              <w:t>通</w:t>
            </w:r>
            <w:r>
              <w:rPr>
                <w:rFonts w:hint="default" w:ascii="宋体" w:hAnsi="宋体" w:eastAsia="宋体" w:cs="宋体"/>
                <w:i w:val="0"/>
                <w:caps w:val="0"/>
                <w:spacing w:val="0"/>
                <w:sz w:val="24"/>
                <w:szCs w:val="24"/>
                <w:shd w:val="clear" w:fill="FFFFFF"/>
                <w:vertAlign w:val="baseline"/>
                <w:lang w:val="en-US" w:eastAsia="zh-CN"/>
              </w:rPr>
              <w:t>过网络互动形式参与公司本次业绩说明会的投资者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rPr>
              <w:t>上</w:t>
            </w:r>
            <w:r>
              <w:rPr>
                <w:rFonts w:hint="default" w:ascii="宋体" w:hAnsi="宋体" w:eastAsia="宋体" w:cs="宋体"/>
                <w:i w:val="0"/>
                <w:caps w:val="0"/>
                <w:spacing w:val="0"/>
                <w:sz w:val="24"/>
                <w:szCs w:val="24"/>
                <w:shd w:val="clear" w:fill="FFFFFF"/>
              </w:rPr>
              <w:t>市公司参会人员</w:t>
            </w:r>
          </w:p>
        </w:tc>
        <w:tc>
          <w:tcPr>
            <w:tcW w:w="547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国电南瑞董事、总经理庞腊成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国电南瑞总会计师、董事会秘书 方飞龙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国电南瑞独立董事 胡敏强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lang w:val="en-US" w:eastAsia="zh-CN"/>
              </w:rPr>
              <w:t>国电南瑞相关部门/单位负责人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spacing w:val="0"/>
                <w:sz w:val="24"/>
                <w:szCs w:val="24"/>
                <w:shd w:val="clear" w:fill="FFFFFF"/>
                <w:vertAlign w:val="baseline"/>
                <w:lang w:val="en-US" w:eastAsia="zh-CN"/>
              </w:rPr>
            </w:pPr>
            <w:r>
              <w:rPr>
                <w:rFonts w:hint="eastAsia" w:ascii="宋体" w:hAnsi="宋体" w:eastAsia="宋体" w:cs="宋体"/>
                <w:i w:val="0"/>
                <w:caps w:val="0"/>
                <w:spacing w:val="0"/>
                <w:sz w:val="24"/>
                <w:szCs w:val="24"/>
                <w:shd w:val="clear" w:fill="FFFFFF"/>
              </w:rPr>
              <w:t>投资者提出的问题及公司回复情况</w:t>
            </w:r>
          </w:p>
        </w:tc>
        <w:tc>
          <w:tcPr>
            <w:tcW w:w="54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问题1：公司如何看待储能业务的发展。公司储能业务的开展情况与全年展望以及在竞争格局加剧下我们采取的措施。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回复：储能业务是公司战略性发展方向，公司在储能领域具备成熟的产品和丰富的技术积累，2023年储能业务继续保持增长。针对目前竞争加剧的情况，公司依托于电力电子和电网控制保护技术，在构网型储能、高压直挂储能等技术方向保持领先，同时加强在工商业储能、独立储能等高价值市场的开拓力度，成效显著，确保合同高质量增长。感谢您对公司的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问题2：今年以来汇率变化对公司有何影响？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回复：汇率变化对公司经营影响较小。三季度形成汇兑收益金额占利润总额比例为0.7%，外币资产占资产总额比例约为2.9%，整体占比较小。同时，公司持续加强汇率监控及管理，采取外币收支匹配、外汇套期保值等措施降低汇率波动风险。感谢您对公司的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问题3：公司信通板块中运维业务的收入规模，以及该项业务未来发展趋势及收入占比预期？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回复：公司信通板块主要开展电力生产管理、运行监控、安全防护等相关信息通信软硬件的研发制造、系统集成、工程服务和运营维护服务。近年来，公司发挥全产业链和完整专业优势，将信息通信技术与先进输电技术、低碳能源技术、网络及安全技术、控制技术充分融合，全面深化“大云物移智链”在调度、输电、变电、配电和用电等全产业链中的应用，推动电力系统向高度数字化、清洁化、智慧化方向演进，运维业务保持稳步增长态势。公司将继续加大在运维领域的投入和创新力度，以提高市场份额和盈利能力。感谢您对公司的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问题</w:t>
            </w:r>
            <w:r>
              <w:rPr>
                <w:rFonts w:hint="eastAsia" w:ascii="宋体" w:hAnsi="宋体" w:eastAsia="宋体" w:cs="宋体"/>
                <w:i w:val="0"/>
                <w:caps w:val="0"/>
                <w:spacing w:val="0"/>
                <w:kern w:val="2"/>
                <w:sz w:val="24"/>
                <w:szCs w:val="24"/>
                <w:shd w:val="clear" w:fill="FFFFFF"/>
                <w:lang w:val="en-US" w:eastAsia="zh-CN" w:bidi="ar-SA"/>
              </w:rPr>
              <w:t>4：</w:t>
            </w:r>
            <w:r>
              <w:rPr>
                <w:rFonts w:hint="default" w:ascii="宋体" w:hAnsi="宋体" w:eastAsia="宋体" w:cs="宋体"/>
                <w:i w:val="0"/>
                <w:caps w:val="0"/>
                <w:spacing w:val="0"/>
                <w:kern w:val="2"/>
                <w:sz w:val="24"/>
                <w:szCs w:val="24"/>
                <w:shd w:val="clear" w:fill="FFFFFF"/>
                <w:lang w:val="en-US" w:eastAsia="zh-CN" w:bidi="ar-SA"/>
              </w:rPr>
              <w:t>近期有新闻报道，欧洲电网将加大电网投资，公司对此有何评价，公司有哪些</w:t>
            </w:r>
            <w:r>
              <w:rPr>
                <w:rFonts w:hint="default" w:ascii="宋体" w:hAnsi="宋体" w:eastAsia="宋体" w:cs="宋体"/>
                <w:i w:val="0"/>
                <w:caps w:val="0"/>
                <w:spacing w:val="0"/>
                <w:sz w:val="24"/>
                <w:szCs w:val="24"/>
                <w:shd w:val="clear" w:fill="FFFFFF"/>
                <w:lang w:val="en-US" w:eastAsia="zh-CN"/>
              </w:rPr>
              <w:t>海外市场机会？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回复：公司柔性直流及交流输电、控制保护、储能等技术、产品已突破欧洲市场。公司将紧抓欧洲电网投资机遇，加大资源投入，稳步推进欧洲电网市场开拓。感谢您对公司的关注。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问题5：请问公司储能业务技术上和竞争对手相比，是否有明显优势？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回复：公司自主研制的全套储能核心设备，构建了协同优化的储能“4S”一体化方案，适用于电网侧、新能源、火电厂、用户侧、微电网等各类应用场景。公司基于群调群控的储能协调控制技术以及构网技术的储能系统，在大电网主动支撑方面具有明显优势。感谢您对公司的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问题6：最近获悉有两条特高压可能采取柔性直流输电，公司在这方面的布局有哪些？对两网明年配电网的投资展望？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回复：公司拥有特高压柔直换流阀、直流断路器和控制保护等核心技术、产品和整体解决方案。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2024年国家电网、南方电网将继续加大配电网建设力度，预计整体投资将稳定增长。感谢您对公司的关注。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问题7：请问公司IGBT国产化进程怎么样呢？成本未来有望下降到什么程度呢？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lang w:val="en-US" w:eastAsia="zh-CN"/>
              </w:rPr>
              <w:t>回复：公司加快推进高端IGBT器件的自主化发展，目前已形成了涵盖3300V、4500V高压系列以及1200V、1700V中低压系列IGBT产品，部分产品面向智能电网、新能源发电、储能等领域用户实现批量应用。随着自主IGBT器件的应用规模不断扩大，产品的经济性将得到持续提升。感谢您对公司的关注。</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MmU2ZWUxY2FjNTNmODdmZmFiZDRiYTQ3OWU5OTAifQ=="/>
  </w:docVars>
  <w:rsids>
    <w:rsidRoot w:val="171B3DA6"/>
    <w:rsid w:val="00735209"/>
    <w:rsid w:val="04D719BC"/>
    <w:rsid w:val="07C63EE1"/>
    <w:rsid w:val="08FF5744"/>
    <w:rsid w:val="0C0371B0"/>
    <w:rsid w:val="171B3DA6"/>
    <w:rsid w:val="2DAE0B7D"/>
    <w:rsid w:val="31742BC9"/>
    <w:rsid w:val="324E2C7C"/>
    <w:rsid w:val="33812E78"/>
    <w:rsid w:val="388E2B6C"/>
    <w:rsid w:val="49E55BCE"/>
    <w:rsid w:val="522F093A"/>
    <w:rsid w:val="56C44EA0"/>
    <w:rsid w:val="62531D9B"/>
    <w:rsid w:val="641825B6"/>
    <w:rsid w:val="65A57592"/>
    <w:rsid w:val="78E3771C"/>
    <w:rsid w:val="7FAD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2023-09-15T02:27:00Z</dcterms:created>
  <dc:creator>zhangzhitian</dc:creator>
  <cp:lastModifiedBy>lemon</cp:lastModifiedBy>
  <dcterms:modified xsi:type="dcterms:W3CDTF">2023-11-30T08:55:28Z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C00D51FA61174D4194CA88ADA27B51F2_13</vt:lpwstr>
  </property>
</Properties>
</file>