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证券代码：688053                                 证券简称：</w:t>
      </w:r>
      <w:r>
        <w:rPr>
          <w:rFonts w:ascii="宋体" w:hAnsi="宋体" w:eastAsia="宋体" w:cs="Times New Roman"/>
          <w:b/>
          <w:bCs/>
          <w:iCs/>
          <w:sz w:val="24"/>
          <w:szCs w:val="24"/>
        </w:rPr>
        <w:t xml:space="preserve"> </w:t>
      </w:r>
      <w:r>
        <w:rPr>
          <w:rFonts w:hint="eastAsia" w:ascii="宋体" w:hAnsi="宋体" w:eastAsia="宋体" w:cs="Times New Roman"/>
          <w:b/>
          <w:bCs/>
          <w:iCs/>
          <w:sz w:val="24"/>
          <w:szCs w:val="24"/>
        </w:rPr>
        <w:t>思科瑞</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成都思科瑞微电子股份有限公司</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left"/>
        <w:outlineLvl w:val="1"/>
        <w:rPr>
          <w:rFonts w:ascii="宋体" w:hAnsi="宋体" w:eastAsia="宋体" w:cs="Times New Roman"/>
          <w:b/>
          <w:bCs/>
          <w:sz w:val="24"/>
          <w:szCs w:val="24"/>
        </w:rPr>
      </w:pPr>
      <w:r>
        <w:rPr>
          <w:rFonts w:hint="eastAsia" w:ascii="宋体" w:hAnsi="宋体" w:eastAsia="宋体" w:cs="Times New Roman"/>
          <w:b/>
          <w:bCs/>
          <w:sz w:val="24"/>
          <w:szCs w:val="24"/>
        </w:rPr>
        <w:t>编号：2023-008</w:t>
      </w:r>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ascii="宋体" w:hAnsi="宋体" w:eastAsia="宋体" w:cs="Times New Roman"/>
                <w:b/>
                <w:bCs/>
                <w:iCs/>
                <w:sz w:val="24"/>
                <w:szCs w:val="24"/>
              </w:rPr>
            </w:pPr>
          </w:p>
        </w:tc>
        <w:tc>
          <w:tcPr>
            <w:tcW w:w="5812"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现场参观</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sym w:font="Wingdings 2" w:char="00A3"/>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易方达，国联证券，申万证券，平安基金，交银基金，华安基金，兴全基金，华泰柏瑞，招商基金，海富通，富国基金，上海龙全，澄源投资，东方阿尔法，睿远基金，中泰证券，浦银安盛，永盈基金，财通证券，国泰君安，中邮基金，中金证券，国信证券，方正证券，西部证券，沙砾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2023年 11月29日/2023年11月30日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rPr>
              <w:t>绵阳科发铂骊酒店</w:t>
            </w:r>
            <w:r>
              <w:rPr>
                <w:rFonts w:hint="eastAsia" w:ascii="宋体" w:hAnsi="宋体" w:eastAsia="宋体" w:cs="Times New Roman"/>
                <w:bCs/>
                <w:iCs/>
                <w:sz w:val="24"/>
                <w:szCs w:val="24"/>
                <w:lang w:eastAsia="zh-CN"/>
              </w:rPr>
              <w:t>、上海浦东滨江喜来登酒店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pPr>
              <w:tabs>
                <w:tab w:val="center" w:pos="2798"/>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 xml:space="preserve">董事会秘书：吴常念 </w:t>
            </w: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978"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pPr>
              <w:pStyle w:val="2"/>
              <w:spacing w:before="0" w:after="0" w:line="440" w:lineRule="exact"/>
            </w:pPr>
            <w:bookmarkStart w:id="0" w:name="_Toc107222398"/>
            <w:r>
              <w:rPr>
                <w:rFonts w:hint="eastAsia"/>
              </w:rPr>
              <w:t>问：公司在海南注册的子公司，是否为承接低轨卫星检测相关业务做准备？有哪些投资规划？</w:t>
            </w:r>
          </w:p>
          <w:p>
            <w:pPr>
              <w:pStyle w:val="2"/>
              <w:spacing w:before="0" w:after="0" w:line="440" w:lineRule="exact"/>
            </w:pPr>
            <w:r>
              <w:rPr>
                <w:rFonts w:hint="eastAsia"/>
              </w:rPr>
              <w:t>答：今年</w:t>
            </w:r>
            <w:r>
              <w:t>9月末，公司在海南文昌航天城投资设立了全资子</w:t>
            </w:r>
            <w:bookmarkStart w:id="2" w:name="_GoBack"/>
            <w:bookmarkEnd w:id="2"/>
            <w:r>
              <w:t>公司海南国星飞测</w:t>
            </w:r>
            <w:r>
              <w:rPr>
                <w:rFonts w:hint="eastAsia"/>
              </w:rPr>
              <w:t>，并取得了相关营业执照</w:t>
            </w:r>
            <w:r>
              <w:t>。</w:t>
            </w:r>
            <w:r>
              <w:rPr>
                <w:rFonts w:hint="eastAsia"/>
              </w:rPr>
              <w:t>成立该公司的目的是为了就近配合地轨卫星相关客户在文昌航天城的业务布局，目前初步计划投资建造2-3亿产能，具体情况要看下游客户的规划节奏逐步实施。根据公司在航天城参加的相关会议了解到，下游客户的生产基地将很快落地。</w:t>
            </w:r>
          </w:p>
          <w:bookmarkEnd w:id="0"/>
          <w:p/>
          <w:p>
            <w:pPr>
              <w:pStyle w:val="2"/>
              <w:spacing w:before="0" w:after="0" w:line="440" w:lineRule="exact"/>
            </w:pPr>
            <w:r>
              <w:rPr>
                <w:rFonts w:hint="eastAsia"/>
              </w:rPr>
              <w:t>问：公司在海南文昌航天城注册了子公司，拟投建检测与可靠性文昌工程中心，请问当前公司在卫星监测领域有何技术进展？</w:t>
            </w:r>
          </w:p>
          <w:p>
            <w:pPr>
              <w:ind w:firstLine="422" w:firstLineChars="200"/>
              <w:rPr>
                <w:rFonts w:ascii="Cambria" w:hAnsi="Cambria"/>
                <w:b/>
                <w:bCs/>
                <w:kern w:val="0"/>
                <w:szCs w:val="32"/>
              </w:rPr>
            </w:pPr>
            <w:r>
              <w:rPr>
                <w:rFonts w:hint="eastAsia" w:ascii="Cambria" w:hAnsi="Cambria"/>
                <w:b/>
                <w:bCs/>
                <w:kern w:val="0"/>
                <w:szCs w:val="32"/>
              </w:rPr>
              <w:t>答：思科瑞广泛服务于航空、航天、兵器、电子、船舶等各大军工集团所属军工厂所及地方涉军企业，专业针对超高速、超大规模集成电路、混合集成电路、半导体分立器件、微波器件、电真空器件、机电元件等开展质量及可靠性检测试验，具备按照国家标准、国家军用标准、IEC标准、美国军用标准以及电子、航天等行业标准或定制要求开展检测筛选服务的能力。在实际检测能力方面，数据显示，截至2023年6月30日，公司经中国合格评定国家认可委员会（CNAS）和中国国防科技工业实验室认可委员会（DILAC）现场认证的检测项目或检测参数共计863项。此外，思科瑞还具备3.2万多套测试程序软件和2.1万多套检测适配器，相较同业技术实力名列前茅，具有较强的军用电子元器件、设备及分系统可靠性检测和试验服务能力。</w:t>
            </w:r>
          </w:p>
          <w:p>
            <w:pPr>
              <w:ind w:firstLine="422" w:firstLineChars="200"/>
              <w:rPr>
                <w:rFonts w:ascii="微软雅黑" w:hAnsi="微软雅黑" w:eastAsia="微软雅黑" w:cs="微软雅黑"/>
                <w:color w:val="555555"/>
                <w:sz w:val="18"/>
                <w:szCs w:val="18"/>
              </w:rPr>
            </w:pPr>
            <w:r>
              <w:rPr>
                <w:rFonts w:hint="eastAsia" w:ascii="Cambria" w:hAnsi="Cambria"/>
                <w:b/>
                <w:bCs/>
                <w:kern w:val="0"/>
                <w:szCs w:val="32"/>
              </w:rPr>
              <w:t>年初至今，思科瑞积极推进航天相关设备实验环境建设。目前已实现新增环境及电磁兼容试验场地7000余平方米，场地试验冷却水系统、电力系统、基础装修等已基本完毕。新增场地中包含400余平方米10万级高洁净空天试验室，试验室内温度、湿度、接地、防静电等均要求按照航天产品环境试验要求建立。待设备到位后，可依据GJB1027A-2005《运载器、上面级和航天器试验要求》等标准，进行热循环试验、高温老炼试验、温度循环试验、热真空试验等，覆盖卫星产品、载人航天器等部件及系统。在技术研究方面，各项关键技术稳步推进，目前己经完成柔性视觉六面检、全自动三温集成电路测试设备，实现多芯片高低温同测，规模化批量智能自动测试生产线的建设。</w:t>
            </w:r>
          </w:p>
          <w:p>
            <w:pPr>
              <w:pStyle w:val="2"/>
              <w:spacing w:before="0" w:after="0" w:line="440" w:lineRule="exact"/>
            </w:pPr>
          </w:p>
          <w:p>
            <w:pPr>
              <w:pStyle w:val="2"/>
              <w:spacing w:before="0" w:after="0" w:line="440" w:lineRule="exact"/>
            </w:pPr>
            <w:r>
              <w:rPr>
                <w:rFonts w:hint="eastAsia"/>
              </w:rPr>
              <w:t>问：公司在公告中提及的射频模块“三温检测”是一项怎样的技术？</w:t>
            </w:r>
          </w:p>
          <w:p>
            <w:pPr>
              <w:spacing w:line="400" w:lineRule="exact"/>
              <w:ind w:firstLine="422" w:firstLineChars="200"/>
              <w:rPr>
                <w:rFonts w:hint="eastAsia" w:ascii="Cambria" w:hAnsi="Cambria"/>
                <w:b/>
                <w:bCs/>
                <w:kern w:val="0"/>
                <w:szCs w:val="32"/>
              </w:rPr>
            </w:pPr>
            <w:r>
              <w:rPr>
                <w:rFonts w:hint="eastAsia" w:ascii="Cambria" w:hAnsi="Cambria"/>
                <w:b/>
                <w:bCs/>
                <w:kern w:val="0"/>
                <w:szCs w:val="32"/>
              </w:rPr>
              <w:t>答：射频模块“三温检测”是指公司新开发的“T/R组件”检测系统。以往，T/R组件在批产的过程中，进行常温、低温、高温检测，需要耗时较长，由于T/R组件使用量大，因此只能进行抽样检测，或者随整机检测，使得T/R组件可靠性降低。公司的射频模块“三温检测”系统，可以有效缩短T/R组件检测的时间，提升检测效率，有效提高T/R组件可靠性。</w:t>
            </w:r>
          </w:p>
          <w:p>
            <w:pPr>
              <w:spacing w:line="400" w:lineRule="exact"/>
              <w:ind w:firstLine="422" w:firstLineChars="200"/>
              <w:rPr>
                <w:rFonts w:hint="eastAsia" w:ascii="Cambria" w:hAnsi="Cambria"/>
                <w:b/>
                <w:bCs/>
                <w:kern w:val="0"/>
                <w:szCs w:val="32"/>
              </w:rPr>
            </w:pPr>
          </w:p>
          <w:p>
            <w:pPr>
              <w:pStyle w:val="2"/>
              <w:spacing w:before="0" w:after="0" w:line="440" w:lineRule="exact"/>
            </w:pPr>
            <w:r>
              <w:rPr>
                <w:rFonts w:hint="eastAsia"/>
              </w:rPr>
              <w:t>问：公司在海南航文昌航天城投建子公司，与公司的业务能够有那些联动？</w:t>
            </w:r>
          </w:p>
          <w:p>
            <w:pPr>
              <w:spacing w:line="400" w:lineRule="exact"/>
              <w:ind w:firstLine="422" w:firstLineChars="200"/>
              <w:rPr>
                <w:rFonts w:ascii="Cambria" w:hAnsi="Cambria"/>
                <w:b/>
                <w:bCs/>
                <w:kern w:val="0"/>
                <w:szCs w:val="32"/>
              </w:rPr>
            </w:pPr>
            <w:r>
              <w:rPr>
                <w:rFonts w:hint="eastAsia" w:ascii="Cambria" w:hAnsi="Cambria"/>
                <w:b/>
                <w:bCs/>
                <w:kern w:val="0"/>
                <w:szCs w:val="32"/>
              </w:rPr>
              <w:t>答：</w:t>
            </w:r>
            <w:bookmarkStart w:id="1" w:name="_Toc118146358"/>
            <w:r>
              <w:rPr>
                <w:rFonts w:hint="eastAsia" w:ascii="Cambria" w:hAnsi="Cambria"/>
                <w:b/>
                <w:bCs/>
                <w:kern w:val="0"/>
                <w:szCs w:val="32"/>
              </w:rPr>
              <w:t>文昌国际航天城要承担我国商业火箭、商业卫星等发射任务，是集火箭、卫星的研发、制造、发射及后期运营的超级工厂。</w:t>
            </w:r>
          </w:p>
          <w:p>
            <w:pPr>
              <w:spacing w:line="400" w:lineRule="exact"/>
              <w:ind w:firstLine="422" w:firstLineChars="200"/>
              <w:rPr>
                <w:rFonts w:ascii="Cambria" w:hAnsi="Cambria"/>
                <w:b/>
                <w:bCs/>
                <w:kern w:val="0"/>
                <w:szCs w:val="32"/>
              </w:rPr>
            </w:pPr>
            <w:r>
              <w:rPr>
                <w:rFonts w:hint="eastAsia" w:ascii="Cambria" w:hAnsi="Cambria"/>
                <w:b/>
                <w:bCs/>
                <w:kern w:val="0"/>
                <w:szCs w:val="32"/>
              </w:rPr>
              <w:t>公司在卫星检测及监测方面具备独有技术，本次受邀在文昌国际航天城投建子公司，有望受益于航天产业集群的建设，发挥公司在相关业务领域的竞争力，释放成长新动能，进一步增强公司的综合实力。</w:t>
            </w:r>
          </w:p>
          <w:p>
            <w:pPr>
              <w:spacing w:line="400" w:lineRule="exact"/>
              <w:ind w:firstLine="422" w:firstLineChars="200"/>
              <w:rPr>
                <w:rFonts w:ascii="Cambria" w:hAnsi="Cambria"/>
                <w:b/>
                <w:bCs/>
                <w:kern w:val="0"/>
                <w:szCs w:val="32"/>
              </w:rPr>
            </w:pPr>
          </w:p>
          <w:p>
            <w:pPr>
              <w:widowControl/>
              <w:jc w:val="left"/>
              <w:rPr>
                <w:rFonts w:ascii="Cambria" w:hAnsi="Cambria"/>
                <w:b/>
                <w:bCs/>
                <w:kern w:val="0"/>
                <w:szCs w:val="32"/>
              </w:rPr>
            </w:pPr>
            <w:r>
              <w:rPr>
                <w:rFonts w:hint="eastAsia" w:ascii="Cambria" w:hAnsi="Cambria"/>
                <w:b/>
                <w:bCs/>
                <w:kern w:val="0"/>
                <w:szCs w:val="32"/>
              </w:rPr>
              <w:t>问：</w:t>
            </w:r>
            <w:bookmarkEnd w:id="1"/>
            <w:r>
              <w:rPr>
                <w:rFonts w:hint="eastAsia" w:ascii="Cambria" w:hAnsi="Cambria"/>
                <w:b/>
                <w:bCs/>
                <w:kern w:val="0"/>
                <w:szCs w:val="32"/>
              </w:rPr>
              <w:t>公司在文昌航天城投建子公司，未来会开展哪些与航天产品相关的业务？</w:t>
            </w:r>
          </w:p>
          <w:p>
            <w:pPr>
              <w:pStyle w:val="2"/>
              <w:spacing w:before="0" w:after="0" w:line="440" w:lineRule="exact"/>
            </w:pPr>
            <w:r>
              <w:rPr>
                <w:rFonts w:hint="eastAsia"/>
              </w:rPr>
              <w:t>答：公司将在文昌国际航天城建设国内领先、国际一流的航天产品可靠性技术中心、原材料理化分析中心、环境可靠性试验中心、电磁兼容（EMC）试验中心、软件可靠性测评中心等，为“箭”“星”及配套产品提供本地化、一体化，高效率、低成本的可靠性检测解决方案。</w:t>
            </w:r>
          </w:p>
          <w:p>
            <w:pPr>
              <w:spacing w:line="400" w:lineRule="exact"/>
            </w:pPr>
          </w:p>
          <w:p>
            <w:pPr>
              <w:spacing w:line="400" w:lineRule="exact"/>
              <w:rPr>
                <w:rFonts w:ascii="Cambria" w:hAnsi="Cambria"/>
                <w:b/>
                <w:bCs/>
                <w:kern w:val="0"/>
                <w:szCs w:val="32"/>
              </w:rPr>
            </w:pPr>
            <w:r>
              <w:rPr>
                <w:rFonts w:hint="eastAsia" w:ascii="Cambria" w:hAnsi="Cambria"/>
                <w:b/>
                <w:bCs/>
                <w:kern w:val="0"/>
                <w:szCs w:val="32"/>
              </w:rPr>
              <w:t>问：</w:t>
            </w:r>
            <w:r>
              <w:rPr>
                <w:rFonts w:hint="eastAsia" w:ascii="Cambria" w:hAnsi="Cambria"/>
                <w:b/>
                <w:bCs/>
                <w:kern w:val="0"/>
                <w:szCs w:val="32"/>
              </w:rPr>
              <w:t>关注到公司近期在低轨卫星相关领域取得了不错的进展，这次更是通过子公司的形式进驻航天城，想问下公司在低轨卫星检测领域具备哪些竞争优势？</w:t>
            </w:r>
          </w:p>
          <w:p>
            <w:pPr>
              <w:pStyle w:val="2"/>
              <w:spacing w:before="0" w:after="0" w:line="440" w:lineRule="exact"/>
            </w:pPr>
            <w:r>
              <w:rPr>
                <w:rFonts w:hint="eastAsia"/>
              </w:rPr>
              <w:t>答：在卫星检测方面，公司可提供卫星用数字信号处理相关元器件组件、微波射频T/R组件以及各类传感器等的检测服务。公司的核心竞争力，在于检测能力、检测效率等方面具备一定优势。</w:t>
            </w:r>
          </w:p>
          <w:p>
            <w:pPr>
              <w:pStyle w:val="2"/>
              <w:spacing w:before="0" w:after="0" w:line="440" w:lineRule="exact"/>
            </w:pPr>
          </w:p>
          <w:p>
            <w:pPr>
              <w:widowControl/>
              <w:jc w:val="left"/>
              <w:rPr>
                <w:rFonts w:ascii="Cambria" w:hAnsi="Cambria"/>
                <w:b/>
                <w:bCs/>
                <w:kern w:val="0"/>
                <w:szCs w:val="32"/>
              </w:rPr>
            </w:pPr>
            <w:r>
              <w:rPr>
                <w:rFonts w:hint="eastAsia" w:ascii="Cambria" w:hAnsi="Cambria"/>
                <w:b/>
                <w:bCs/>
                <w:kern w:val="0"/>
                <w:szCs w:val="32"/>
              </w:rPr>
              <w:t>问：政府及各界高度关注海南文昌航天城及卫星行业的发展，请问公司选择将子公司入驻海南文昌航天城后有什么进一步打算？</w:t>
            </w:r>
          </w:p>
          <w:p>
            <w:pPr>
              <w:spacing w:line="400" w:lineRule="exact"/>
              <w:ind w:firstLine="422" w:firstLineChars="200"/>
              <w:rPr>
                <w:rFonts w:ascii="Cambria" w:hAnsi="Cambria"/>
                <w:b/>
                <w:bCs/>
                <w:kern w:val="0"/>
                <w:szCs w:val="32"/>
              </w:rPr>
            </w:pPr>
            <w:r>
              <w:rPr>
                <w:rFonts w:hint="eastAsia" w:ascii="Cambria" w:hAnsi="Cambria"/>
                <w:b/>
                <w:bCs/>
                <w:kern w:val="0"/>
                <w:szCs w:val="32"/>
              </w:rPr>
              <w:t>答：作为一家专注军用电子元器件可靠性检测企业，思科瑞高度关注国家动态，支持国家航天事业。在航天强国的主旨下，我们新设全资子公司海南国星飞测科技有限公司覆盖卫星检测领域，加强公司在卫星相关产业的检测能力,完善卫星互联互通产业布局。除此之外，我们也希望能与更多海南文昌当地的卫星制造公司合作，实施构建新型航天领域发展平台，共同推进航天事业发展。</w:t>
            </w:r>
          </w:p>
          <w:p/>
          <w:p/>
          <w:p>
            <w:pPr>
              <w:pStyle w:val="2"/>
              <w:spacing w:before="0" w:after="0"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pPr>
              <w:spacing w:line="360" w:lineRule="auto"/>
              <w:rPr>
                <w:rFonts w:ascii="宋体" w:hAnsi="宋体" w:eastAsia="宋体" w:cs="Times New Roman"/>
                <w:bCs/>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hint="eastAsia" w:ascii="宋体" w:hAnsi="宋体" w:eastAsia="宋体" w:cs="Times New Roman"/>
                <w:b/>
                <w:bCs/>
                <w:iCs/>
                <w:sz w:val="24"/>
                <w:szCs w:val="24"/>
                <w:lang w:val="en-US" w:eastAsia="zh-CN"/>
              </w:rPr>
            </w:pPr>
            <w:r>
              <w:rPr>
                <w:rFonts w:hint="eastAsia" w:ascii="宋体" w:hAnsi="宋体" w:eastAsia="宋体" w:cs="Times New Roman"/>
                <w:b/>
                <w:bCs/>
                <w:iCs/>
                <w:sz w:val="24"/>
                <w:szCs w:val="24"/>
                <w:lang w:val="en-US" w:eastAsia="zh-CN"/>
              </w:rPr>
              <w:t>说明</w:t>
            </w:r>
          </w:p>
        </w:tc>
        <w:tc>
          <w:tcPr>
            <w:tcW w:w="5812" w:type="dxa"/>
            <w:shd w:val="clear" w:color="auto" w:fill="auto"/>
          </w:tcPr>
          <w:p>
            <w:pPr>
              <w:spacing w:line="360" w:lineRule="auto"/>
              <w:rPr>
                <w:rFonts w:hint="eastAsia" w:ascii="宋体" w:hAnsi="宋体" w:eastAsia="微软雅黑" w:cs="Times New Roman"/>
                <w:bCs/>
                <w:iCs/>
                <w:sz w:val="24"/>
                <w:szCs w:val="24"/>
                <w:lang w:eastAsia="zh-CN"/>
              </w:rPr>
            </w:pPr>
            <w:r>
              <w:rPr>
                <w:rFonts w:hint="eastAsia" w:ascii="宋体" w:hAnsi="宋体" w:eastAsia="宋体" w:cs="Times New Roman"/>
                <w:iCs/>
                <w:sz w:val="24"/>
                <w:szCs w:val="24"/>
              </w:rPr>
              <w:t>公司与投资者进行了充分的交流与沟通，并严格按照公司《信息披露管理制度》等规定，保证信息披露的真实、准确、完整、及时、公平，没有出现未公开重大信息披露等情况</w:t>
            </w:r>
            <w:r>
              <w:rPr>
                <w:rFonts w:hint="eastAsia" w:ascii="宋体" w:hAnsi="宋体" w:eastAsia="宋体" w:cs="Times New Roman"/>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2023年11月 29日/2023年11月30日</w:t>
            </w:r>
          </w:p>
        </w:tc>
      </w:tr>
    </w:tbl>
    <w:p>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ODc4N2E3YmQ1ZGM4N2ExNDliMmQ3NzNkOGRkNW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F636849"/>
    <w:rsid w:val="236164F1"/>
    <w:rsid w:val="27C525A2"/>
    <w:rsid w:val="28194487"/>
    <w:rsid w:val="2D1904D8"/>
    <w:rsid w:val="2F064DB0"/>
    <w:rsid w:val="2FA3416A"/>
    <w:rsid w:val="32242D99"/>
    <w:rsid w:val="3A59760D"/>
    <w:rsid w:val="467F0394"/>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outlineLvl w:val="1"/>
    </w:pPr>
    <w:rPr>
      <w:rFonts w:ascii="Cambria" w:hAnsi="Cambria"/>
      <w:b/>
      <w:bCs/>
      <w:kern w:val="0"/>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kern w:val="2"/>
      <w:sz w:val="18"/>
      <w:szCs w:val="18"/>
    </w:rPr>
  </w:style>
  <w:style w:type="character" w:customStyle="1" w:styleId="13">
    <w:name w:val="页脚 字符"/>
    <w:basedOn w:val="10"/>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3"/>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datastoreItem>
</file>

<file path=docProps/app.xml><?xml version="1.0" encoding="utf-8"?>
<Properties xmlns="http://schemas.openxmlformats.org/officeDocument/2006/extended-properties" xmlns:vt="http://schemas.openxmlformats.org/officeDocument/2006/docPropsVTypes">
  <Template>Normal</Template>
  <Pages>4</Pages>
  <Words>344</Words>
  <Characters>1963</Characters>
  <Lines>16</Lines>
  <Paragraphs>4</Paragraphs>
  <TotalTime>2</TotalTime>
  <ScaleCrop>false</ScaleCrop>
  <LinksUpToDate>false</LinksUpToDate>
  <CharactersWithSpaces>2303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2023-11-30T08:59:00Z</dcterms:created>
  <dc:creator>Li Xiang</dc:creator>
  <cp:lastModifiedBy>LH</cp:lastModifiedBy>
  <dcterms:modified xsi:type="dcterms:W3CDTF">2023-12-01T06:56:48Z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C3247E7533BC4F6E8BDFE8041F8A51D1</vt:lpwstr>
  </property>
</Properties>
</file>