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1600" w14:textId="77777777" w:rsidR="001D29E9" w:rsidRDefault="001D29E9" w:rsidP="00BF6DE3">
      <w:pPr>
        <w:spacing w:line="360" w:lineRule="auto"/>
        <w:rPr>
          <w:rFonts w:ascii="宋体" w:eastAsia="宋体" w:hAnsi="宋体"/>
          <w:sz w:val="24"/>
          <w:szCs w:val="24"/>
        </w:rPr>
      </w:pPr>
      <w:r w:rsidRPr="009B567B">
        <w:rPr>
          <w:rFonts w:ascii="宋体" w:eastAsia="宋体" w:hAnsi="宋体"/>
          <w:sz w:val="24"/>
          <w:szCs w:val="24"/>
        </w:rPr>
        <w:t xml:space="preserve">证券代码：603883                                    </w:t>
      </w:r>
      <w:r>
        <w:rPr>
          <w:rFonts w:ascii="宋体" w:eastAsia="宋体" w:hAnsi="宋体"/>
          <w:sz w:val="24"/>
          <w:szCs w:val="24"/>
        </w:rPr>
        <w:t xml:space="preserve"> </w:t>
      </w:r>
      <w:r w:rsidRPr="009B567B">
        <w:rPr>
          <w:rFonts w:ascii="宋体" w:eastAsia="宋体" w:hAnsi="宋体"/>
          <w:sz w:val="24"/>
          <w:szCs w:val="24"/>
        </w:rPr>
        <w:t>证券简称：老百姓</w:t>
      </w:r>
    </w:p>
    <w:p w14:paraId="09B3E6C1" w14:textId="77777777" w:rsidR="001D29E9" w:rsidRDefault="001D29E9" w:rsidP="00BF6DE3">
      <w:pPr>
        <w:spacing w:line="360" w:lineRule="auto"/>
        <w:rPr>
          <w:rFonts w:ascii="宋体" w:eastAsia="宋体" w:hAnsi="宋体"/>
          <w:sz w:val="24"/>
          <w:szCs w:val="24"/>
        </w:rPr>
      </w:pPr>
    </w:p>
    <w:p w14:paraId="11D7C327" w14:textId="7BF28FE2" w:rsidR="001D29E9" w:rsidRDefault="005C382F" w:rsidP="00BF6DE3">
      <w:pPr>
        <w:spacing w:line="360" w:lineRule="auto"/>
        <w:jc w:val="center"/>
        <w:rPr>
          <w:rFonts w:ascii="宋体" w:eastAsia="宋体" w:hAnsi="宋体"/>
          <w:b/>
          <w:bCs/>
          <w:sz w:val="28"/>
          <w:szCs w:val="32"/>
        </w:rPr>
      </w:pPr>
      <w:r w:rsidRPr="005C382F">
        <w:rPr>
          <w:rFonts w:ascii="宋体" w:eastAsia="宋体" w:hAnsi="宋体" w:hint="eastAsia"/>
          <w:b/>
          <w:bCs/>
          <w:sz w:val="28"/>
          <w:szCs w:val="32"/>
        </w:rPr>
        <w:t>老百姓大药房连锁股份有限公司</w:t>
      </w:r>
    </w:p>
    <w:p w14:paraId="062C8E42" w14:textId="342E4396" w:rsidR="00BF5DE6" w:rsidRDefault="00BF5DE6" w:rsidP="00BF6DE3">
      <w:pPr>
        <w:spacing w:line="360" w:lineRule="auto"/>
        <w:jc w:val="center"/>
        <w:rPr>
          <w:rFonts w:ascii="宋体" w:eastAsia="宋体" w:hAnsi="宋体"/>
          <w:b/>
          <w:bCs/>
          <w:sz w:val="28"/>
          <w:szCs w:val="32"/>
        </w:rPr>
      </w:pPr>
      <w:r>
        <w:rPr>
          <w:rFonts w:ascii="宋体" w:eastAsia="宋体" w:hAnsi="宋体" w:hint="eastAsia"/>
          <w:b/>
          <w:bCs/>
          <w:sz w:val="28"/>
          <w:szCs w:val="32"/>
        </w:rPr>
        <w:t>机构投资者交流活动会议纪要（2</w:t>
      </w:r>
      <w:r>
        <w:rPr>
          <w:rFonts w:ascii="宋体" w:eastAsia="宋体" w:hAnsi="宋体"/>
          <w:b/>
          <w:bCs/>
          <w:sz w:val="28"/>
          <w:szCs w:val="32"/>
        </w:rPr>
        <w:t>023.</w:t>
      </w:r>
      <w:r w:rsidR="00967BF0">
        <w:rPr>
          <w:rFonts w:ascii="宋体" w:eastAsia="宋体" w:hAnsi="宋体"/>
          <w:b/>
          <w:bCs/>
          <w:sz w:val="28"/>
          <w:szCs w:val="32"/>
        </w:rPr>
        <w:t>11</w:t>
      </w:r>
      <w:r>
        <w:rPr>
          <w:rFonts w:ascii="宋体" w:eastAsia="宋体" w:hAnsi="宋体" w:hint="eastAsia"/>
          <w:b/>
          <w:bCs/>
          <w:sz w:val="28"/>
          <w:szCs w:val="32"/>
        </w:rPr>
        <w:t>）</w:t>
      </w:r>
    </w:p>
    <w:p w14:paraId="1D6670A8" w14:textId="77777777" w:rsidR="001D29E9" w:rsidRPr="00FD493D" w:rsidRDefault="001D29E9" w:rsidP="00BF6DE3">
      <w:pPr>
        <w:spacing w:line="360" w:lineRule="auto"/>
        <w:rPr>
          <w:rFonts w:ascii="宋体" w:eastAsia="宋体" w:hAnsi="宋体"/>
          <w:b/>
          <w:bCs/>
          <w:sz w:val="28"/>
          <w:szCs w:val="28"/>
        </w:rPr>
      </w:pPr>
      <w:r w:rsidRPr="00FD493D">
        <w:rPr>
          <w:rFonts w:ascii="宋体" w:eastAsia="宋体" w:hAnsi="宋体" w:hint="eastAsia"/>
          <w:b/>
          <w:bCs/>
          <w:sz w:val="28"/>
          <w:szCs w:val="28"/>
        </w:rPr>
        <w:t>一、会议情况</w:t>
      </w:r>
      <w:r w:rsidRPr="00FD493D">
        <w:rPr>
          <w:rFonts w:ascii="宋体" w:eastAsia="宋体" w:hAnsi="宋体"/>
          <w:b/>
          <w:bCs/>
          <w:sz w:val="28"/>
          <w:szCs w:val="28"/>
        </w:rPr>
        <w:t xml:space="preserve"> </w:t>
      </w:r>
    </w:p>
    <w:p w14:paraId="61962AFA" w14:textId="46505531" w:rsidR="001D29E9" w:rsidRPr="00FD493D" w:rsidRDefault="001D29E9" w:rsidP="00BF6DE3">
      <w:pPr>
        <w:spacing w:line="360" w:lineRule="auto"/>
        <w:rPr>
          <w:rFonts w:ascii="宋体" w:eastAsia="宋体" w:hAnsi="宋体"/>
          <w:sz w:val="24"/>
          <w:szCs w:val="24"/>
        </w:rPr>
      </w:pPr>
      <w:r w:rsidRPr="00FD493D">
        <w:rPr>
          <w:rFonts w:ascii="宋体" w:eastAsia="宋体" w:hAnsi="宋体" w:hint="eastAsia"/>
          <w:b/>
          <w:bCs/>
          <w:sz w:val="24"/>
          <w:szCs w:val="24"/>
        </w:rPr>
        <w:t>（</w:t>
      </w:r>
      <w:r w:rsidR="00C9419C">
        <w:rPr>
          <w:rFonts w:ascii="宋体" w:eastAsia="宋体" w:hAnsi="宋体" w:hint="eastAsia"/>
          <w:b/>
          <w:bCs/>
          <w:sz w:val="24"/>
          <w:szCs w:val="24"/>
        </w:rPr>
        <w:t>一</w:t>
      </w:r>
      <w:r w:rsidRPr="00FD493D">
        <w:rPr>
          <w:rFonts w:ascii="宋体" w:eastAsia="宋体" w:hAnsi="宋体" w:hint="eastAsia"/>
          <w:b/>
          <w:bCs/>
          <w:sz w:val="24"/>
          <w:szCs w:val="24"/>
        </w:rPr>
        <w:t>）会议时间：</w:t>
      </w:r>
      <w:r w:rsidR="00061099" w:rsidRPr="00FD493D">
        <w:rPr>
          <w:rFonts w:ascii="宋体" w:eastAsia="宋体" w:hAnsi="宋体"/>
          <w:sz w:val="24"/>
          <w:szCs w:val="24"/>
        </w:rPr>
        <w:t>202</w:t>
      </w:r>
      <w:r w:rsidR="00061099">
        <w:rPr>
          <w:rFonts w:ascii="宋体" w:eastAsia="宋体" w:hAnsi="宋体"/>
          <w:sz w:val="24"/>
          <w:szCs w:val="24"/>
        </w:rPr>
        <w:t>3</w:t>
      </w:r>
      <w:r w:rsidRPr="00FD493D">
        <w:rPr>
          <w:rFonts w:ascii="宋体" w:eastAsia="宋体" w:hAnsi="宋体"/>
          <w:sz w:val="24"/>
          <w:szCs w:val="24"/>
        </w:rPr>
        <w:t>年</w:t>
      </w:r>
      <w:r w:rsidR="00967BF0">
        <w:rPr>
          <w:rFonts w:ascii="宋体" w:eastAsia="宋体" w:hAnsi="宋体"/>
          <w:sz w:val="24"/>
          <w:szCs w:val="24"/>
        </w:rPr>
        <w:t>11</w:t>
      </w:r>
      <w:r w:rsidRPr="00FD493D">
        <w:rPr>
          <w:rFonts w:ascii="宋体" w:eastAsia="宋体" w:hAnsi="宋体"/>
          <w:sz w:val="24"/>
          <w:szCs w:val="24"/>
        </w:rPr>
        <w:t>月</w:t>
      </w:r>
      <w:r w:rsidR="00BF5DE6">
        <w:rPr>
          <w:rFonts w:ascii="宋体" w:eastAsia="宋体" w:hAnsi="宋体" w:hint="eastAsia"/>
          <w:sz w:val="24"/>
          <w:szCs w:val="24"/>
        </w:rPr>
        <w:t>份</w:t>
      </w:r>
    </w:p>
    <w:p w14:paraId="4290B456" w14:textId="689C0C15" w:rsidR="00F34AA8" w:rsidRDefault="001D29E9" w:rsidP="00BF6DE3">
      <w:pPr>
        <w:spacing w:line="360" w:lineRule="auto"/>
        <w:rPr>
          <w:rFonts w:ascii="宋体" w:eastAsia="宋体" w:hAnsi="宋体"/>
          <w:sz w:val="24"/>
          <w:szCs w:val="24"/>
        </w:rPr>
      </w:pPr>
      <w:r w:rsidRPr="00FD493D">
        <w:rPr>
          <w:rFonts w:ascii="宋体" w:eastAsia="宋体" w:hAnsi="宋体" w:hint="eastAsia"/>
          <w:b/>
          <w:bCs/>
          <w:sz w:val="24"/>
          <w:szCs w:val="24"/>
        </w:rPr>
        <w:t>（</w:t>
      </w:r>
      <w:r w:rsidR="0019779E">
        <w:rPr>
          <w:rFonts w:ascii="宋体" w:eastAsia="宋体" w:hAnsi="宋体" w:hint="eastAsia"/>
          <w:b/>
          <w:bCs/>
          <w:sz w:val="24"/>
          <w:szCs w:val="24"/>
        </w:rPr>
        <w:t>二</w:t>
      </w:r>
      <w:r w:rsidRPr="00FD493D">
        <w:rPr>
          <w:rFonts w:ascii="宋体" w:eastAsia="宋体" w:hAnsi="宋体" w:hint="eastAsia"/>
          <w:b/>
          <w:bCs/>
          <w:sz w:val="24"/>
          <w:szCs w:val="24"/>
        </w:rPr>
        <w:t>）会议形式：</w:t>
      </w:r>
      <w:r w:rsidR="00F34AA8">
        <w:rPr>
          <w:rFonts w:ascii="宋体" w:eastAsia="宋体" w:hAnsi="宋体" w:hint="eastAsia"/>
          <w:sz w:val="24"/>
          <w:szCs w:val="24"/>
        </w:rPr>
        <w:t>现场</w:t>
      </w:r>
      <w:r w:rsidR="00967BF0">
        <w:rPr>
          <w:rFonts w:ascii="宋体" w:eastAsia="宋体" w:hAnsi="宋体" w:hint="eastAsia"/>
          <w:sz w:val="24"/>
          <w:szCs w:val="24"/>
        </w:rPr>
        <w:t>/线上</w:t>
      </w:r>
      <w:r w:rsidRPr="00FD493D">
        <w:rPr>
          <w:rFonts w:ascii="宋体" w:eastAsia="宋体" w:hAnsi="宋体" w:hint="eastAsia"/>
          <w:sz w:val="24"/>
          <w:szCs w:val="24"/>
        </w:rPr>
        <w:t>会议</w:t>
      </w:r>
    </w:p>
    <w:p w14:paraId="5E366216" w14:textId="16CA07D6" w:rsidR="00F34AA8" w:rsidRPr="00F34AA8" w:rsidRDefault="00F34AA8" w:rsidP="00BF6DE3">
      <w:pPr>
        <w:spacing w:line="360" w:lineRule="auto"/>
        <w:rPr>
          <w:rFonts w:ascii="宋体" w:eastAsia="宋体" w:hAnsi="宋体"/>
          <w:b/>
          <w:bCs/>
          <w:sz w:val="24"/>
          <w:szCs w:val="24"/>
        </w:rPr>
      </w:pPr>
      <w:r w:rsidRPr="00F34AA8">
        <w:rPr>
          <w:rFonts w:ascii="宋体" w:eastAsia="宋体" w:hAnsi="宋体" w:hint="eastAsia"/>
          <w:b/>
          <w:bCs/>
          <w:sz w:val="24"/>
          <w:szCs w:val="24"/>
        </w:rPr>
        <w:t>（三）会议地点：公司会议室</w:t>
      </w:r>
      <w:r w:rsidR="00043451">
        <w:rPr>
          <w:rFonts w:ascii="宋体" w:eastAsia="宋体" w:hAnsi="宋体" w:hint="eastAsia"/>
          <w:b/>
          <w:bCs/>
          <w:sz w:val="24"/>
          <w:szCs w:val="24"/>
        </w:rPr>
        <w:t>/线上会议</w:t>
      </w:r>
    </w:p>
    <w:p w14:paraId="196F5344" w14:textId="2FF68283" w:rsidR="001D29E9" w:rsidRPr="00FD493D" w:rsidRDefault="001D29E9" w:rsidP="00BF6DE3">
      <w:pPr>
        <w:spacing w:line="360" w:lineRule="auto"/>
        <w:rPr>
          <w:rFonts w:ascii="宋体" w:eastAsia="宋体" w:hAnsi="宋体"/>
          <w:b/>
          <w:bCs/>
          <w:sz w:val="24"/>
          <w:szCs w:val="24"/>
        </w:rPr>
      </w:pPr>
      <w:r w:rsidRPr="00FD493D">
        <w:rPr>
          <w:rFonts w:ascii="宋体" w:eastAsia="宋体" w:hAnsi="宋体" w:hint="eastAsia"/>
          <w:b/>
          <w:bCs/>
          <w:sz w:val="24"/>
          <w:szCs w:val="24"/>
        </w:rPr>
        <w:t>（</w:t>
      </w:r>
      <w:r w:rsidR="00F34AA8">
        <w:rPr>
          <w:rFonts w:ascii="宋体" w:eastAsia="宋体" w:hAnsi="宋体" w:hint="eastAsia"/>
          <w:b/>
          <w:bCs/>
          <w:sz w:val="24"/>
          <w:szCs w:val="24"/>
        </w:rPr>
        <w:t>四</w:t>
      </w:r>
      <w:r w:rsidRPr="00FD493D">
        <w:rPr>
          <w:rFonts w:ascii="宋体" w:eastAsia="宋体" w:hAnsi="宋体" w:hint="eastAsia"/>
          <w:b/>
          <w:bCs/>
          <w:sz w:val="24"/>
          <w:szCs w:val="24"/>
        </w:rPr>
        <w:t>）参会人员：</w:t>
      </w:r>
      <w:r w:rsidRPr="00FD493D">
        <w:rPr>
          <w:rFonts w:ascii="宋体" w:eastAsia="宋体" w:hAnsi="宋体"/>
          <w:b/>
          <w:bCs/>
          <w:sz w:val="24"/>
          <w:szCs w:val="24"/>
        </w:rPr>
        <w:t xml:space="preserve"> </w:t>
      </w:r>
    </w:p>
    <w:p w14:paraId="5EDA173E" w14:textId="77777777" w:rsidR="001D29E9" w:rsidRPr="00FD493D" w:rsidRDefault="001D29E9" w:rsidP="00BF6DE3">
      <w:pPr>
        <w:spacing w:line="360" w:lineRule="auto"/>
        <w:rPr>
          <w:rFonts w:ascii="宋体" w:eastAsia="宋体" w:hAnsi="宋体"/>
          <w:b/>
          <w:bCs/>
          <w:sz w:val="24"/>
          <w:szCs w:val="24"/>
        </w:rPr>
      </w:pPr>
      <w:r w:rsidRPr="00FD493D">
        <w:rPr>
          <w:rFonts w:ascii="宋体" w:eastAsia="宋体" w:hAnsi="宋体"/>
          <w:b/>
          <w:bCs/>
          <w:sz w:val="24"/>
          <w:szCs w:val="24"/>
        </w:rPr>
        <w:t xml:space="preserve">1.公司参会人员： </w:t>
      </w:r>
    </w:p>
    <w:p w14:paraId="5A8F768F" w14:textId="06FDACE6" w:rsidR="00CA3823" w:rsidRDefault="00C9419C" w:rsidP="00BF6DE3">
      <w:pPr>
        <w:spacing w:line="360" w:lineRule="auto"/>
        <w:rPr>
          <w:rFonts w:ascii="宋体" w:eastAsia="宋体" w:hAnsi="宋体"/>
          <w:sz w:val="24"/>
          <w:szCs w:val="24"/>
        </w:rPr>
      </w:pPr>
      <w:r>
        <w:rPr>
          <w:rFonts w:ascii="宋体" w:eastAsia="宋体" w:hAnsi="宋体" w:hint="eastAsia"/>
          <w:sz w:val="24"/>
          <w:szCs w:val="24"/>
        </w:rPr>
        <w:t>董事会秘书</w:t>
      </w:r>
      <w:r w:rsidR="001D29E9" w:rsidRPr="00FD493D">
        <w:rPr>
          <w:rFonts w:ascii="宋体" w:eastAsia="宋体" w:hAnsi="宋体"/>
          <w:sz w:val="24"/>
          <w:szCs w:val="24"/>
        </w:rPr>
        <w:t xml:space="preserve"> 冯诗倪</w:t>
      </w:r>
    </w:p>
    <w:p w14:paraId="69513CE9" w14:textId="5E6C0A9A" w:rsidR="00800AEE" w:rsidRDefault="00800AEE" w:rsidP="00BF6DE3">
      <w:pPr>
        <w:spacing w:line="360" w:lineRule="auto"/>
        <w:rPr>
          <w:rFonts w:ascii="宋体" w:eastAsia="宋体" w:hAnsi="宋体"/>
          <w:sz w:val="24"/>
          <w:szCs w:val="24"/>
        </w:rPr>
      </w:pPr>
      <w:r>
        <w:rPr>
          <w:rFonts w:ascii="宋体" w:eastAsia="宋体" w:hAnsi="宋体" w:hint="eastAsia"/>
          <w:sz w:val="24"/>
          <w:szCs w:val="24"/>
        </w:rPr>
        <w:t>证券事务代表 刘</w:t>
      </w:r>
      <w:r w:rsidR="00AD5EF2">
        <w:rPr>
          <w:rFonts w:ascii="宋体" w:eastAsia="宋体" w:hAnsi="宋体" w:hint="eastAsia"/>
          <w:sz w:val="24"/>
          <w:szCs w:val="24"/>
        </w:rPr>
        <w:t>遐迩</w:t>
      </w:r>
    </w:p>
    <w:p w14:paraId="688A7E7B" w14:textId="40997FAE" w:rsidR="00F34AA8" w:rsidRDefault="00F34AA8" w:rsidP="00BF6DE3">
      <w:pPr>
        <w:spacing w:line="360" w:lineRule="auto"/>
        <w:rPr>
          <w:rFonts w:ascii="宋体" w:eastAsia="宋体" w:hAnsi="宋体"/>
          <w:sz w:val="24"/>
          <w:szCs w:val="24"/>
        </w:rPr>
      </w:pPr>
      <w:r>
        <w:rPr>
          <w:rFonts w:ascii="宋体" w:eastAsia="宋体" w:hAnsi="宋体" w:hint="eastAsia"/>
          <w:sz w:val="24"/>
          <w:szCs w:val="24"/>
        </w:rPr>
        <w:t>投资者关系经理 何林</w:t>
      </w:r>
      <w:proofErr w:type="gramStart"/>
      <w:r>
        <w:rPr>
          <w:rFonts w:ascii="宋体" w:eastAsia="宋体" w:hAnsi="宋体" w:hint="eastAsia"/>
          <w:sz w:val="24"/>
          <w:szCs w:val="24"/>
        </w:rPr>
        <w:t>峄</w:t>
      </w:r>
      <w:proofErr w:type="gramEnd"/>
    </w:p>
    <w:p w14:paraId="798EFE75" w14:textId="7BCE6A45" w:rsidR="001D29E9" w:rsidRDefault="001D29E9" w:rsidP="00BF6DE3">
      <w:pPr>
        <w:spacing w:line="360" w:lineRule="auto"/>
        <w:rPr>
          <w:rFonts w:ascii="宋体" w:eastAsia="宋体" w:hAnsi="宋体"/>
          <w:b/>
          <w:bCs/>
          <w:sz w:val="24"/>
          <w:szCs w:val="24"/>
        </w:rPr>
      </w:pPr>
      <w:r w:rsidRPr="00FD493D">
        <w:rPr>
          <w:rFonts w:ascii="宋体" w:eastAsia="宋体" w:hAnsi="宋体"/>
          <w:b/>
          <w:bCs/>
          <w:sz w:val="24"/>
          <w:szCs w:val="24"/>
        </w:rPr>
        <w:t xml:space="preserve">2.机构参会人员： </w:t>
      </w:r>
    </w:p>
    <w:p w14:paraId="124DE0E0" w14:textId="0073EAE0" w:rsidR="008E157E" w:rsidRPr="003220B0" w:rsidRDefault="00967BF0" w:rsidP="00967BF0">
      <w:pPr>
        <w:spacing w:line="360" w:lineRule="auto"/>
        <w:ind w:firstLine="39"/>
        <w:rPr>
          <w:rFonts w:ascii="宋体" w:eastAsia="宋体" w:hAnsi="宋体"/>
          <w:sz w:val="24"/>
          <w:szCs w:val="24"/>
        </w:rPr>
      </w:pPr>
      <w:r w:rsidRPr="00967BF0">
        <w:rPr>
          <w:rFonts w:ascii="宋体" w:eastAsia="宋体" w:hAnsi="宋体" w:hint="eastAsia"/>
          <w:sz w:val="24"/>
          <w:szCs w:val="24"/>
        </w:rPr>
        <w:t>中金公司</w:t>
      </w:r>
      <w:r>
        <w:rPr>
          <w:rFonts w:ascii="宋体" w:eastAsia="宋体" w:hAnsi="宋体" w:hint="eastAsia"/>
          <w:sz w:val="24"/>
          <w:szCs w:val="24"/>
        </w:rPr>
        <w:t>、</w:t>
      </w:r>
      <w:proofErr w:type="gramStart"/>
      <w:r w:rsidRPr="00967BF0">
        <w:rPr>
          <w:rFonts w:ascii="宋体" w:eastAsia="宋体" w:hAnsi="宋体" w:hint="eastAsia"/>
          <w:sz w:val="24"/>
          <w:szCs w:val="24"/>
        </w:rPr>
        <w:t>浙商证券</w:t>
      </w:r>
      <w:proofErr w:type="gramEnd"/>
      <w:r>
        <w:rPr>
          <w:rFonts w:ascii="宋体" w:eastAsia="宋体" w:hAnsi="宋体" w:hint="eastAsia"/>
          <w:sz w:val="24"/>
          <w:szCs w:val="24"/>
        </w:rPr>
        <w:t>、开源证券、</w:t>
      </w:r>
      <w:r w:rsidRPr="00967BF0">
        <w:rPr>
          <w:rFonts w:ascii="宋体" w:eastAsia="宋体" w:hAnsi="宋体" w:hint="eastAsia"/>
          <w:sz w:val="24"/>
          <w:szCs w:val="24"/>
        </w:rPr>
        <w:t>中信建投、大和证券</w:t>
      </w:r>
      <w:r>
        <w:rPr>
          <w:rFonts w:ascii="宋体" w:eastAsia="宋体" w:hAnsi="宋体" w:hint="eastAsia"/>
          <w:sz w:val="24"/>
          <w:szCs w:val="24"/>
        </w:rPr>
        <w:t>、</w:t>
      </w:r>
      <w:r w:rsidRPr="00967BF0">
        <w:rPr>
          <w:rFonts w:ascii="宋体" w:eastAsia="宋体" w:hAnsi="宋体" w:hint="eastAsia"/>
          <w:sz w:val="24"/>
          <w:szCs w:val="24"/>
        </w:rPr>
        <w:t>博时基金</w:t>
      </w:r>
      <w:r>
        <w:rPr>
          <w:rFonts w:ascii="宋体" w:eastAsia="宋体" w:hAnsi="宋体" w:hint="eastAsia"/>
          <w:sz w:val="24"/>
          <w:szCs w:val="24"/>
        </w:rPr>
        <w:t>、</w:t>
      </w:r>
      <w:r w:rsidRPr="00967BF0">
        <w:rPr>
          <w:rFonts w:ascii="宋体" w:eastAsia="宋体" w:hAnsi="宋体" w:hint="eastAsia"/>
          <w:sz w:val="24"/>
          <w:szCs w:val="24"/>
        </w:rPr>
        <w:t>嘉实基金</w:t>
      </w:r>
      <w:r>
        <w:rPr>
          <w:rFonts w:ascii="宋体" w:eastAsia="宋体" w:hAnsi="宋体" w:hint="eastAsia"/>
          <w:sz w:val="24"/>
          <w:szCs w:val="24"/>
        </w:rPr>
        <w:t>、</w:t>
      </w:r>
      <w:r w:rsidRPr="00967BF0">
        <w:rPr>
          <w:rFonts w:ascii="宋体" w:eastAsia="宋体" w:hAnsi="宋体" w:hint="eastAsia"/>
          <w:sz w:val="24"/>
          <w:szCs w:val="24"/>
        </w:rPr>
        <w:t>太平资产</w:t>
      </w:r>
      <w:r>
        <w:rPr>
          <w:rFonts w:ascii="宋体" w:eastAsia="宋体" w:hAnsi="宋体" w:hint="eastAsia"/>
          <w:sz w:val="24"/>
          <w:szCs w:val="24"/>
        </w:rPr>
        <w:t>、</w:t>
      </w:r>
      <w:r w:rsidRPr="00967BF0">
        <w:rPr>
          <w:rFonts w:ascii="宋体" w:eastAsia="宋体" w:hAnsi="宋体" w:hint="eastAsia"/>
          <w:sz w:val="24"/>
          <w:szCs w:val="24"/>
        </w:rPr>
        <w:t>农银汇理</w:t>
      </w:r>
      <w:r>
        <w:rPr>
          <w:rFonts w:ascii="宋体" w:eastAsia="宋体" w:hAnsi="宋体" w:hint="eastAsia"/>
          <w:sz w:val="24"/>
          <w:szCs w:val="24"/>
        </w:rPr>
        <w:t>、</w:t>
      </w:r>
      <w:proofErr w:type="gramStart"/>
      <w:r w:rsidRPr="00967BF0">
        <w:rPr>
          <w:rFonts w:ascii="宋体" w:eastAsia="宋体" w:hAnsi="宋体" w:hint="eastAsia"/>
          <w:sz w:val="24"/>
          <w:szCs w:val="24"/>
        </w:rPr>
        <w:t>晟</w:t>
      </w:r>
      <w:proofErr w:type="gramEnd"/>
      <w:r w:rsidRPr="00967BF0">
        <w:rPr>
          <w:rFonts w:ascii="宋体" w:eastAsia="宋体" w:hAnsi="宋体" w:hint="eastAsia"/>
          <w:sz w:val="24"/>
          <w:szCs w:val="24"/>
        </w:rPr>
        <w:t>盟资产</w:t>
      </w:r>
      <w:r>
        <w:rPr>
          <w:rFonts w:ascii="宋体" w:eastAsia="宋体" w:hAnsi="宋体" w:hint="eastAsia"/>
          <w:sz w:val="24"/>
          <w:szCs w:val="24"/>
        </w:rPr>
        <w:t>、</w:t>
      </w:r>
      <w:r w:rsidRPr="00967BF0">
        <w:rPr>
          <w:rFonts w:ascii="宋体" w:eastAsia="宋体" w:hAnsi="宋体" w:hint="eastAsia"/>
          <w:sz w:val="24"/>
          <w:szCs w:val="24"/>
        </w:rPr>
        <w:t>兴业证券自营</w:t>
      </w:r>
      <w:r>
        <w:rPr>
          <w:rFonts w:ascii="宋体" w:eastAsia="宋体" w:hAnsi="宋体" w:hint="eastAsia"/>
          <w:sz w:val="24"/>
          <w:szCs w:val="24"/>
        </w:rPr>
        <w:t>、</w:t>
      </w:r>
      <w:r w:rsidRPr="00967BF0">
        <w:rPr>
          <w:rFonts w:ascii="宋体" w:eastAsia="宋体" w:hAnsi="宋体" w:hint="eastAsia"/>
          <w:sz w:val="24"/>
          <w:szCs w:val="24"/>
        </w:rPr>
        <w:t>烜鼎资产</w:t>
      </w:r>
      <w:r>
        <w:rPr>
          <w:rFonts w:ascii="宋体" w:eastAsia="宋体" w:hAnsi="宋体" w:hint="eastAsia"/>
          <w:sz w:val="24"/>
          <w:szCs w:val="24"/>
        </w:rPr>
        <w:t>、</w:t>
      </w:r>
      <w:r w:rsidRPr="00967BF0">
        <w:rPr>
          <w:rFonts w:ascii="宋体" w:eastAsia="宋体" w:hAnsi="宋体" w:hint="eastAsia"/>
          <w:sz w:val="24"/>
          <w:szCs w:val="24"/>
        </w:rPr>
        <w:t>南京证券</w:t>
      </w:r>
      <w:r>
        <w:rPr>
          <w:rFonts w:ascii="宋体" w:eastAsia="宋体" w:hAnsi="宋体" w:hint="eastAsia"/>
          <w:sz w:val="24"/>
          <w:szCs w:val="24"/>
        </w:rPr>
        <w:t>、</w:t>
      </w:r>
      <w:r w:rsidRPr="00967BF0">
        <w:rPr>
          <w:rFonts w:ascii="宋体" w:eastAsia="宋体" w:hAnsi="宋体" w:hint="eastAsia"/>
          <w:sz w:val="24"/>
          <w:szCs w:val="24"/>
        </w:rPr>
        <w:t>光大保德信</w:t>
      </w:r>
      <w:r>
        <w:rPr>
          <w:rFonts w:ascii="宋体" w:eastAsia="宋体" w:hAnsi="宋体" w:hint="eastAsia"/>
          <w:sz w:val="24"/>
          <w:szCs w:val="24"/>
        </w:rPr>
        <w:t>、</w:t>
      </w:r>
      <w:proofErr w:type="gramStart"/>
      <w:r w:rsidRPr="00967BF0">
        <w:rPr>
          <w:rFonts w:ascii="宋体" w:eastAsia="宋体" w:hAnsi="宋体" w:hint="eastAsia"/>
          <w:sz w:val="24"/>
          <w:szCs w:val="24"/>
        </w:rPr>
        <w:t>域秀投资</w:t>
      </w:r>
      <w:proofErr w:type="gramEnd"/>
      <w:r>
        <w:rPr>
          <w:rFonts w:ascii="宋体" w:eastAsia="宋体" w:hAnsi="宋体" w:hint="eastAsia"/>
          <w:sz w:val="24"/>
          <w:szCs w:val="24"/>
        </w:rPr>
        <w:t>、</w:t>
      </w:r>
      <w:r w:rsidRPr="00967BF0">
        <w:rPr>
          <w:rFonts w:ascii="宋体" w:eastAsia="宋体" w:hAnsi="宋体" w:hint="eastAsia"/>
          <w:sz w:val="24"/>
          <w:szCs w:val="24"/>
        </w:rPr>
        <w:t>野村资管</w:t>
      </w:r>
      <w:r>
        <w:rPr>
          <w:rFonts w:ascii="宋体" w:eastAsia="宋体" w:hAnsi="宋体" w:hint="eastAsia"/>
          <w:sz w:val="24"/>
          <w:szCs w:val="24"/>
        </w:rPr>
        <w:t>、</w:t>
      </w:r>
      <w:proofErr w:type="gramStart"/>
      <w:r w:rsidRPr="00967BF0">
        <w:rPr>
          <w:rFonts w:ascii="宋体" w:eastAsia="宋体" w:hAnsi="宋体" w:hint="eastAsia"/>
          <w:sz w:val="24"/>
          <w:szCs w:val="24"/>
        </w:rPr>
        <w:t>健顺投资</w:t>
      </w:r>
      <w:proofErr w:type="gramEnd"/>
      <w:r>
        <w:rPr>
          <w:rFonts w:ascii="宋体" w:eastAsia="宋体" w:hAnsi="宋体" w:hint="eastAsia"/>
          <w:sz w:val="24"/>
          <w:szCs w:val="24"/>
        </w:rPr>
        <w:t>、</w:t>
      </w:r>
      <w:proofErr w:type="gramStart"/>
      <w:r w:rsidRPr="00967BF0">
        <w:rPr>
          <w:rFonts w:ascii="宋体" w:eastAsia="宋体" w:hAnsi="宋体" w:hint="eastAsia"/>
          <w:sz w:val="24"/>
          <w:szCs w:val="24"/>
        </w:rPr>
        <w:t>浙商资</w:t>
      </w:r>
      <w:proofErr w:type="gramEnd"/>
      <w:r w:rsidRPr="00967BF0">
        <w:rPr>
          <w:rFonts w:ascii="宋体" w:eastAsia="宋体" w:hAnsi="宋体" w:hint="eastAsia"/>
          <w:sz w:val="24"/>
          <w:szCs w:val="24"/>
        </w:rPr>
        <w:t>管</w:t>
      </w:r>
      <w:r>
        <w:rPr>
          <w:rFonts w:ascii="宋体" w:eastAsia="宋体" w:hAnsi="宋体" w:hint="eastAsia"/>
          <w:sz w:val="24"/>
          <w:szCs w:val="24"/>
        </w:rPr>
        <w:t>、天风证券、</w:t>
      </w:r>
      <w:r w:rsidRPr="00967BF0">
        <w:rPr>
          <w:rFonts w:ascii="宋体" w:eastAsia="宋体" w:hAnsi="宋体" w:hint="eastAsia"/>
          <w:sz w:val="24"/>
          <w:szCs w:val="24"/>
        </w:rPr>
        <w:t>国信证券资管</w:t>
      </w:r>
      <w:r>
        <w:rPr>
          <w:rFonts w:ascii="宋体" w:eastAsia="宋体" w:hAnsi="宋体" w:hint="eastAsia"/>
          <w:sz w:val="24"/>
          <w:szCs w:val="24"/>
        </w:rPr>
        <w:t>、</w:t>
      </w:r>
      <w:r w:rsidRPr="00967BF0">
        <w:rPr>
          <w:rFonts w:ascii="宋体" w:eastAsia="宋体" w:hAnsi="宋体" w:hint="eastAsia"/>
          <w:sz w:val="24"/>
          <w:szCs w:val="24"/>
        </w:rPr>
        <w:t>仙人掌资产</w:t>
      </w:r>
      <w:r>
        <w:rPr>
          <w:rFonts w:ascii="宋体" w:eastAsia="宋体" w:hAnsi="宋体" w:hint="eastAsia"/>
          <w:sz w:val="24"/>
          <w:szCs w:val="24"/>
        </w:rPr>
        <w:t>、</w:t>
      </w:r>
      <w:r w:rsidRPr="00967BF0">
        <w:rPr>
          <w:rFonts w:ascii="宋体" w:eastAsia="宋体" w:hAnsi="宋体" w:hint="eastAsia"/>
          <w:sz w:val="24"/>
          <w:szCs w:val="24"/>
        </w:rPr>
        <w:t>峰</w:t>
      </w:r>
      <w:proofErr w:type="gramStart"/>
      <w:r w:rsidRPr="00967BF0">
        <w:rPr>
          <w:rFonts w:ascii="宋体" w:eastAsia="宋体" w:hAnsi="宋体" w:hint="eastAsia"/>
          <w:sz w:val="24"/>
          <w:szCs w:val="24"/>
        </w:rPr>
        <w:t>岚</w:t>
      </w:r>
      <w:proofErr w:type="gramEnd"/>
      <w:r w:rsidRPr="00967BF0">
        <w:rPr>
          <w:rFonts w:ascii="宋体" w:eastAsia="宋体" w:hAnsi="宋体" w:hint="eastAsia"/>
          <w:sz w:val="24"/>
          <w:szCs w:val="24"/>
        </w:rPr>
        <w:t>资产</w:t>
      </w:r>
      <w:r>
        <w:rPr>
          <w:rFonts w:ascii="宋体" w:eastAsia="宋体" w:hAnsi="宋体" w:hint="eastAsia"/>
          <w:sz w:val="24"/>
          <w:szCs w:val="24"/>
        </w:rPr>
        <w:t>、</w:t>
      </w:r>
      <w:proofErr w:type="gramStart"/>
      <w:r w:rsidRPr="00967BF0">
        <w:rPr>
          <w:rFonts w:ascii="宋体" w:eastAsia="宋体" w:hAnsi="宋体" w:hint="eastAsia"/>
          <w:sz w:val="24"/>
          <w:szCs w:val="24"/>
        </w:rPr>
        <w:t>沐盟集团</w:t>
      </w:r>
      <w:proofErr w:type="gramEnd"/>
      <w:r>
        <w:rPr>
          <w:rFonts w:ascii="宋体" w:eastAsia="宋体" w:hAnsi="宋体" w:hint="eastAsia"/>
          <w:sz w:val="24"/>
          <w:szCs w:val="24"/>
        </w:rPr>
        <w:t>、</w:t>
      </w:r>
      <w:r w:rsidRPr="00967BF0">
        <w:rPr>
          <w:rFonts w:ascii="宋体" w:eastAsia="宋体" w:hAnsi="宋体" w:hint="eastAsia"/>
          <w:sz w:val="24"/>
          <w:szCs w:val="24"/>
        </w:rPr>
        <w:t>弥远投资</w:t>
      </w:r>
      <w:r>
        <w:rPr>
          <w:rFonts w:ascii="宋体" w:eastAsia="宋体" w:hAnsi="宋体" w:hint="eastAsia"/>
          <w:sz w:val="24"/>
          <w:szCs w:val="24"/>
        </w:rPr>
        <w:t>、</w:t>
      </w:r>
      <w:r w:rsidRPr="00967BF0">
        <w:rPr>
          <w:rFonts w:ascii="宋体" w:eastAsia="宋体" w:hAnsi="宋体" w:hint="eastAsia"/>
          <w:sz w:val="24"/>
          <w:szCs w:val="24"/>
        </w:rPr>
        <w:t>兴全基金</w:t>
      </w:r>
      <w:r>
        <w:rPr>
          <w:rFonts w:ascii="宋体" w:eastAsia="宋体" w:hAnsi="宋体" w:hint="eastAsia"/>
          <w:sz w:val="24"/>
          <w:szCs w:val="24"/>
        </w:rPr>
        <w:t>、</w:t>
      </w:r>
      <w:r w:rsidRPr="00967BF0">
        <w:rPr>
          <w:rFonts w:ascii="宋体" w:eastAsia="宋体" w:hAnsi="宋体" w:hint="eastAsia"/>
          <w:sz w:val="24"/>
          <w:szCs w:val="24"/>
        </w:rPr>
        <w:t>趣时投资</w:t>
      </w:r>
      <w:r>
        <w:rPr>
          <w:rFonts w:ascii="宋体" w:eastAsia="宋体" w:hAnsi="宋体" w:hint="eastAsia"/>
          <w:sz w:val="24"/>
          <w:szCs w:val="24"/>
        </w:rPr>
        <w:t>、</w:t>
      </w:r>
      <w:proofErr w:type="gramStart"/>
      <w:r w:rsidRPr="00967BF0">
        <w:rPr>
          <w:rFonts w:ascii="宋体" w:eastAsia="宋体" w:hAnsi="宋体" w:hint="eastAsia"/>
          <w:sz w:val="24"/>
          <w:szCs w:val="24"/>
        </w:rPr>
        <w:t>中信保诚</w:t>
      </w:r>
      <w:proofErr w:type="gramEnd"/>
      <w:r>
        <w:rPr>
          <w:rFonts w:ascii="宋体" w:eastAsia="宋体" w:hAnsi="宋体" w:hint="eastAsia"/>
          <w:sz w:val="24"/>
          <w:szCs w:val="24"/>
        </w:rPr>
        <w:t>、</w:t>
      </w:r>
      <w:r w:rsidRPr="00967BF0">
        <w:rPr>
          <w:rFonts w:ascii="宋体" w:eastAsia="宋体" w:hAnsi="宋体" w:hint="eastAsia"/>
          <w:sz w:val="24"/>
          <w:szCs w:val="24"/>
        </w:rPr>
        <w:t>万家基金</w:t>
      </w:r>
      <w:r>
        <w:rPr>
          <w:rFonts w:ascii="宋体" w:eastAsia="宋体" w:hAnsi="宋体" w:hint="eastAsia"/>
          <w:sz w:val="24"/>
          <w:szCs w:val="24"/>
        </w:rPr>
        <w:t>、</w:t>
      </w:r>
      <w:proofErr w:type="gramStart"/>
      <w:r w:rsidRPr="00967BF0">
        <w:rPr>
          <w:rFonts w:ascii="宋体" w:eastAsia="宋体" w:hAnsi="宋体" w:hint="eastAsia"/>
          <w:sz w:val="24"/>
          <w:szCs w:val="24"/>
        </w:rPr>
        <w:t>敦</w:t>
      </w:r>
      <w:proofErr w:type="gramEnd"/>
      <w:r w:rsidRPr="00967BF0">
        <w:rPr>
          <w:rFonts w:ascii="宋体" w:eastAsia="宋体" w:hAnsi="宋体" w:hint="eastAsia"/>
          <w:sz w:val="24"/>
          <w:szCs w:val="24"/>
        </w:rPr>
        <w:t>和</w:t>
      </w:r>
      <w:proofErr w:type="gramStart"/>
      <w:r w:rsidRPr="00967BF0">
        <w:rPr>
          <w:rFonts w:ascii="宋体" w:eastAsia="宋体" w:hAnsi="宋体" w:hint="eastAsia"/>
          <w:sz w:val="24"/>
          <w:szCs w:val="24"/>
        </w:rPr>
        <w:t>资管</w:t>
      </w:r>
      <w:proofErr w:type="gramEnd"/>
      <w:r>
        <w:rPr>
          <w:rFonts w:ascii="宋体" w:eastAsia="宋体" w:hAnsi="宋体" w:hint="eastAsia"/>
          <w:sz w:val="24"/>
          <w:szCs w:val="24"/>
        </w:rPr>
        <w:t>、</w:t>
      </w:r>
      <w:r w:rsidRPr="00967BF0">
        <w:rPr>
          <w:rFonts w:ascii="宋体" w:eastAsia="宋体" w:hAnsi="宋体" w:hint="eastAsia"/>
          <w:sz w:val="24"/>
          <w:szCs w:val="24"/>
        </w:rPr>
        <w:t>汇</w:t>
      </w:r>
      <w:proofErr w:type="gramStart"/>
      <w:r w:rsidRPr="00967BF0">
        <w:rPr>
          <w:rFonts w:ascii="宋体" w:eastAsia="宋体" w:hAnsi="宋体" w:hint="eastAsia"/>
          <w:sz w:val="24"/>
          <w:szCs w:val="24"/>
        </w:rPr>
        <w:t>丰晋信</w:t>
      </w:r>
      <w:proofErr w:type="gramEnd"/>
      <w:r>
        <w:rPr>
          <w:rFonts w:ascii="宋体" w:eastAsia="宋体" w:hAnsi="宋体" w:hint="eastAsia"/>
          <w:sz w:val="24"/>
          <w:szCs w:val="24"/>
        </w:rPr>
        <w:t>、</w:t>
      </w:r>
      <w:r w:rsidRPr="00967BF0">
        <w:rPr>
          <w:rFonts w:ascii="宋体" w:eastAsia="宋体" w:hAnsi="宋体" w:hint="eastAsia"/>
          <w:sz w:val="24"/>
          <w:szCs w:val="24"/>
        </w:rPr>
        <w:t>银河基金</w:t>
      </w:r>
      <w:r>
        <w:rPr>
          <w:rFonts w:ascii="宋体" w:eastAsia="宋体" w:hAnsi="宋体" w:hint="eastAsia"/>
          <w:sz w:val="24"/>
          <w:szCs w:val="24"/>
        </w:rPr>
        <w:t>、</w:t>
      </w:r>
      <w:r w:rsidRPr="00967BF0">
        <w:rPr>
          <w:rFonts w:ascii="宋体" w:eastAsia="宋体" w:hAnsi="宋体" w:hint="eastAsia"/>
          <w:sz w:val="24"/>
          <w:szCs w:val="24"/>
        </w:rPr>
        <w:t>中庸资产</w:t>
      </w:r>
      <w:r>
        <w:rPr>
          <w:rFonts w:ascii="宋体" w:eastAsia="宋体" w:hAnsi="宋体" w:hint="eastAsia"/>
          <w:sz w:val="24"/>
          <w:szCs w:val="24"/>
        </w:rPr>
        <w:t>、</w:t>
      </w:r>
      <w:proofErr w:type="gramStart"/>
      <w:r w:rsidRPr="00967BF0">
        <w:rPr>
          <w:rFonts w:ascii="宋体" w:eastAsia="宋体" w:hAnsi="宋体" w:hint="eastAsia"/>
          <w:sz w:val="24"/>
          <w:szCs w:val="24"/>
        </w:rPr>
        <w:t>乾图私募</w:t>
      </w:r>
      <w:proofErr w:type="gramEnd"/>
      <w:r>
        <w:rPr>
          <w:rFonts w:ascii="宋体" w:eastAsia="宋体" w:hAnsi="宋体" w:hint="eastAsia"/>
          <w:sz w:val="24"/>
          <w:szCs w:val="24"/>
        </w:rPr>
        <w:t>、</w:t>
      </w:r>
      <w:r w:rsidRPr="00967BF0">
        <w:rPr>
          <w:rFonts w:ascii="宋体" w:eastAsia="宋体" w:hAnsi="宋体" w:hint="eastAsia"/>
          <w:sz w:val="24"/>
          <w:szCs w:val="24"/>
        </w:rPr>
        <w:t>国泰君</w:t>
      </w:r>
      <w:proofErr w:type="gramStart"/>
      <w:r w:rsidRPr="00967BF0">
        <w:rPr>
          <w:rFonts w:ascii="宋体" w:eastAsia="宋体" w:hAnsi="宋体" w:hint="eastAsia"/>
          <w:sz w:val="24"/>
          <w:szCs w:val="24"/>
        </w:rPr>
        <w:t>安资管</w:t>
      </w:r>
      <w:proofErr w:type="gramEnd"/>
      <w:r>
        <w:rPr>
          <w:rFonts w:ascii="宋体" w:eastAsia="宋体" w:hAnsi="宋体" w:hint="eastAsia"/>
          <w:sz w:val="24"/>
          <w:szCs w:val="24"/>
        </w:rPr>
        <w:t>、</w:t>
      </w:r>
      <w:r w:rsidRPr="00967BF0">
        <w:rPr>
          <w:rFonts w:ascii="宋体" w:eastAsia="宋体" w:hAnsi="宋体" w:hint="eastAsia"/>
          <w:sz w:val="24"/>
          <w:szCs w:val="24"/>
        </w:rPr>
        <w:t>兴业自营</w:t>
      </w:r>
      <w:r>
        <w:rPr>
          <w:rFonts w:ascii="宋体" w:eastAsia="宋体" w:hAnsi="宋体" w:hint="eastAsia"/>
          <w:sz w:val="24"/>
          <w:szCs w:val="24"/>
        </w:rPr>
        <w:t>、</w:t>
      </w:r>
      <w:r w:rsidRPr="00967BF0">
        <w:rPr>
          <w:rFonts w:ascii="宋体" w:eastAsia="宋体" w:hAnsi="宋体" w:hint="eastAsia"/>
          <w:sz w:val="24"/>
          <w:szCs w:val="24"/>
        </w:rPr>
        <w:t>华泰证券资管</w:t>
      </w:r>
      <w:r>
        <w:rPr>
          <w:rFonts w:ascii="宋体" w:eastAsia="宋体" w:hAnsi="宋体" w:hint="eastAsia"/>
          <w:sz w:val="24"/>
          <w:szCs w:val="24"/>
        </w:rPr>
        <w:t>、</w:t>
      </w:r>
      <w:r w:rsidRPr="00967BF0">
        <w:rPr>
          <w:rFonts w:ascii="宋体" w:eastAsia="宋体" w:hAnsi="宋体" w:hint="eastAsia"/>
          <w:sz w:val="24"/>
          <w:szCs w:val="24"/>
        </w:rPr>
        <w:t>兴业基金</w:t>
      </w:r>
      <w:r>
        <w:rPr>
          <w:rFonts w:ascii="宋体" w:eastAsia="宋体" w:hAnsi="宋体" w:hint="eastAsia"/>
          <w:sz w:val="24"/>
          <w:szCs w:val="24"/>
        </w:rPr>
        <w:t>、</w:t>
      </w:r>
      <w:r w:rsidRPr="00967BF0">
        <w:rPr>
          <w:rFonts w:ascii="宋体" w:eastAsia="宋体" w:hAnsi="宋体" w:hint="eastAsia"/>
          <w:sz w:val="24"/>
          <w:szCs w:val="24"/>
        </w:rPr>
        <w:t>蓝墨投资</w:t>
      </w:r>
      <w:r w:rsidR="00217511" w:rsidRPr="00217511">
        <w:rPr>
          <w:rFonts w:ascii="宋体" w:eastAsia="宋体" w:hAnsi="宋体"/>
          <w:sz w:val="24"/>
          <w:szCs w:val="24"/>
        </w:rPr>
        <w:t>等机构的</w:t>
      </w:r>
      <w:r w:rsidR="006F0665">
        <w:rPr>
          <w:rFonts w:ascii="宋体" w:eastAsia="宋体" w:hAnsi="宋体" w:hint="eastAsia"/>
          <w:sz w:val="24"/>
          <w:szCs w:val="24"/>
        </w:rPr>
        <w:t>7</w:t>
      </w:r>
      <w:r w:rsidR="006F0665">
        <w:rPr>
          <w:rFonts w:ascii="宋体" w:eastAsia="宋体" w:hAnsi="宋体"/>
          <w:sz w:val="24"/>
          <w:szCs w:val="24"/>
        </w:rPr>
        <w:t>2</w:t>
      </w:r>
      <w:r w:rsidR="00217511" w:rsidRPr="00217511">
        <w:rPr>
          <w:rFonts w:ascii="宋体" w:eastAsia="宋体" w:hAnsi="宋体"/>
          <w:sz w:val="24"/>
          <w:szCs w:val="24"/>
        </w:rPr>
        <w:t>位投资者。</w:t>
      </w:r>
    </w:p>
    <w:p w14:paraId="739C2005" w14:textId="386EEB83" w:rsidR="00CA3823" w:rsidRDefault="00CA3823" w:rsidP="00BF6DE3">
      <w:pPr>
        <w:spacing w:line="360" w:lineRule="auto"/>
        <w:ind w:firstLine="39"/>
        <w:rPr>
          <w:rFonts w:ascii="宋体" w:eastAsia="宋体" w:hAnsi="宋体"/>
          <w:b/>
          <w:bCs/>
          <w:sz w:val="28"/>
          <w:szCs w:val="28"/>
        </w:rPr>
      </w:pPr>
      <w:r w:rsidRPr="0096461A">
        <w:rPr>
          <w:rFonts w:ascii="宋体" w:eastAsia="宋体" w:hAnsi="宋体"/>
          <w:b/>
          <w:bCs/>
          <w:sz w:val="28"/>
          <w:szCs w:val="28"/>
        </w:rPr>
        <w:t xml:space="preserve">二、主要内容 </w:t>
      </w:r>
    </w:p>
    <w:p w14:paraId="6B44E968" w14:textId="626884B9" w:rsidR="00CD2E53" w:rsidRDefault="00F34AA8" w:rsidP="00BF6DE3">
      <w:pPr>
        <w:spacing w:line="360" w:lineRule="auto"/>
        <w:rPr>
          <w:rFonts w:ascii="宋体" w:eastAsia="宋体" w:hAnsi="宋体"/>
          <w:b/>
          <w:bCs/>
          <w:sz w:val="24"/>
          <w:szCs w:val="24"/>
        </w:rPr>
      </w:pPr>
      <w:r>
        <w:rPr>
          <w:rFonts w:ascii="宋体" w:eastAsia="宋体" w:hAnsi="宋体" w:hint="eastAsia"/>
          <w:b/>
          <w:bCs/>
          <w:sz w:val="24"/>
          <w:szCs w:val="24"/>
        </w:rPr>
        <w:t>投资者提问</w:t>
      </w:r>
    </w:p>
    <w:p w14:paraId="1B4AB0C0" w14:textId="4650FF8D" w:rsidR="009B5D87" w:rsidRDefault="009B5D87" w:rsidP="00BF6DE3">
      <w:pPr>
        <w:spacing w:line="360" w:lineRule="auto"/>
        <w:ind w:firstLineChars="200" w:firstLine="482"/>
        <w:rPr>
          <w:rFonts w:ascii="宋体" w:eastAsia="宋体" w:hAnsi="宋体"/>
          <w:sz w:val="24"/>
          <w:szCs w:val="24"/>
        </w:rPr>
      </w:pPr>
      <w:r w:rsidRPr="009B5D87">
        <w:rPr>
          <w:rFonts w:ascii="宋体" w:eastAsia="宋体" w:hAnsi="宋体" w:hint="eastAsia"/>
          <w:b/>
          <w:bCs/>
          <w:sz w:val="24"/>
          <w:szCs w:val="24"/>
        </w:rPr>
        <w:t>问题</w:t>
      </w:r>
      <w:r w:rsidR="000818F6">
        <w:rPr>
          <w:rFonts w:ascii="宋体" w:eastAsia="宋体" w:hAnsi="宋体"/>
          <w:b/>
          <w:bCs/>
          <w:sz w:val="24"/>
          <w:szCs w:val="24"/>
        </w:rPr>
        <w:t>1</w:t>
      </w:r>
      <w:r w:rsidRPr="009B5D87">
        <w:rPr>
          <w:rFonts w:ascii="宋体" w:eastAsia="宋体" w:hAnsi="宋体" w:hint="eastAsia"/>
          <w:b/>
          <w:bCs/>
          <w:sz w:val="24"/>
          <w:szCs w:val="24"/>
        </w:rPr>
        <w:t>：</w:t>
      </w:r>
      <w:r w:rsidR="00F904BB">
        <w:rPr>
          <w:rFonts w:ascii="宋体" w:eastAsia="宋体" w:hAnsi="宋体" w:hint="eastAsia"/>
          <w:sz w:val="24"/>
          <w:szCs w:val="24"/>
        </w:rPr>
        <w:t>公司今年和明年的开店计划如何</w:t>
      </w:r>
      <w:r w:rsidRPr="009B5D87">
        <w:rPr>
          <w:rFonts w:ascii="宋体" w:eastAsia="宋体" w:hAnsi="宋体" w:hint="eastAsia"/>
          <w:sz w:val="24"/>
          <w:szCs w:val="24"/>
        </w:rPr>
        <w:t>？</w:t>
      </w:r>
    </w:p>
    <w:p w14:paraId="4869E32A" w14:textId="691D02F2" w:rsidR="005C3844" w:rsidRPr="00566B0E" w:rsidRDefault="0097469D" w:rsidP="00F904BB">
      <w:pPr>
        <w:spacing w:line="360" w:lineRule="auto"/>
        <w:ind w:firstLineChars="200" w:firstLine="480"/>
        <w:rPr>
          <w:rFonts w:ascii="宋体" w:eastAsia="宋体" w:hAnsi="宋体"/>
          <w:sz w:val="24"/>
          <w:szCs w:val="24"/>
        </w:rPr>
      </w:pPr>
      <w:r w:rsidRPr="0097469D">
        <w:rPr>
          <w:rFonts w:ascii="宋体" w:eastAsia="宋体" w:hAnsi="宋体" w:hint="eastAsia"/>
          <w:sz w:val="24"/>
          <w:szCs w:val="24"/>
        </w:rPr>
        <w:t>回答：</w:t>
      </w:r>
      <w:r w:rsidR="00F904BB" w:rsidRPr="00566B0E">
        <w:rPr>
          <w:rFonts w:ascii="宋体" w:eastAsia="宋体" w:hAnsi="宋体"/>
          <w:sz w:val="24"/>
          <w:szCs w:val="24"/>
        </w:rPr>
        <w:t xml:space="preserve"> </w:t>
      </w:r>
      <w:r w:rsidR="00F904BB" w:rsidRPr="005C3844">
        <w:rPr>
          <w:rFonts w:ascii="宋体" w:eastAsia="宋体" w:hAnsi="宋体"/>
          <w:sz w:val="24"/>
          <w:szCs w:val="24"/>
        </w:rPr>
        <w:t>2023年</w:t>
      </w:r>
      <w:r w:rsidR="00F904BB">
        <w:rPr>
          <w:rFonts w:ascii="宋体" w:eastAsia="宋体" w:hAnsi="宋体" w:hint="eastAsia"/>
          <w:sz w:val="24"/>
          <w:szCs w:val="24"/>
        </w:rPr>
        <w:t>公司</w:t>
      </w:r>
      <w:r w:rsidR="00F904BB" w:rsidRPr="005C3844">
        <w:rPr>
          <w:rFonts w:ascii="宋体" w:eastAsia="宋体" w:hAnsi="宋体"/>
          <w:sz w:val="24"/>
          <w:szCs w:val="24"/>
        </w:rPr>
        <w:t>门</w:t>
      </w:r>
      <w:proofErr w:type="gramStart"/>
      <w:r w:rsidR="00F904BB" w:rsidRPr="005C3844">
        <w:rPr>
          <w:rFonts w:ascii="宋体" w:eastAsia="宋体" w:hAnsi="宋体"/>
          <w:sz w:val="24"/>
          <w:szCs w:val="24"/>
        </w:rPr>
        <w:t>店保持</w:t>
      </w:r>
      <w:proofErr w:type="gramEnd"/>
      <w:r w:rsidR="00F904BB">
        <w:rPr>
          <w:rFonts w:ascii="宋体" w:eastAsia="宋体" w:hAnsi="宋体" w:hint="eastAsia"/>
          <w:sz w:val="24"/>
          <w:szCs w:val="24"/>
        </w:rPr>
        <w:t>稳步</w:t>
      </w:r>
      <w:r w:rsidR="00F904BB" w:rsidRPr="005C3844">
        <w:rPr>
          <w:rFonts w:ascii="宋体" w:eastAsia="宋体" w:hAnsi="宋体"/>
          <w:sz w:val="24"/>
          <w:szCs w:val="24"/>
        </w:rPr>
        <w:t>扩张，加快下沉市场布局</w:t>
      </w:r>
      <w:r w:rsidR="00F904BB">
        <w:rPr>
          <w:rFonts w:ascii="宋体" w:eastAsia="宋体" w:hAnsi="宋体" w:hint="eastAsia"/>
          <w:sz w:val="24"/>
          <w:szCs w:val="24"/>
        </w:rPr>
        <w:t>。</w:t>
      </w:r>
      <w:r w:rsidR="00F904BB" w:rsidRPr="005C3844">
        <w:rPr>
          <w:rFonts w:ascii="宋体" w:eastAsia="宋体" w:hAnsi="宋体"/>
          <w:sz w:val="24"/>
          <w:szCs w:val="24"/>
        </w:rPr>
        <w:t>2023年全年，公司计划新增门店3</w:t>
      </w:r>
      <w:r w:rsidR="00F904BB">
        <w:rPr>
          <w:rFonts w:ascii="宋体" w:eastAsia="宋体" w:hAnsi="宋体"/>
          <w:sz w:val="24"/>
          <w:szCs w:val="24"/>
        </w:rPr>
        <w:t>,</w:t>
      </w:r>
      <w:r w:rsidR="00F904BB" w:rsidRPr="005C3844">
        <w:rPr>
          <w:rFonts w:ascii="宋体" w:eastAsia="宋体" w:hAnsi="宋体"/>
          <w:sz w:val="24"/>
          <w:szCs w:val="24"/>
        </w:rPr>
        <w:t>000家，其中直营及并购1</w:t>
      </w:r>
      <w:r w:rsidR="00F904BB">
        <w:rPr>
          <w:rFonts w:ascii="宋体" w:eastAsia="宋体" w:hAnsi="宋体"/>
          <w:sz w:val="24"/>
          <w:szCs w:val="24"/>
        </w:rPr>
        <w:t>,</w:t>
      </w:r>
      <w:r w:rsidR="00F904BB" w:rsidRPr="005C3844">
        <w:rPr>
          <w:rFonts w:ascii="宋体" w:eastAsia="宋体" w:hAnsi="宋体"/>
          <w:sz w:val="24"/>
          <w:szCs w:val="24"/>
        </w:rPr>
        <w:t>500家，加盟1</w:t>
      </w:r>
      <w:r w:rsidR="00F904BB">
        <w:rPr>
          <w:rFonts w:ascii="宋体" w:eastAsia="宋体" w:hAnsi="宋体"/>
          <w:sz w:val="24"/>
          <w:szCs w:val="24"/>
        </w:rPr>
        <w:t>,</w:t>
      </w:r>
      <w:r w:rsidR="00F904BB" w:rsidRPr="005C3844">
        <w:rPr>
          <w:rFonts w:ascii="宋体" w:eastAsia="宋体" w:hAnsi="宋体"/>
          <w:sz w:val="24"/>
          <w:szCs w:val="24"/>
        </w:rPr>
        <w:t>500家。</w:t>
      </w:r>
      <w:r w:rsidR="00980EA8" w:rsidRPr="00980EA8">
        <w:rPr>
          <w:rFonts w:ascii="宋体" w:eastAsia="宋体" w:hAnsi="宋体"/>
          <w:sz w:val="24"/>
          <w:szCs w:val="24"/>
        </w:rPr>
        <w:t>2023年</w:t>
      </w:r>
      <w:r w:rsidR="00980EA8">
        <w:rPr>
          <w:rFonts w:ascii="宋体" w:eastAsia="宋体" w:hAnsi="宋体" w:hint="eastAsia"/>
          <w:sz w:val="24"/>
          <w:szCs w:val="24"/>
        </w:rPr>
        <w:t>前三季度公司</w:t>
      </w:r>
      <w:r w:rsidR="00980EA8" w:rsidRPr="00980EA8">
        <w:rPr>
          <w:rFonts w:ascii="宋体" w:eastAsia="宋体" w:hAnsi="宋体"/>
          <w:sz w:val="24"/>
          <w:szCs w:val="24"/>
        </w:rPr>
        <w:t>新增门店2,709家，其中直营新增门店1,479家、加盟新增门店1,230家。</w:t>
      </w:r>
      <w:r w:rsidR="00F904BB">
        <w:rPr>
          <w:rFonts w:ascii="宋体" w:eastAsia="宋体" w:hAnsi="宋体" w:hint="eastAsia"/>
          <w:sz w:val="24"/>
          <w:szCs w:val="24"/>
        </w:rPr>
        <w:t>2</w:t>
      </w:r>
      <w:r w:rsidR="00F904BB">
        <w:rPr>
          <w:rFonts w:ascii="宋体" w:eastAsia="宋体" w:hAnsi="宋体"/>
          <w:sz w:val="24"/>
          <w:szCs w:val="24"/>
        </w:rPr>
        <w:t>024</w:t>
      </w:r>
      <w:r w:rsidR="00F904BB">
        <w:rPr>
          <w:rFonts w:ascii="宋体" w:eastAsia="宋体" w:hAnsi="宋体" w:hint="eastAsia"/>
          <w:sz w:val="24"/>
          <w:szCs w:val="24"/>
        </w:rPr>
        <w:t>年公司</w:t>
      </w:r>
      <w:r w:rsidR="00980EA8">
        <w:rPr>
          <w:rFonts w:ascii="宋体" w:eastAsia="宋体" w:hAnsi="宋体" w:hint="eastAsia"/>
          <w:sz w:val="24"/>
          <w:szCs w:val="24"/>
        </w:rPr>
        <w:t>计划</w:t>
      </w:r>
      <w:r w:rsidR="00F904BB">
        <w:rPr>
          <w:rFonts w:ascii="宋体" w:eastAsia="宋体" w:hAnsi="宋体" w:hint="eastAsia"/>
          <w:sz w:val="24"/>
          <w:szCs w:val="24"/>
        </w:rPr>
        <w:t>开店3</w:t>
      </w:r>
      <w:r w:rsidR="00F904BB">
        <w:rPr>
          <w:rFonts w:ascii="宋体" w:eastAsia="宋体" w:hAnsi="宋体"/>
          <w:sz w:val="24"/>
          <w:szCs w:val="24"/>
        </w:rPr>
        <w:t>,500</w:t>
      </w:r>
      <w:r w:rsidR="00F904BB">
        <w:rPr>
          <w:rFonts w:ascii="宋体" w:eastAsia="宋体" w:hAnsi="宋体" w:hint="eastAsia"/>
          <w:sz w:val="24"/>
          <w:szCs w:val="24"/>
        </w:rPr>
        <w:t>家。</w:t>
      </w:r>
    </w:p>
    <w:p w14:paraId="42A70C7E" w14:textId="5A1F40D7" w:rsidR="001B0F96" w:rsidRDefault="001B0F96" w:rsidP="00BF6DE3">
      <w:pPr>
        <w:spacing w:line="360" w:lineRule="auto"/>
        <w:ind w:firstLineChars="200" w:firstLine="482"/>
        <w:rPr>
          <w:rFonts w:ascii="宋体" w:eastAsia="宋体" w:hAnsi="宋体"/>
          <w:sz w:val="24"/>
          <w:szCs w:val="24"/>
        </w:rPr>
      </w:pPr>
      <w:r w:rsidRPr="00B82987">
        <w:rPr>
          <w:rFonts w:ascii="宋体" w:eastAsia="宋体" w:hAnsi="宋体" w:hint="eastAsia"/>
          <w:b/>
          <w:bCs/>
          <w:sz w:val="24"/>
          <w:szCs w:val="24"/>
        </w:rPr>
        <w:t>问题</w:t>
      </w:r>
      <w:r w:rsidR="000818F6">
        <w:rPr>
          <w:rFonts w:ascii="宋体" w:eastAsia="宋体" w:hAnsi="宋体"/>
          <w:b/>
          <w:bCs/>
          <w:sz w:val="24"/>
          <w:szCs w:val="24"/>
        </w:rPr>
        <w:t>2</w:t>
      </w:r>
      <w:r w:rsidRPr="00B82987">
        <w:rPr>
          <w:rFonts w:ascii="宋体" w:eastAsia="宋体" w:hAnsi="宋体" w:hint="eastAsia"/>
          <w:b/>
          <w:bCs/>
          <w:sz w:val="24"/>
          <w:szCs w:val="24"/>
        </w:rPr>
        <w:t>：</w:t>
      </w:r>
      <w:r w:rsidR="00F904BB">
        <w:rPr>
          <w:rFonts w:ascii="宋体" w:eastAsia="宋体" w:hAnsi="宋体" w:hint="eastAsia"/>
          <w:sz w:val="24"/>
          <w:szCs w:val="24"/>
        </w:rPr>
        <w:t>公司目前</w:t>
      </w:r>
      <w:r w:rsidR="00043451">
        <w:rPr>
          <w:rFonts w:ascii="宋体" w:eastAsia="宋体" w:hAnsi="宋体" w:hint="eastAsia"/>
          <w:sz w:val="24"/>
          <w:szCs w:val="24"/>
        </w:rPr>
        <w:t>“聚焦+下沉”</w:t>
      </w:r>
      <w:r w:rsidR="00F904BB">
        <w:rPr>
          <w:rFonts w:ascii="宋体" w:eastAsia="宋体" w:hAnsi="宋体" w:hint="eastAsia"/>
          <w:sz w:val="24"/>
          <w:szCs w:val="24"/>
        </w:rPr>
        <w:t>的发展战略是基于何种</w:t>
      </w:r>
      <w:proofErr w:type="gramStart"/>
      <w:r w:rsidR="00F904BB">
        <w:rPr>
          <w:rFonts w:ascii="宋体" w:eastAsia="宋体" w:hAnsi="宋体" w:hint="eastAsia"/>
          <w:sz w:val="24"/>
          <w:szCs w:val="24"/>
        </w:rPr>
        <w:t>考量</w:t>
      </w:r>
      <w:proofErr w:type="gramEnd"/>
      <w:r w:rsidR="008B1675">
        <w:rPr>
          <w:rFonts w:ascii="宋体" w:eastAsia="宋体" w:hAnsi="宋体" w:hint="eastAsia"/>
          <w:sz w:val="24"/>
          <w:szCs w:val="24"/>
        </w:rPr>
        <w:t>？</w:t>
      </w:r>
    </w:p>
    <w:p w14:paraId="4A79FC4C" w14:textId="360B7A97" w:rsidR="001B0F96" w:rsidRPr="00D82931" w:rsidRDefault="001B0F96" w:rsidP="00BF6DE3">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回答：</w:t>
      </w:r>
      <w:r w:rsidR="006040D3" w:rsidRPr="00670ADF">
        <w:rPr>
          <w:rFonts w:ascii="宋体" w:eastAsia="宋体" w:hAnsi="宋体"/>
          <w:sz w:val="24"/>
          <w:szCs w:val="24"/>
        </w:rPr>
        <w:t xml:space="preserve"> </w:t>
      </w:r>
      <w:r w:rsidR="006F261D">
        <w:rPr>
          <w:rFonts w:ascii="宋体" w:eastAsia="宋体" w:hAnsi="宋体" w:hint="eastAsia"/>
          <w:sz w:val="24"/>
          <w:szCs w:val="24"/>
        </w:rPr>
        <w:t>目前</w:t>
      </w:r>
      <w:r w:rsidR="00043451" w:rsidRPr="00043451">
        <w:rPr>
          <w:rFonts w:ascii="宋体" w:eastAsia="宋体" w:hAnsi="宋体" w:hint="eastAsia"/>
          <w:sz w:val="24"/>
          <w:szCs w:val="24"/>
        </w:rPr>
        <w:t>公司</w:t>
      </w:r>
      <w:r w:rsidR="006F261D">
        <w:rPr>
          <w:rFonts w:ascii="宋体" w:eastAsia="宋体" w:hAnsi="宋体" w:hint="eastAsia"/>
          <w:sz w:val="24"/>
          <w:szCs w:val="24"/>
        </w:rPr>
        <w:t>在覆盖的2</w:t>
      </w:r>
      <w:r w:rsidR="006F261D">
        <w:rPr>
          <w:rFonts w:ascii="宋体" w:eastAsia="宋体" w:hAnsi="宋体"/>
          <w:sz w:val="24"/>
          <w:szCs w:val="24"/>
        </w:rPr>
        <w:t>0</w:t>
      </w:r>
      <w:r w:rsidR="006F261D">
        <w:rPr>
          <w:rFonts w:ascii="宋体" w:eastAsia="宋体" w:hAnsi="宋体" w:hint="eastAsia"/>
          <w:sz w:val="24"/>
          <w:szCs w:val="24"/>
        </w:rPr>
        <w:t>个省份中</w:t>
      </w:r>
      <w:r w:rsidR="00043451">
        <w:rPr>
          <w:rFonts w:ascii="宋体" w:eastAsia="宋体" w:hAnsi="宋体" w:hint="eastAsia"/>
          <w:sz w:val="24"/>
          <w:szCs w:val="24"/>
        </w:rPr>
        <w:t>执行</w:t>
      </w:r>
      <w:r w:rsidR="00043451" w:rsidRPr="00043451">
        <w:rPr>
          <w:rFonts w:ascii="宋体" w:eastAsia="宋体" w:hAnsi="宋体" w:hint="eastAsia"/>
          <w:sz w:val="24"/>
          <w:szCs w:val="24"/>
        </w:rPr>
        <w:t>“聚焦</w:t>
      </w:r>
      <w:r w:rsidR="00043451" w:rsidRPr="00043451">
        <w:rPr>
          <w:rFonts w:ascii="宋体" w:eastAsia="宋体" w:hAnsi="宋体"/>
          <w:sz w:val="24"/>
          <w:szCs w:val="24"/>
        </w:rPr>
        <w:t>+下沉”发展策略</w:t>
      </w:r>
      <w:r w:rsidR="006F261D">
        <w:rPr>
          <w:rFonts w:ascii="宋体" w:eastAsia="宋体" w:hAnsi="宋体" w:hint="eastAsia"/>
          <w:sz w:val="24"/>
          <w:szCs w:val="24"/>
        </w:rPr>
        <w:t>，</w:t>
      </w:r>
      <w:r w:rsidR="00043451" w:rsidRPr="00043451">
        <w:rPr>
          <w:rFonts w:ascii="宋体" w:eastAsia="宋体" w:hAnsi="宋体"/>
          <w:sz w:val="24"/>
          <w:szCs w:val="24"/>
        </w:rPr>
        <w:t>其中</w:t>
      </w:r>
      <w:r w:rsidR="006F261D">
        <w:rPr>
          <w:rFonts w:ascii="宋体" w:eastAsia="宋体" w:hAnsi="宋体" w:hint="eastAsia"/>
          <w:sz w:val="24"/>
          <w:szCs w:val="24"/>
        </w:rPr>
        <w:t>“聚焦”策略</w:t>
      </w:r>
      <w:r w:rsidR="001A0446">
        <w:rPr>
          <w:rFonts w:ascii="宋体" w:eastAsia="宋体" w:hAnsi="宋体" w:hint="eastAsia"/>
          <w:sz w:val="24"/>
          <w:szCs w:val="24"/>
        </w:rPr>
        <w:t>为</w:t>
      </w:r>
      <w:r w:rsidR="006F261D">
        <w:rPr>
          <w:rFonts w:ascii="宋体" w:eastAsia="宋体" w:hAnsi="宋体" w:hint="eastAsia"/>
          <w:sz w:val="24"/>
          <w:szCs w:val="24"/>
        </w:rPr>
        <w:t>重点发展</w:t>
      </w:r>
      <w:r w:rsidR="001A0446">
        <w:rPr>
          <w:rFonts w:ascii="宋体" w:eastAsia="宋体" w:hAnsi="宋体" w:hint="eastAsia"/>
          <w:sz w:val="24"/>
          <w:szCs w:val="24"/>
        </w:rPr>
        <w:t>9省</w:t>
      </w:r>
      <w:r w:rsidR="006F261D">
        <w:rPr>
          <w:rFonts w:ascii="宋体" w:eastAsia="宋体" w:hAnsi="宋体" w:hint="eastAsia"/>
          <w:sz w:val="24"/>
          <w:szCs w:val="24"/>
        </w:rPr>
        <w:t>直</w:t>
      </w:r>
      <w:proofErr w:type="gramStart"/>
      <w:r w:rsidR="006F261D">
        <w:rPr>
          <w:rFonts w:ascii="宋体" w:eastAsia="宋体" w:hAnsi="宋体" w:hint="eastAsia"/>
          <w:sz w:val="24"/>
          <w:szCs w:val="24"/>
        </w:rPr>
        <w:t>营板块</w:t>
      </w:r>
      <w:proofErr w:type="gramEnd"/>
      <w:r w:rsidR="007B2745">
        <w:rPr>
          <w:rFonts w:ascii="宋体" w:eastAsia="宋体" w:hAnsi="宋体" w:hint="eastAsia"/>
          <w:sz w:val="24"/>
          <w:szCs w:val="24"/>
        </w:rPr>
        <w:t>业务</w:t>
      </w:r>
      <w:r w:rsidR="006F261D">
        <w:rPr>
          <w:rFonts w:ascii="宋体" w:eastAsia="宋体" w:hAnsi="宋体" w:hint="eastAsia"/>
          <w:sz w:val="24"/>
          <w:szCs w:val="24"/>
        </w:rPr>
        <w:t>和</w:t>
      </w:r>
      <w:r w:rsidR="001A0446">
        <w:rPr>
          <w:rFonts w:ascii="宋体" w:eastAsia="宋体" w:hAnsi="宋体" w:hint="eastAsia"/>
          <w:sz w:val="24"/>
          <w:szCs w:val="24"/>
        </w:rPr>
        <w:t>9省</w:t>
      </w:r>
      <w:r w:rsidR="006F261D">
        <w:rPr>
          <w:rFonts w:ascii="宋体" w:eastAsia="宋体" w:hAnsi="宋体" w:hint="eastAsia"/>
          <w:sz w:val="24"/>
          <w:szCs w:val="24"/>
        </w:rPr>
        <w:t>加盟</w:t>
      </w:r>
      <w:r w:rsidR="007B2745">
        <w:rPr>
          <w:rFonts w:ascii="宋体" w:eastAsia="宋体" w:hAnsi="宋体" w:hint="eastAsia"/>
          <w:sz w:val="24"/>
          <w:szCs w:val="24"/>
        </w:rPr>
        <w:t>板块</w:t>
      </w:r>
      <w:r w:rsidR="006F261D">
        <w:rPr>
          <w:rFonts w:ascii="宋体" w:eastAsia="宋体" w:hAnsi="宋体" w:hint="eastAsia"/>
          <w:sz w:val="24"/>
          <w:szCs w:val="24"/>
        </w:rPr>
        <w:t>业务，去除重复省份后</w:t>
      </w:r>
      <w:r w:rsidR="007B2745">
        <w:rPr>
          <w:rFonts w:ascii="宋体" w:eastAsia="宋体" w:hAnsi="宋体" w:hint="eastAsia"/>
          <w:sz w:val="24"/>
          <w:szCs w:val="24"/>
        </w:rPr>
        <w:t>重点发展为</w:t>
      </w:r>
      <w:r w:rsidR="006F261D">
        <w:rPr>
          <w:rFonts w:ascii="宋体" w:eastAsia="宋体" w:hAnsi="宋体" w:hint="eastAsia"/>
          <w:sz w:val="24"/>
          <w:szCs w:val="24"/>
        </w:rPr>
        <w:t>1</w:t>
      </w:r>
      <w:r w:rsidR="006F261D">
        <w:rPr>
          <w:rFonts w:ascii="宋体" w:eastAsia="宋体" w:hAnsi="宋体"/>
          <w:sz w:val="24"/>
          <w:szCs w:val="24"/>
        </w:rPr>
        <w:t>1</w:t>
      </w:r>
      <w:r w:rsidR="006F261D">
        <w:rPr>
          <w:rFonts w:ascii="宋体" w:eastAsia="宋体" w:hAnsi="宋体" w:hint="eastAsia"/>
          <w:sz w:val="24"/>
          <w:szCs w:val="24"/>
        </w:rPr>
        <w:t>个省份。未来公司将重点加大对这1</w:t>
      </w:r>
      <w:r w:rsidR="006F261D">
        <w:rPr>
          <w:rFonts w:ascii="宋体" w:eastAsia="宋体" w:hAnsi="宋体"/>
          <w:sz w:val="24"/>
          <w:szCs w:val="24"/>
        </w:rPr>
        <w:t>1</w:t>
      </w:r>
      <w:r w:rsidR="006F261D">
        <w:rPr>
          <w:rFonts w:ascii="宋体" w:eastAsia="宋体" w:hAnsi="宋体" w:hint="eastAsia"/>
          <w:sz w:val="24"/>
          <w:szCs w:val="24"/>
        </w:rPr>
        <w:t>个省份</w:t>
      </w:r>
      <w:r w:rsidR="007B2745">
        <w:rPr>
          <w:rFonts w:ascii="宋体" w:eastAsia="宋体" w:hAnsi="宋体" w:hint="eastAsia"/>
          <w:sz w:val="24"/>
          <w:szCs w:val="24"/>
        </w:rPr>
        <w:t>的</w:t>
      </w:r>
      <w:r w:rsidR="006F261D">
        <w:rPr>
          <w:rFonts w:ascii="宋体" w:eastAsia="宋体" w:hAnsi="宋体" w:hint="eastAsia"/>
          <w:sz w:val="24"/>
          <w:szCs w:val="24"/>
        </w:rPr>
        <w:t>市场开发，</w:t>
      </w:r>
      <w:r w:rsidR="001A0446">
        <w:rPr>
          <w:rFonts w:ascii="宋体" w:eastAsia="宋体" w:hAnsi="宋体" w:hint="eastAsia"/>
          <w:sz w:val="24"/>
          <w:szCs w:val="24"/>
        </w:rPr>
        <w:t>以持续</w:t>
      </w:r>
      <w:r w:rsidR="006F261D">
        <w:rPr>
          <w:rFonts w:ascii="宋体" w:eastAsia="宋体" w:hAnsi="宋体" w:hint="eastAsia"/>
          <w:sz w:val="24"/>
          <w:szCs w:val="24"/>
        </w:rPr>
        <w:t>提升</w:t>
      </w:r>
      <w:r w:rsidR="006F261D" w:rsidRPr="006F261D">
        <w:rPr>
          <w:rFonts w:ascii="宋体" w:eastAsia="宋体" w:hAnsi="宋体" w:hint="eastAsia"/>
          <w:sz w:val="24"/>
          <w:szCs w:val="24"/>
        </w:rPr>
        <w:t>市场占有率</w:t>
      </w:r>
      <w:r w:rsidR="006F261D">
        <w:rPr>
          <w:rFonts w:ascii="宋体" w:eastAsia="宋体" w:hAnsi="宋体" w:hint="eastAsia"/>
          <w:sz w:val="24"/>
          <w:szCs w:val="24"/>
        </w:rPr>
        <w:t>。</w:t>
      </w:r>
      <w:r w:rsidR="00043451" w:rsidRPr="00043451">
        <w:rPr>
          <w:rFonts w:ascii="宋体" w:eastAsia="宋体" w:hAnsi="宋体"/>
          <w:sz w:val="24"/>
          <w:szCs w:val="24"/>
        </w:rPr>
        <w:t>“下沉”策略则主要是构建3-5线下沉市场，主要原因有：第一，下沉市场老龄化程度较高，用户增长更为明显；第二，优质的医疗资源集中在一、二线城市，医疗资源相对匮乏的下沉市场成为公司业绩新增长极。第三，下沉市场毛利率较高，成本低。</w:t>
      </w:r>
    </w:p>
    <w:p w14:paraId="10C7695F" w14:textId="403CBA3B" w:rsidR="00D82931" w:rsidRDefault="001B0F96" w:rsidP="00D82931">
      <w:pPr>
        <w:spacing w:line="360" w:lineRule="auto"/>
        <w:ind w:firstLineChars="200" w:firstLine="482"/>
        <w:rPr>
          <w:rFonts w:ascii="宋体" w:eastAsia="宋体" w:hAnsi="宋体"/>
          <w:sz w:val="24"/>
          <w:szCs w:val="24"/>
        </w:rPr>
      </w:pPr>
      <w:r w:rsidRPr="00B82987">
        <w:rPr>
          <w:rFonts w:ascii="宋体" w:eastAsia="宋体" w:hAnsi="宋体" w:hint="eastAsia"/>
          <w:b/>
          <w:bCs/>
          <w:sz w:val="24"/>
          <w:szCs w:val="24"/>
        </w:rPr>
        <w:t>问题</w:t>
      </w:r>
      <w:r w:rsidR="000818F6">
        <w:rPr>
          <w:rFonts w:ascii="宋体" w:eastAsia="宋体" w:hAnsi="宋体"/>
          <w:b/>
          <w:bCs/>
          <w:sz w:val="24"/>
          <w:szCs w:val="24"/>
        </w:rPr>
        <w:t>3</w:t>
      </w:r>
      <w:r w:rsidRPr="00B82987">
        <w:rPr>
          <w:rFonts w:ascii="宋体" w:eastAsia="宋体" w:hAnsi="宋体" w:hint="eastAsia"/>
          <w:b/>
          <w:bCs/>
          <w:sz w:val="24"/>
          <w:szCs w:val="24"/>
        </w:rPr>
        <w:t>：</w:t>
      </w:r>
      <w:r w:rsidR="00D82931" w:rsidRPr="00BF6DE3">
        <w:rPr>
          <w:rFonts w:ascii="宋体" w:eastAsia="宋体" w:hAnsi="宋体" w:hint="eastAsia"/>
          <w:sz w:val="24"/>
          <w:szCs w:val="24"/>
        </w:rPr>
        <w:t>门诊统筹政策的落地进度如何</w:t>
      </w:r>
      <w:r w:rsidR="00D82931" w:rsidRPr="00BF6DE3">
        <w:rPr>
          <w:rFonts w:ascii="宋体" w:eastAsia="宋体" w:hAnsi="宋体"/>
          <w:sz w:val="24"/>
          <w:szCs w:val="24"/>
        </w:rPr>
        <w:t>?</w:t>
      </w:r>
      <w:r w:rsidR="000818F6">
        <w:rPr>
          <w:rFonts w:ascii="宋体" w:eastAsia="宋体" w:hAnsi="宋体" w:hint="eastAsia"/>
          <w:sz w:val="24"/>
          <w:szCs w:val="24"/>
        </w:rPr>
        <w:t>对公司经营情况有何影响？</w:t>
      </w:r>
      <w:r w:rsidR="00D82931" w:rsidRPr="00BF6DE3">
        <w:rPr>
          <w:rFonts w:ascii="宋体" w:eastAsia="宋体" w:hAnsi="宋体"/>
          <w:sz w:val="24"/>
          <w:szCs w:val="24"/>
        </w:rPr>
        <w:t>现在公司有多少区域，多少家门店已经执行统筹?</w:t>
      </w:r>
    </w:p>
    <w:p w14:paraId="2829D2E2" w14:textId="73046A94" w:rsidR="00D82931" w:rsidRPr="00BF6DE3" w:rsidRDefault="00D82931" w:rsidP="00D82931">
      <w:pPr>
        <w:spacing w:line="360" w:lineRule="auto"/>
        <w:ind w:firstLineChars="200" w:firstLine="480"/>
        <w:rPr>
          <w:rFonts w:ascii="宋体" w:eastAsia="宋体" w:hAnsi="宋体"/>
          <w:sz w:val="24"/>
          <w:szCs w:val="24"/>
        </w:rPr>
      </w:pPr>
      <w:r>
        <w:rPr>
          <w:rFonts w:ascii="宋体" w:eastAsia="宋体" w:hAnsi="宋体" w:hint="eastAsia"/>
          <w:sz w:val="24"/>
          <w:szCs w:val="24"/>
        </w:rPr>
        <w:t>回答：</w:t>
      </w:r>
      <w:r w:rsidR="00F5626D">
        <w:rPr>
          <w:rFonts w:ascii="宋体" w:eastAsia="宋体" w:hAnsi="宋体" w:hint="eastAsia"/>
          <w:sz w:val="24"/>
          <w:szCs w:val="24"/>
        </w:rPr>
        <w:t>截至2</w:t>
      </w:r>
      <w:r w:rsidR="00F5626D">
        <w:rPr>
          <w:rFonts w:ascii="宋体" w:eastAsia="宋体" w:hAnsi="宋体"/>
          <w:sz w:val="24"/>
          <w:szCs w:val="24"/>
        </w:rPr>
        <w:t>023</w:t>
      </w:r>
      <w:r w:rsidR="00F5626D">
        <w:rPr>
          <w:rFonts w:ascii="宋体" w:eastAsia="宋体" w:hAnsi="宋体" w:hint="eastAsia"/>
          <w:sz w:val="24"/>
          <w:szCs w:val="24"/>
        </w:rPr>
        <w:t>年9月3</w:t>
      </w:r>
      <w:r w:rsidR="00F5626D">
        <w:rPr>
          <w:rFonts w:ascii="宋体" w:eastAsia="宋体" w:hAnsi="宋体"/>
          <w:sz w:val="24"/>
          <w:szCs w:val="24"/>
        </w:rPr>
        <w:t>0</w:t>
      </w:r>
      <w:r w:rsidR="00F5626D">
        <w:rPr>
          <w:rFonts w:ascii="宋体" w:eastAsia="宋体" w:hAnsi="宋体" w:hint="eastAsia"/>
          <w:sz w:val="24"/>
          <w:szCs w:val="24"/>
        </w:rPr>
        <w:t>日，</w:t>
      </w:r>
      <w:r w:rsidRPr="00BF6DE3">
        <w:rPr>
          <w:rFonts w:ascii="宋体" w:eastAsia="宋体" w:hAnsi="宋体" w:hint="eastAsia"/>
          <w:sz w:val="24"/>
          <w:szCs w:val="24"/>
        </w:rPr>
        <w:t>公司覆盖的</w:t>
      </w:r>
      <w:r w:rsidRPr="00BF6DE3">
        <w:rPr>
          <w:rFonts w:ascii="宋体" w:eastAsia="宋体" w:hAnsi="宋体"/>
          <w:sz w:val="24"/>
          <w:szCs w:val="24"/>
        </w:rPr>
        <w:t>20个省份中，公司门诊统筹政策已落地14个省份，</w:t>
      </w:r>
      <w:r w:rsidR="000818F6">
        <w:rPr>
          <w:rFonts w:ascii="宋体" w:eastAsia="宋体" w:hAnsi="宋体" w:hint="eastAsia"/>
          <w:sz w:val="24"/>
          <w:szCs w:val="24"/>
        </w:rPr>
        <w:t>全国可</w:t>
      </w:r>
      <w:proofErr w:type="gramStart"/>
      <w:r w:rsidR="000818F6">
        <w:rPr>
          <w:rFonts w:ascii="宋体" w:eastAsia="宋体" w:hAnsi="宋体" w:hint="eastAsia"/>
          <w:sz w:val="24"/>
          <w:szCs w:val="24"/>
        </w:rPr>
        <w:t>刷客户</w:t>
      </w:r>
      <w:r w:rsidRPr="00BF6DE3">
        <w:rPr>
          <w:rFonts w:ascii="宋体" w:eastAsia="宋体" w:hAnsi="宋体"/>
          <w:sz w:val="24"/>
          <w:szCs w:val="24"/>
        </w:rPr>
        <w:t>门</w:t>
      </w:r>
      <w:proofErr w:type="gramEnd"/>
      <w:r w:rsidRPr="00BF6DE3">
        <w:rPr>
          <w:rFonts w:ascii="宋体" w:eastAsia="宋体" w:hAnsi="宋体"/>
          <w:sz w:val="24"/>
          <w:szCs w:val="24"/>
        </w:rPr>
        <w:t>店数</w:t>
      </w:r>
      <w:r w:rsidR="000818F6">
        <w:rPr>
          <w:rFonts w:ascii="宋体" w:eastAsia="宋体" w:hAnsi="宋体" w:hint="eastAsia"/>
          <w:sz w:val="24"/>
          <w:szCs w:val="24"/>
        </w:rPr>
        <w:t>总计</w:t>
      </w:r>
      <w:r w:rsidRPr="00BF6DE3">
        <w:rPr>
          <w:rFonts w:ascii="宋体" w:eastAsia="宋体" w:hAnsi="宋体"/>
          <w:sz w:val="24"/>
          <w:szCs w:val="24"/>
        </w:rPr>
        <w:t>2</w:t>
      </w:r>
      <w:r w:rsidR="000818F6">
        <w:rPr>
          <w:rFonts w:ascii="宋体" w:eastAsia="宋体" w:hAnsi="宋体"/>
          <w:sz w:val="24"/>
          <w:szCs w:val="24"/>
        </w:rPr>
        <w:t>,</w:t>
      </w:r>
      <w:proofErr w:type="gramStart"/>
      <w:r w:rsidR="000818F6">
        <w:rPr>
          <w:rFonts w:ascii="宋体" w:eastAsia="宋体" w:hAnsi="宋体"/>
          <w:sz w:val="24"/>
          <w:szCs w:val="24"/>
        </w:rPr>
        <w:t>893</w:t>
      </w:r>
      <w:r w:rsidRPr="00BF6DE3">
        <w:rPr>
          <w:rFonts w:ascii="宋体" w:eastAsia="宋体" w:hAnsi="宋体"/>
          <w:sz w:val="24"/>
          <w:szCs w:val="24"/>
        </w:rPr>
        <w:t>余家</w:t>
      </w:r>
      <w:proofErr w:type="gramEnd"/>
      <w:r w:rsidRPr="00BF6DE3">
        <w:rPr>
          <w:rFonts w:ascii="宋体" w:eastAsia="宋体" w:hAnsi="宋体"/>
          <w:sz w:val="24"/>
          <w:szCs w:val="24"/>
        </w:rPr>
        <w:t>，占公司总门店数的22</w:t>
      </w:r>
      <w:r w:rsidR="000818F6">
        <w:rPr>
          <w:rFonts w:ascii="宋体" w:eastAsia="宋体" w:hAnsi="宋体"/>
          <w:sz w:val="24"/>
          <w:szCs w:val="24"/>
        </w:rPr>
        <w:t>.14</w:t>
      </w:r>
      <w:r w:rsidRPr="00BF6DE3">
        <w:rPr>
          <w:rFonts w:ascii="宋体" w:eastAsia="宋体" w:hAnsi="宋体"/>
          <w:sz w:val="24"/>
          <w:szCs w:val="24"/>
        </w:rPr>
        <w:t>%，门诊统筹政策对药房的放开主要有以下几个方面的影响:</w:t>
      </w:r>
    </w:p>
    <w:p w14:paraId="0F97D67C" w14:textId="6FB84334" w:rsidR="000818F6" w:rsidRPr="000818F6" w:rsidRDefault="000818F6" w:rsidP="000818F6">
      <w:pPr>
        <w:spacing w:line="360" w:lineRule="auto"/>
        <w:ind w:firstLineChars="200" w:firstLine="480"/>
        <w:rPr>
          <w:rFonts w:ascii="宋体" w:eastAsia="宋体" w:hAnsi="宋体"/>
          <w:sz w:val="24"/>
          <w:szCs w:val="24"/>
        </w:rPr>
      </w:pPr>
      <w:r>
        <w:rPr>
          <w:rFonts w:ascii="宋体" w:eastAsia="宋体" w:hAnsi="宋体" w:hint="eastAsia"/>
          <w:sz w:val="24"/>
          <w:szCs w:val="24"/>
        </w:rPr>
        <w:t>第一，</w:t>
      </w:r>
      <w:r w:rsidR="00D82931" w:rsidRPr="000818F6">
        <w:rPr>
          <w:rFonts w:ascii="宋体" w:eastAsia="宋体" w:hAnsi="宋体" w:hint="eastAsia"/>
          <w:sz w:val="24"/>
          <w:szCs w:val="24"/>
        </w:rPr>
        <w:t>从目前公司落地统筹门</w:t>
      </w:r>
      <w:proofErr w:type="gramStart"/>
      <w:r w:rsidR="00D82931" w:rsidRPr="000818F6">
        <w:rPr>
          <w:rFonts w:ascii="宋体" w:eastAsia="宋体" w:hAnsi="宋体" w:hint="eastAsia"/>
          <w:sz w:val="24"/>
          <w:szCs w:val="24"/>
        </w:rPr>
        <w:t>店数据</w:t>
      </w:r>
      <w:proofErr w:type="gramEnd"/>
      <w:r w:rsidR="00D82931" w:rsidRPr="000818F6">
        <w:rPr>
          <w:rFonts w:ascii="宋体" w:eastAsia="宋体" w:hAnsi="宋体" w:hint="eastAsia"/>
          <w:sz w:val="24"/>
          <w:szCs w:val="24"/>
        </w:rPr>
        <w:t>来看</w:t>
      </w:r>
      <w:r w:rsidR="00D82931" w:rsidRPr="000818F6">
        <w:rPr>
          <w:rFonts w:ascii="宋体" w:eastAsia="宋体" w:hAnsi="宋体"/>
          <w:sz w:val="24"/>
          <w:szCs w:val="24"/>
        </w:rPr>
        <w:t>,</w:t>
      </w:r>
      <w:r w:rsidRPr="000818F6">
        <w:rPr>
          <w:rFonts w:ascii="宋体" w:eastAsia="宋体" w:hAnsi="宋体"/>
          <w:sz w:val="24"/>
          <w:szCs w:val="24"/>
        </w:rPr>
        <w:t>今年已纳入门诊统筹管理的零售药店在来客数和销售额方面均有较为明显的提升</w:t>
      </w:r>
      <w:r w:rsidRPr="000818F6">
        <w:rPr>
          <w:rFonts w:ascii="宋体" w:eastAsia="宋体" w:hAnsi="宋体" w:hint="eastAsia"/>
          <w:sz w:val="24"/>
          <w:szCs w:val="24"/>
        </w:rPr>
        <w:t>。</w:t>
      </w:r>
    </w:p>
    <w:p w14:paraId="7EAF6930" w14:textId="07602C80" w:rsidR="00D82931" w:rsidRPr="000818F6" w:rsidRDefault="00D82931" w:rsidP="000818F6">
      <w:pPr>
        <w:spacing w:line="360" w:lineRule="auto"/>
        <w:ind w:firstLineChars="200" w:firstLine="480"/>
        <w:rPr>
          <w:rFonts w:ascii="宋体" w:eastAsia="宋体" w:hAnsi="宋体"/>
          <w:sz w:val="24"/>
          <w:szCs w:val="24"/>
        </w:rPr>
      </w:pPr>
      <w:r w:rsidRPr="000818F6">
        <w:rPr>
          <w:rFonts w:ascii="宋体" w:eastAsia="宋体" w:hAnsi="宋体" w:hint="eastAsia"/>
          <w:sz w:val="24"/>
          <w:szCs w:val="24"/>
        </w:rPr>
        <w:t>第二，长期来看门诊统筹落地有助于推动处方外流。政策积极支持定点零售药店开通门诊统筹服务、完善定点药店门诊统筹支付政策、明确定点零售药店纳入门诊统筹的配套政策，这是对处方流转、医药分业实质性的推动。</w:t>
      </w:r>
    </w:p>
    <w:p w14:paraId="2A635897" w14:textId="77777777" w:rsidR="00D82931" w:rsidRPr="00BF6DE3" w:rsidRDefault="00D82931" w:rsidP="00D82931">
      <w:pPr>
        <w:spacing w:line="360" w:lineRule="auto"/>
        <w:ind w:firstLineChars="200" w:firstLine="480"/>
        <w:rPr>
          <w:rFonts w:ascii="宋体" w:eastAsia="宋体" w:hAnsi="宋体"/>
          <w:sz w:val="24"/>
          <w:szCs w:val="24"/>
        </w:rPr>
      </w:pPr>
      <w:r w:rsidRPr="00BF6DE3">
        <w:rPr>
          <w:rFonts w:ascii="宋体" w:eastAsia="宋体" w:hAnsi="宋体" w:hint="eastAsia"/>
          <w:sz w:val="24"/>
          <w:szCs w:val="24"/>
        </w:rPr>
        <w:t>第三，门诊统筹要求药房在流程和服务上的合</w:t>
      </w:r>
      <w:proofErr w:type="gramStart"/>
      <w:r w:rsidRPr="00BF6DE3">
        <w:rPr>
          <w:rFonts w:ascii="宋体" w:eastAsia="宋体" w:hAnsi="宋体" w:hint="eastAsia"/>
          <w:sz w:val="24"/>
          <w:szCs w:val="24"/>
        </w:rPr>
        <w:t>规</w:t>
      </w:r>
      <w:proofErr w:type="gramEnd"/>
      <w:r w:rsidRPr="00BF6DE3">
        <w:rPr>
          <w:rFonts w:ascii="宋体" w:eastAsia="宋体" w:hAnsi="宋体" w:hint="eastAsia"/>
          <w:sz w:val="24"/>
          <w:szCs w:val="24"/>
        </w:rPr>
        <w:t>将更加严格，提高了门槛。需要投入的各项合</w:t>
      </w:r>
      <w:proofErr w:type="gramStart"/>
      <w:r w:rsidRPr="00BF6DE3">
        <w:rPr>
          <w:rFonts w:ascii="宋体" w:eastAsia="宋体" w:hAnsi="宋体" w:hint="eastAsia"/>
          <w:sz w:val="24"/>
          <w:szCs w:val="24"/>
        </w:rPr>
        <w:t>规</w:t>
      </w:r>
      <w:proofErr w:type="gramEnd"/>
      <w:r w:rsidRPr="00BF6DE3">
        <w:rPr>
          <w:rFonts w:ascii="宋体" w:eastAsia="宋体" w:hAnsi="宋体" w:hint="eastAsia"/>
          <w:sz w:val="24"/>
          <w:szCs w:val="24"/>
        </w:rPr>
        <w:t>成本很高，利好规范程度更高、合</w:t>
      </w:r>
      <w:proofErr w:type="gramStart"/>
      <w:r w:rsidRPr="00BF6DE3">
        <w:rPr>
          <w:rFonts w:ascii="宋体" w:eastAsia="宋体" w:hAnsi="宋体" w:hint="eastAsia"/>
          <w:sz w:val="24"/>
          <w:szCs w:val="24"/>
        </w:rPr>
        <w:t>规</w:t>
      </w:r>
      <w:proofErr w:type="gramEnd"/>
      <w:r w:rsidRPr="00BF6DE3">
        <w:rPr>
          <w:rFonts w:ascii="宋体" w:eastAsia="宋体" w:hAnsi="宋体" w:hint="eastAsia"/>
          <w:sz w:val="24"/>
          <w:szCs w:val="24"/>
        </w:rPr>
        <w:t>能力更强的龙头药房</w:t>
      </w:r>
      <w:r>
        <w:rPr>
          <w:rFonts w:ascii="宋体" w:eastAsia="宋体" w:hAnsi="宋体" w:hint="eastAsia"/>
          <w:sz w:val="24"/>
          <w:szCs w:val="24"/>
        </w:rPr>
        <w:t>。</w:t>
      </w:r>
    </w:p>
    <w:p w14:paraId="2D6CB257" w14:textId="34AC0CB3" w:rsidR="001B0F96" w:rsidRDefault="001B0F96" w:rsidP="00BF6DE3">
      <w:pPr>
        <w:spacing w:line="360" w:lineRule="auto"/>
        <w:ind w:firstLineChars="200" w:firstLine="482"/>
        <w:rPr>
          <w:rFonts w:ascii="宋体" w:eastAsia="宋体" w:hAnsi="宋体"/>
          <w:sz w:val="24"/>
          <w:szCs w:val="24"/>
        </w:rPr>
      </w:pPr>
      <w:r w:rsidRPr="00B82987">
        <w:rPr>
          <w:rFonts w:ascii="宋体" w:eastAsia="宋体" w:hAnsi="宋体" w:hint="eastAsia"/>
          <w:b/>
          <w:bCs/>
          <w:sz w:val="24"/>
          <w:szCs w:val="24"/>
        </w:rPr>
        <w:t>问题</w:t>
      </w:r>
      <w:r w:rsidR="000818F6">
        <w:rPr>
          <w:rFonts w:ascii="宋体" w:eastAsia="宋体" w:hAnsi="宋体"/>
          <w:b/>
          <w:bCs/>
          <w:sz w:val="24"/>
          <w:szCs w:val="24"/>
        </w:rPr>
        <w:t>4</w:t>
      </w:r>
      <w:r w:rsidRPr="00B82987">
        <w:rPr>
          <w:rFonts w:ascii="宋体" w:eastAsia="宋体" w:hAnsi="宋体" w:hint="eastAsia"/>
          <w:b/>
          <w:bCs/>
          <w:sz w:val="24"/>
          <w:szCs w:val="24"/>
        </w:rPr>
        <w:t>：</w:t>
      </w:r>
      <w:r w:rsidR="00D82931">
        <w:rPr>
          <w:rFonts w:ascii="宋体" w:eastAsia="宋体" w:hAnsi="宋体" w:hint="eastAsia"/>
          <w:sz w:val="24"/>
          <w:szCs w:val="24"/>
        </w:rPr>
        <w:t>公司</w:t>
      </w:r>
      <w:proofErr w:type="gramStart"/>
      <w:r w:rsidR="00D82931">
        <w:rPr>
          <w:rFonts w:ascii="宋体" w:eastAsia="宋体" w:hAnsi="宋体" w:hint="eastAsia"/>
          <w:sz w:val="24"/>
          <w:szCs w:val="24"/>
        </w:rPr>
        <w:t>自营门</w:t>
      </w:r>
      <w:proofErr w:type="gramEnd"/>
      <w:r w:rsidR="00D82931">
        <w:rPr>
          <w:rFonts w:ascii="宋体" w:eastAsia="宋体" w:hAnsi="宋体" w:hint="eastAsia"/>
          <w:sz w:val="24"/>
          <w:szCs w:val="24"/>
        </w:rPr>
        <w:t>店盈亏平衡周期是多长</w:t>
      </w:r>
      <w:r w:rsidRPr="007B2349">
        <w:rPr>
          <w:rFonts w:ascii="宋体" w:eastAsia="宋体" w:hAnsi="宋体"/>
          <w:sz w:val="24"/>
          <w:szCs w:val="24"/>
        </w:rPr>
        <w:t>？</w:t>
      </w:r>
    </w:p>
    <w:p w14:paraId="4F0B1580" w14:textId="2B827B62" w:rsidR="00766D59" w:rsidRDefault="001B0F96" w:rsidP="00BF6DE3">
      <w:pPr>
        <w:spacing w:line="360" w:lineRule="auto"/>
        <w:ind w:firstLineChars="200" w:firstLine="480"/>
        <w:rPr>
          <w:rFonts w:ascii="宋体" w:eastAsia="宋体" w:hAnsi="宋体"/>
          <w:sz w:val="24"/>
          <w:szCs w:val="24"/>
        </w:rPr>
      </w:pPr>
      <w:r>
        <w:rPr>
          <w:rFonts w:ascii="宋体" w:eastAsia="宋体" w:hAnsi="宋体" w:hint="eastAsia"/>
          <w:sz w:val="24"/>
          <w:szCs w:val="24"/>
        </w:rPr>
        <w:t>回答：</w:t>
      </w:r>
      <w:r w:rsidR="000818F6">
        <w:rPr>
          <w:rFonts w:ascii="宋体" w:eastAsia="宋体" w:hAnsi="宋体" w:hint="eastAsia"/>
          <w:sz w:val="24"/>
          <w:szCs w:val="24"/>
        </w:rPr>
        <w:t>公司</w:t>
      </w:r>
      <w:proofErr w:type="gramStart"/>
      <w:r w:rsidR="000818F6">
        <w:rPr>
          <w:rFonts w:ascii="宋体" w:eastAsia="宋体" w:hAnsi="宋体" w:hint="eastAsia"/>
          <w:sz w:val="24"/>
          <w:szCs w:val="24"/>
        </w:rPr>
        <w:t>自营门</w:t>
      </w:r>
      <w:proofErr w:type="gramEnd"/>
      <w:r w:rsidR="000818F6">
        <w:rPr>
          <w:rFonts w:ascii="宋体" w:eastAsia="宋体" w:hAnsi="宋体" w:hint="eastAsia"/>
          <w:sz w:val="24"/>
          <w:szCs w:val="24"/>
        </w:rPr>
        <w:t>店盈亏平衡周期约为1</w:t>
      </w:r>
      <w:r w:rsidR="00F5626D">
        <w:rPr>
          <w:rFonts w:ascii="宋体" w:eastAsia="宋体" w:hAnsi="宋体"/>
          <w:sz w:val="24"/>
          <w:szCs w:val="24"/>
        </w:rPr>
        <w:t>0-14</w:t>
      </w:r>
      <w:r w:rsidR="000818F6">
        <w:rPr>
          <w:rFonts w:ascii="宋体" w:eastAsia="宋体" w:hAnsi="宋体" w:hint="eastAsia"/>
          <w:sz w:val="24"/>
          <w:szCs w:val="24"/>
        </w:rPr>
        <w:t>个月。</w:t>
      </w:r>
    </w:p>
    <w:p w14:paraId="32019648" w14:textId="5A86B487" w:rsidR="00BF6DE3" w:rsidRDefault="00BF6DE3" w:rsidP="00BF6DE3">
      <w:pPr>
        <w:spacing w:line="360" w:lineRule="auto"/>
        <w:ind w:firstLineChars="200" w:firstLine="482"/>
        <w:rPr>
          <w:rFonts w:ascii="宋体" w:eastAsia="宋体" w:hAnsi="宋体"/>
          <w:sz w:val="24"/>
          <w:szCs w:val="24"/>
        </w:rPr>
      </w:pPr>
      <w:r w:rsidRPr="00BF6DE3">
        <w:rPr>
          <w:rFonts w:ascii="宋体" w:eastAsia="宋体" w:hAnsi="宋体" w:hint="eastAsia"/>
          <w:b/>
          <w:bCs/>
          <w:sz w:val="24"/>
          <w:szCs w:val="24"/>
        </w:rPr>
        <w:t>问题</w:t>
      </w:r>
      <w:r w:rsidR="002E1E1B">
        <w:rPr>
          <w:rFonts w:ascii="宋体" w:eastAsia="宋体" w:hAnsi="宋体"/>
          <w:b/>
          <w:bCs/>
          <w:sz w:val="24"/>
          <w:szCs w:val="24"/>
        </w:rPr>
        <w:t>5</w:t>
      </w:r>
      <w:r w:rsidRPr="00BF6DE3">
        <w:rPr>
          <w:rFonts w:ascii="宋体" w:eastAsia="宋体" w:hAnsi="宋体" w:hint="eastAsia"/>
          <w:b/>
          <w:bCs/>
          <w:sz w:val="24"/>
          <w:szCs w:val="24"/>
        </w:rPr>
        <w:t>：</w:t>
      </w:r>
      <w:r w:rsidR="00D82931">
        <w:rPr>
          <w:rFonts w:ascii="宋体" w:eastAsia="宋体" w:hAnsi="宋体" w:hint="eastAsia"/>
          <w:sz w:val="24"/>
          <w:szCs w:val="24"/>
        </w:rPr>
        <w:t>公司新零售业务板块发展情况如何</w:t>
      </w:r>
      <w:r w:rsidRPr="00BF6DE3">
        <w:rPr>
          <w:rFonts w:ascii="宋体" w:eastAsia="宋体" w:hAnsi="宋体"/>
          <w:sz w:val="24"/>
          <w:szCs w:val="24"/>
        </w:rPr>
        <w:t>?</w:t>
      </w:r>
    </w:p>
    <w:p w14:paraId="01C6D29E" w14:textId="2FEECA94" w:rsidR="00BF6DE3" w:rsidRPr="006F0665" w:rsidRDefault="00BF6DE3" w:rsidP="00980EA8">
      <w:pPr>
        <w:spacing w:line="360" w:lineRule="auto"/>
        <w:ind w:firstLineChars="200" w:firstLine="480"/>
        <w:rPr>
          <w:rFonts w:ascii="宋体" w:eastAsia="宋体" w:hAnsi="宋体"/>
          <w:sz w:val="24"/>
          <w:szCs w:val="24"/>
        </w:rPr>
      </w:pPr>
      <w:r>
        <w:rPr>
          <w:rFonts w:ascii="宋体" w:eastAsia="宋体" w:hAnsi="宋体" w:hint="eastAsia"/>
          <w:sz w:val="24"/>
          <w:szCs w:val="24"/>
        </w:rPr>
        <w:t>回答：</w:t>
      </w:r>
      <w:r w:rsidR="00D82931" w:rsidRPr="00BF6DE3">
        <w:rPr>
          <w:rFonts w:ascii="宋体" w:eastAsia="宋体" w:hAnsi="宋体"/>
          <w:sz w:val="24"/>
          <w:szCs w:val="24"/>
        </w:rPr>
        <w:t xml:space="preserve"> </w:t>
      </w:r>
      <w:r w:rsidR="006F0665" w:rsidRPr="00766D59">
        <w:rPr>
          <w:rFonts w:ascii="宋体" w:eastAsia="宋体" w:hAnsi="宋体" w:hint="eastAsia"/>
          <w:sz w:val="24"/>
          <w:szCs w:val="24"/>
        </w:rPr>
        <w:t>依托数字化驱动</w:t>
      </w:r>
      <w:proofErr w:type="gramStart"/>
      <w:r w:rsidR="006F0665" w:rsidRPr="00766D59">
        <w:rPr>
          <w:rFonts w:ascii="宋体" w:eastAsia="宋体" w:hAnsi="宋体" w:hint="eastAsia"/>
          <w:sz w:val="24"/>
          <w:szCs w:val="24"/>
        </w:rPr>
        <w:t>全渠道</w:t>
      </w:r>
      <w:proofErr w:type="gramEnd"/>
      <w:r w:rsidR="006F0665" w:rsidRPr="00766D59">
        <w:rPr>
          <w:rFonts w:ascii="宋体" w:eastAsia="宋体" w:hAnsi="宋体" w:hint="eastAsia"/>
          <w:sz w:val="24"/>
          <w:szCs w:val="24"/>
        </w:rPr>
        <w:t>发力，公司新零售业务继续保持快速发展。</w:t>
      </w:r>
      <w:proofErr w:type="gramStart"/>
      <w:r w:rsidR="006F0665" w:rsidRPr="006F0665">
        <w:rPr>
          <w:rFonts w:ascii="宋体" w:eastAsia="宋体" w:hAnsi="宋体" w:hint="eastAsia"/>
          <w:sz w:val="24"/>
          <w:szCs w:val="24"/>
        </w:rPr>
        <w:t>公域方面</w:t>
      </w:r>
      <w:proofErr w:type="gramEnd"/>
      <w:r w:rsidR="006F0665" w:rsidRPr="006F0665">
        <w:rPr>
          <w:rFonts w:ascii="宋体" w:eastAsia="宋体" w:hAnsi="宋体" w:hint="eastAsia"/>
          <w:sz w:val="24"/>
          <w:szCs w:val="24"/>
        </w:rPr>
        <w:t>，</w:t>
      </w:r>
      <w:r w:rsidR="006F0665">
        <w:rPr>
          <w:rFonts w:ascii="宋体" w:eastAsia="宋体" w:hAnsi="宋体" w:hint="eastAsia"/>
          <w:sz w:val="24"/>
          <w:szCs w:val="24"/>
        </w:rPr>
        <w:t>前三季度</w:t>
      </w:r>
      <w:r w:rsidR="006F0665" w:rsidRPr="00766D59">
        <w:rPr>
          <w:rFonts w:ascii="宋体" w:eastAsia="宋体" w:hAnsi="宋体"/>
          <w:sz w:val="24"/>
          <w:szCs w:val="24"/>
        </w:rPr>
        <w:t>O2O与B2C销售额</w:t>
      </w:r>
      <w:r w:rsidR="006F0665">
        <w:rPr>
          <w:rFonts w:ascii="宋体" w:eastAsia="宋体" w:hAnsi="宋体" w:hint="eastAsia"/>
          <w:sz w:val="24"/>
          <w:szCs w:val="24"/>
        </w:rPr>
        <w:t>于</w:t>
      </w:r>
      <w:r w:rsidR="006F0665" w:rsidRPr="006F0665">
        <w:rPr>
          <w:rFonts w:ascii="宋体" w:eastAsia="宋体" w:hAnsi="宋体" w:hint="eastAsia"/>
          <w:sz w:val="24"/>
          <w:szCs w:val="24"/>
        </w:rPr>
        <w:t>多个平台保持全国排名前列，同比增长率领先行业；</w:t>
      </w:r>
      <w:proofErr w:type="gramStart"/>
      <w:r w:rsidR="006F0665" w:rsidRPr="006F0665">
        <w:rPr>
          <w:rFonts w:ascii="宋体" w:eastAsia="宋体" w:hAnsi="宋体" w:hint="eastAsia"/>
          <w:sz w:val="24"/>
          <w:szCs w:val="24"/>
        </w:rPr>
        <w:t>私域方面</w:t>
      </w:r>
      <w:proofErr w:type="gramEnd"/>
      <w:r w:rsidR="006F0665" w:rsidRPr="006F0665">
        <w:rPr>
          <w:rFonts w:ascii="宋体" w:eastAsia="宋体" w:hAnsi="宋体" w:hint="eastAsia"/>
          <w:sz w:val="24"/>
          <w:szCs w:val="24"/>
        </w:rPr>
        <w:t>，</w:t>
      </w:r>
      <w:proofErr w:type="gramStart"/>
      <w:r w:rsidR="00980EA8">
        <w:rPr>
          <w:rFonts w:ascii="宋体" w:eastAsia="宋体" w:hAnsi="宋体" w:hint="eastAsia"/>
          <w:sz w:val="24"/>
          <w:szCs w:val="24"/>
        </w:rPr>
        <w:t>2</w:t>
      </w:r>
      <w:r w:rsidR="00980EA8">
        <w:rPr>
          <w:rFonts w:ascii="宋体" w:eastAsia="宋体" w:hAnsi="宋体"/>
          <w:sz w:val="24"/>
          <w:szCs w:val="24"/>
        </w:rPr>
        <w:t>023</w:t>
      </w:r>
      <w:r w:rsidR="00980EA8">
        <w:rPr>
          <w:rFonts w:ascii="宋体" w:eastAsia="宋体" w:hAnsi="宋体" w:hint="eastAsia"/>
          <w:sz w:val="24"/>
          <w:szCs w:val="24"/>
        </w:rPr>
        <w:t>年私域</w:t>
      </w:r>
      <w:r w:rsidR="006F0665" w:rsidRPr="006F0665">
        <w:rPr>
          <w:rFonts w:ascii="宋体" w:eastAsia="宋体" w:hAnsi="宋体"/>
          <w:sz w:val="24"/>
          <w:szCs w:val="24"/>
        </w:rPr>
        <w:t>累计</w:t>
      </w:r>
      <w:proofErr w:type="gramEnd"/>
      <w:r w:rsidR="006F0665" w:rsidRPr="006F0665">
        <w:rPr>
          <w:rFonts w:ascii="宋体" w:eastAsia="宋体" w:hAnsi="宋体"/>
          <w:sz w:val="24"/>
          <w:szCs w:val="24"/>
        </w:rPr>
        <w:t>销售8,360万元，同比增长50.5%。</w:t>
      </w:r>
      <w:r w:rsidR="006F0665">
        <w:rPr>
          <w:rFonts w:ascii="宋体" w:eastAsia="宋体" w:hAnsi="宋体" w:hint="eastAsia"/>
          <w:sz w:val="24"/>
          <w:szCs w:val="24"/>
        </w:rPr>
        <w:t>2</w:t>
      </w:r>
      <w:r w:rsidR="006F0665">
        <w:rPr>
          <w:rFonts w:ascii="宋体" w:eastAsia="宋体" w:hAnsi="宋体"/>
          <w:sz w:val="24"/>
          <w:szCs w:val="24"/>
        </w:rPr>
        <w:t>023</w:t>
      </w:r>
      <w:r w:rsidR="006F0665">
        <w:rPr>
          <w:rFonts w:ascii="宋体" w:eastAsia="宋体" w:hAnsi="宋体" w:hint="eastAsia"/>
          <w:sz w:val="24"/>
          <w:szCs w:val="24"/>
        </w:rPr>
        <w:t>年前三季度线</w:t>
      </w:r>
      <w:proofErr w:type="gramStart"/>
      <w:r w:rsidR="006F0665">
        <w:rPr>
          <w:rFonts w:ascii="宋体" w:eastAsia="宋体" w:hAnsi="宋体" w:hint="eastAsia"/>
          <w:sz w:val="24"/>
          <w:szCs w:val="24"/>
        </w:rPr>
        <w:t>上渠道</w:t>
      </w:r>
      <w:proofErr w:type="gramEnd"/>
      <w:r w:rsidR="006F0665" w:rsidRPr="00766D59">
        <w:rPr>
          <w:rFonts w:ascii="宋体" w:eastAsia="宋体" w:hAnsi="宋体"/>
          <w:sz w:val="24"/>
          <w:szCs w:val="24"/>
        </w:rPr>
        <w:t>销售</w:t>
      </w:r>
      <w:r w:rsidR="006F0665">
        <w:rPr>
          <w:rFonts w:ascii="宋体" w:eastAsia="宋体" w:hAnsi="宋体" w:hint="eastAsia"/>
          <w:sz w:val="24"/>
          <w:szCs w:val="24"/>
        </w:rPr>
        <w:t>额达到1</w:t>
      </w:r>
      <w:r w:rsidR="006F0665">
        <w:rPr>
          <w:rFonts w:ascii="宋体" w:eastAsia="宋体" w:hAnsi="宋体"/>
          <w:sz w:val="24"/>
          <w:szCs w:val="24"/>
        </w:rPr>
        <w:t>4.9</w:t>
      </w:r>
      <w:r w:rsidR="006F0665">
        <w:rPr>
          <w:rFonts w:ascii="宋体" w:eastAsia="宋体" w:hAnsi="宋体" w:hint="eastAsia"/>
          <w:sz w:val="24"/>
          <w:szCs w:val="24"/>
        </w:rPr>
        <w:t>亿元，同比增长6</w:t>
      </w:r>
      <w:r w:rsidR="006F0665">
        <w:rPr>
          <w:rFonts w:ascii="宋体" w:eastAsia="宋体" w:hAnsi="宋体"/>
          <w:sz w:val="24"/>
          <w:szCs w:val="24"/>
        </w:rPr>
        <w:t>0%</w:t>
      </w:r>
      <w:r w:rsidR="006F0665">
        <w:rPr>
          <w:rFonts w:ascii="宋体" w:eastAsia="宋体" w:hAnsi="宋体" w:hint="eastAsia"/>
          <w:sz w:val="24"/>
          <w:szCs w:val="24"/>
        </w:rPr>
        <w:t>；</w:t>
      </w:r>
      <w:r w:rsidR="006F0665" w:rsidRPr="00766D59">
        <w:rPr>
          <w:rFonts w:ascii="宋体" w:eastAsia="宋体" w:hAnsi="宋体"/>
          <w:sz w:val="24"/>
          <w:szCs w:val="24"/>
        </w:rPr>
        <w:t>公司O2O外卖服务门</w:t>
      </w:r>
      <w:proofErr w:type="gramStart"/>
      <w:r w:rsidR="006F0665" w:rsidRPr="00766D59">
        <w:rPr>
          <w:rFonts w:ascii="宋体" w:eastAsia="宋体" w:hAnsi="宋体"/>
          <w:sz w:val="24"/>
          <w:szCs w:val="24"/>
        </w:rPr>
        <w:t>店达到</w:t>
      </w:r>
      <w:proofErr w:type="gramEnd"/>
      <w:r w:rsidR="006F0665">
        <w:rPr>
          <w:rFonts w:ascii="宋体" w:eastAsia="宋体" w:hAnsi="宋体"/>
          <w:sz w:val="24"/>
          <w:szCs w:val="24"/>
        </w:rPr>
        <w:t>10</w:t>
      </w:r>
      <w:r w:rsidR="006F0665" w:rsidRPr="00766D59">
        <w:rPr>
          <w:rFonts w:ascii="宋体" w:eastAsia="宋体" w:hAnsi="宋体"/>
          <w:sz w:val="24"/>
          <w:szCs w:val="24"/>
        </w:rPr>
        <w:t>,</w:t>
      </w:r>
      <w:r w:rsidR="006F0665">
        <w:rPr>
          <w:rFonts w:ascii="宋体" w:eastAsia="宋体" w:hAnsi="宋体"/>
          <w:sz w:val="24"/>
          <w:szCs w:val="24"/>
        </w:rPr>
        <w:t>005</w:t>
      </w:r>
      <w:r w:rsidR="006F0665" w:rsidRPr="00766D59">
        <w:rPr>
          <w:rFonts w:ascii="宋体" w:eastAsia="宋体" w:hAnsi="宋体"/>
          <w:sz w:val="24"/>
          <w:szCs w:val="24"/>
        </w:rPr>
        <w:t>家，24小时门店增至</w:t>
      </w:r>
      <w:r w:rsidR="006F0665">
        <w:rPr>
          <w:rFonts w:ascii="宋体" w:eastAsia="宋体" w:hAnsi="宋体" w:hint="eastAsia"/>
          <w:sz w:val="24"/>
          <w:szCs w:val="24"/>
        </w:rPr>
        <w:t>6</w:t>
      </w:r>
      <w:r w:rsidR="006F0665">
        <w:rPr>
          <w:rFonts w:ascii="宋体" w:eastAsia="宋体" w:hAnsi="宋体"/>
          <w:sz w:val="24"/>
          <w:szCs w:val="24"/>
        </w:rPr>
        <w:t>32</w:t>
      </w:r>
      <w:r w:rsidR="006F0665" w:rsidRPr="00766D59">
        <w:rPr>
          <w:rFonts w:ascii="宋体" w:eastAsia="宋体" w:hAnsi="宋体"/>
          <w:sz w:val="24"/>
          <w:szCs w:val="24"/>
        </w:rPr>
        <w:t>家。</w:t>
      </w:r>
    </w:p>
    <w:p w14:paraId="5DFDBE2A" w14:textId="331FB8C6" w:rsidR="00980EA8" w:rsidRDefault="00CA628E" w:rsidP="00980EA8">
      <w:pPr>
        <w:spacing w:line="360" w:lineRule="auto"/>
        <w:ind w:firstLineChars="200" w:firstLine="482"/>
        <w:rPr>
          <w:rFonts w:ascii="宋体" w:eastAsia="宋体" w:hAnsi="宋体"/>
          <w:sz w:val="24"/>
          <w:szCs w:val="24"/>
        </w:rPr>
      </w:pPr>
      <w:r w:rsidRPr="00CA628E">
        <w:rPr>
          <w:rFonts w:ascii="宋体" w:eastAsia="宋体" w:hAnsi="宋体" w:hint="eastAsia"/>
          <w:b/>
          <w:bCs/>
          <w:sz w:val="24"/>
          <w:szCs w:val="24"/>
        </w:rPr>
        <w:t>问题</w:t>
      </w:r>
      <w:r w:rsidR="002E1E1B">
        <w:rPr>
          <w:rFonts w:ascii="宋体" w:eastAsia="宋体" w:hAnsi="宋体"/>
          <w:b/>
          <w:bCs/>
          <w:sz w:val="24"/>
          <w:szCs w:val="24"/>
        </w:rPr>
        <w:t>6</w:t>
      </w:r>
      <w:r>
        <w:rPr>
          <w:rFonts w:ascii="宋体" w:eastAsia="宋体" w:hAnsi="宋体" w:hint="eastAsia"/>
          <w:sz w:val="24"/>
          <w:szCs w:val="24"/>
        </w:rPr>
        <w:t>：</w:t>
      </w:r>
      <w:proofErr w:type="gramStart"/>
      <w:r>
        <w:rPr>
          <w:rFonts w:ascii="宋体" w:eastAsia="宋体" w:hAnsi="宋体" w:hint="eastAsia"/>
          <w:sz w:val="24"/>
          <w:szCs w:val="24"/>
        </w:rPr>
        <w:t>公司数</w:t>
      </w:r>
      <w:r w:rsidR="00980EA8">
        <w:rPr>
          <w:rFonts w:ascii="宋体" w:eastAsia="宋体" w:hAnsi="宋体" w:hint="eastAsia"/>
          <w:sz w:val="24"/>
          <w:szCs w:val="24"/>
        </w:rPr>
        <w:t>智</w:t>
      </w:r>
      <w:r>
        <w:rPr>
          <w:rFonts w:ascii="宋体" w:eastAsia="宋体" w:hAnsi="宋体" w:hint="eastAsia"/>
          <w:sz w:val="24"/>
          <w:szCs w:val="24"/>
        </w:rPr>
        <w:t>化</w:t>
      </w:r>
      <w:proofErr w:type="gramEnd"/>
      <w:r>
        <w:rPr>
          <w:rFonts w:ascii="宋体" w:eastAsia="宋体" w:hAnsi="宋体" w:hint="eastAsia"/>
          <w:sz w:val="24"/>
          <w:szCs w:val="24"/>
        </w:rPr>
        <w:t>运营的发展情况如何</w:t>
      </w:r>
      <w:r w:rsidR="00980EA8">
        <w:rPr>
          <w:rFonts w:ascii="宋体" w:eastAsia="宋体" w:hAnsi="宋体" w:hint="eastAsia"/>
          <w:sz w:val="24"/>
          <w:szCs w:val="24"/>
        </w:rPr>
        <w:t>？</w:t>
      </w:r>
    </w:p>
    <w:p w14:paraId="40951BF5" w14:textId="7FF35F93" w:rsidR="00980EA8" w:rsidRPr="00BF6DE3" w:rsidRDefault="00980EA8" w:rsidP="00980EA8">
      <w:pPr>
        <w:spacing w:line="360" w:lineRule="auto"/>
        <w:ind w:firstLineChars="200" w:firstLine="480"/>
        <w:rPr>
          <w:rFonts w:ascii="宋体" w:eastAsia="宋体" w:hAnsi="宋体"/>
          <w:sz w:val="24"/>
          <w:szCs w:val="24"/>
        </w:rPr>
      </w:pPr>
      <w:r>
        <w:rPr>
          <w:rFonts w:ascii="宋体" w:eastAsia="宋体" w:hAnsi="宋体" w:hint="eastAsia"/>
          <w:sz w:val="24"/>
          <w:szCs w:val="24"/>
        </w:rPr>
        <w:t>回答：</w:t>
      </w:r>
      <w:r w:rsidRPr="00980EA8">
        <w:rPr>
          <w:rFonts w:ascii="宋体" w:eastAsia="宋体" w:hAnsi="宋体"/>
          <w:sz w:val="24"/>
          <w:szCs w:val="24"/>
        </w:rPr>
        <w:t>2023年前三季度，</w:t>
      </w:r>
      <w:proofErr w:type="gramStart"/>
      <w:r w:rsidRPr="00980EA8">
        <w:rPr>
          <w:rFonts w:ascii="宋体" w:eastAsia="宋体" w:hAnsi="宋体"/>
          <w:sz w:val="24"/>
          <w:szCs w:val="24"/>
        </w:rPr>
        <w:t>公司数智化</w:t>
      </w:r>
      <w:proofErr w:type="gramEnd"/>
      <w:r w:rsidRPr="00980EA8">
        <w:rPr>
          <w:rFonts w:ascii="宋体" w:eastAsia="宋体" w:hAnsi="宋体"/>
          <w:sz w:val="24"/>
          <w:szCs w:val="24"/>
        </w:rPr>
        <w:t>进程稳步前行，持续围绕以下几方面发</w:t>
      </w:r>
      <w:r w:rsidRPr="00980EA8">
        <w:rPr>
          <w:rFonts w:ascii="宋体" w:eastAsia="宋体" w:hAnsi="宋体"/>
          <w:sz w:val="24"/>
          <w:szCs w:val="24"/>
        </w:rPr>
        <w:lastRenderedPageBreak/>
        <w:t>力：第一，</w:t>
      </w:r>
      <w:proofErr w:type="gramStart"/>
      <w:r w:rsidRPr="00980EA8">
        <w:rPr>
          <w:rFonts w:ascii="宋体" w:eastAsia="宋体" w:hAnsi="宋体"/>
          <w:sz w:val="24"/>
          <w:szCs w:val="24"/>
        </w:rPr>
        <w:t>供应链已基本</w:t>
      </w:r>
      <w:proofErr w:type="gramEnd"/>
      <w:r w:rsidRPr="00980EA8">
        <w:rPr>
          <w:rFonts w:ascii="宋体" w:eastAsia="宋体" w:hAnsi="宋体"/>
          <w:sz w:val="24"/>
          <w:szCs w:val="24"/>
        </w:rPr>
        <w:t>完成“监控-预警-分析-策略-执行”体系的建立，并在“分析体系”和“策略执行”双管齐下已基本做到自动定位业务原因，实现全面诊断业务现状，提升供应链体系效率。第二，</w:t>
      </w:r>
      <w:proofErr w:type="gramStart"/>
      <w:r w:rsidRPr="00980EA8">
        <w:rPr>
          <w:rFonts w:ascii="宋体" w:eastAsia="宋体" w:hAnsi="宋体"/>
          <w:sz w:val="24"/>
          <w:szCs w:val="24"/>
        </w:rPr>
        <w:t>智能请货算法</w:t>
      </w:r>
      <w:proofErr w:type="gramEnd"/>
      <w:r w:rsidRPr="00980EA8">
        <w:rPr>
          <w:rFonts w:ascii="宋体" w:eastAsia="宋体" w:hAnsi="宋体"/>
          <w:sz w:val="24"/>
          <w:szCs w:val="24"/>
        </w:rPr>
        <w:t>再度升级，通过断货率持续下降，带来店均毛利额的提升。第三，采购数字化持续实现多项里程碑式的产出，持续提升供应商精细化管理效能，基本实现在线闭环管控。第四，持续深化数据治理工作，开展重点难点专项治理，提高集团数据质量。除此之外，持续探索创新项目，助力公司</w:t>
      </w:r>
      <w:r w:rsidRPr="00980EA8">
        <w:rPr>
          <w:rFonts w:ascii="宋体" w:eastAsia="宋体" w:hAnsi="宋体" w:hint="eastAsia"/>
          <w:sz w:val="24"/>
          <w:szCs w:val="24"/>
        </w:rPr>
        <w:t>打造科技驱动的健康服务平台。</w:t>
      </w:r>
    </w:p>
    <w:p w14:paraId="3AA7AE7D" w14:textId="77777777" w:rsidR="005C3844" w:rsidRDefault="005C3844" w:rsidP="00BF6DE3">
      <w:pPr>
        <w:adjustRightInd w:val="0"/>
        <w:snapToGrid w:val="0"/>
        <w:spacing w:line="360" w:lineRule="auto"/>
        <w:ind w:firstLineChars="200" w:firstLine="480"/>
        <w:jc w:val="right"/>
        <w:rPr>
          <w:rFonts w:ascii="宋体" w:eastAsia="宋体" w:hAnsi="宋体"/>
          <w:sz w:val="24"/>
          <w:szCs w:val="24"/>
        </w:rPr>
      </w:pPr>
    </w:p>
    <w:p w14:paraId="37599B30" w14:textId="77777777" w:rsidR="00A65FB4" w:rsidRDefault="00A65FB4" w:rsidP="00BF6DE3">
      <w:pPr>
        <w:adjustRightInd w:val="0"/>
        <w:snapToGrid w:val="0"/>
        <w:spacing w:line="360" w:lineRule="auto"/>
        <w:ind w:firstLineChars="200" w:firstLine="480"/>
        <w:jc w:val="right"/>
        <w:rPr>
          <w:rFonts w:ascii="宋体" w:eastAsia="宋体" w:hAnsi="宋体" w:hint="eastAsia"/>
          <w:sz w:val="24"/>
          <w:szCs w:val="24"/>
        </w:rPr>
      </w:pPr>
    </w:p>
    <w:p w14:paraId="61742063" w14:textId="2FED38C5" w:rsidR="0019779E" w:rsidRPr="00866D2A" w:rsidRDefault="0019779E" w:rsidP="00BF6DE3">
      <w:pPr>
        <w:adjustRightInd w:val="0"/>
        <w:snapToGrid w:val="0"/>
        <w:spacing w:line="360" w:lineRule="auto"/>
        <w:ind w:firstLineChars="200" w:firstLine="480"/>
        <w:jc w:val="right"/>
        <w:rPr>
          <w:rFonts w:ascii="宋体" w:eastAsia="宋体" w:hAnsi="宋体"/>
          <w:sz w:val="24"/>
          <w:szCs w:val="24"/>
        </w:rPr>
      </w:pPr>
      <w:r w:rsidRPr="00866D2A">
        <w:rPr>
          <w:rFonts w:ascii="宋体" w:eastAsia="宋体" w:hAnsi="宋体" w:hint="eastAsia"/>
          <w:sz w:val="24"/>
          <w:szCs w:val="24"/>
        </w:rPr>
        <w:t>老百姓大药房连锁股份有限公司董事会</w:t>
      </w:r>
    </w:p>
    <w:p w14:paraId="3F0B6768" w14:textId="7A5B76FF" w:rsidR="0019779E" w:rsidRPr="00866D2A" w:rsidRDefault="000C6D4C" w:rsidP="00BF6DE3">
      <w:pPr>
        <w:adjustRightInd w:val="0"/>
        <w:snapToGrid w:val="0"/>
        <w:spacing w:line="360" w:lineRule="auto"/>
        <w:ind w:firstLineChars="200" w:firstLine="480"/>
        <w:jc w:val="right"/>
        <w:rPr>
          <w:rFonts w:ascii="宋体" w:eastAsia="宋体" w:hAnsi="宋体"/>
          <w:sz w:val="24"/>
          <w:szCs w:val="24"/>
        </w:rPr>
      </w:pPr>
      <w:r w:rsidRPr="00866D2A">
        <w:rPr>
          <w:rFonts w:ascii="宋体" w:eastAsia="宋体" w:hAnsi="宋体" w:hint="eastAsia"/>
          <w:sz w:val="24"/>
          <w:szCs w:val="24"/>
        </w:rPr>
        <w:t>20</w:t>
      </w:r>
      <w:r w:rsidRPr="00866D2A">
        <w:rPr>
          <w:rFonts w:ascii="宋体" w:eastAsia="宋体" w:hAnsi="宋体"/>
          <w:sz w:val="24"/>
          <w:szCs w:val="24"/>
        </w:rPr>
        <w:t>2</w:t>
      </w:r>
      <w:r>
        <w:rPr>
          <w:rFonts w:ascii="宋体" w:eastAsia="宋体" w:hAnsi="宋体"/>
          <w:sz w:val="24"/>
          <w:szCs w:val="24"/>
        </w:rPr>
        <w:t>3</w:t>
      </w:r>
      <w:r w:rsidRPr="00866D2A">
        <w:rPr>
          <w:rFonts w:ascii="宋体" w:eastAsia="宋体" w:hAnsi="宋体" w:hint="eastAsia"/>
          <w:sz w:val="24"/>
          <w:szCs w:val="24"/>
        </w:rPr>
        <w:t>年</w:t>
      </w:r>
      <w:r w:rsidR="008B1675">
        <w:rPr>
          <w:rFonts w:ascii="宋体" w:eastAsia="宋体" w:hAnsi="宋体"/>
          <w:sz w:val="24"/>
          <w:szCs w:val="24"/>
        </w:rPr>
        <w:t>1</w:t>
      </w:r>
      <w:r w:rsidR="00980EA8">
        <w:rPr>
          <w:rFonts w:ascii="宋体" w:eastAsia="宋体" w:hAnsi="宋体"/>
          <w:sz w:val="24"/>
          <w:szCs w:val="24"/>
        </w:rPr>
        <w:t>2</w:t>
      </w:r>
      <w:r w:rsidRPr="00866D2A">
        <w:rPr>
          <w:rFonts w:ascii="宋体" w:eastAsia="宋体" w:hAnsi="宋体" w:hint="eastAsia"/>
          <w:sz w:val="24"/>
          <w:szCs w:val="24"/>
        </w:rPr>
        <w:t>月</w:t>
      </w:r>
      <w:r w:rsidR="007B1ECA">
        <w:rPr>
          <w:rFonts w:ascii="宋体" w:eastAsia="宋体" w:hAnsi="宋体"/>
          <w:sz w:val="24"/>
          <w:szCs w:val="24"/>
        </w:rPr>
        <w:t>5</w:t>
      </w:r>
      <w:r w:rsidR="0019779E" w:rsidRPr="00866D2A">
        <w:rPr>
          <w:rFonts w:ascii="宋体" w:eastAsia="宋体" w:hAnsi="宋体" w:hint="eastAsia"/>
          <w:sz w:val="24"/>
          <w:szCs w:val="24"/>
        </w:rPr>
        <w:t>日</w:t>
      </w:r>
    </w:p>
    <w:sectPr w:rsidR="0019779E" w:rsidRPr="00866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F056" w14:textId="77777777" w:rsidR="00860471" w:rsidRDefault="00860471" w:rsidP="002D63FD">
      <w:r>
        <w:separator/>
      </w:r>
    </w:p>
  </w:endnote>
  <w:endnote w:type="continuationSeparator" w:id="0">
    <w:p w14:paraId="17D820EA" w14:textId="77777777" w:rsidR="00860471" w:rsidRDefault="00860471" w:rsidP="002D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7B68" w14:textId="77777777" w:rsidR="00860471" w:rsidRDefault="00860471" w:rsidP="002D63FD">
      <w:r>
        <w:separator/>
      </w:r>
    </w:p>
  </w:footnote>
  <w:footnote w:type="continuationSeparator" w:id="0">
    <w:p w14:paraId="2BF33353" w14:textId="77777777" w:rsidR="00860471" w:rsidRDefault="00860471" w:rsidP="002D6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65F1"/>
    <w:multiLevelType w:val="hybridMultilevel"/>
    <w:tmpl w:val="1D0E0C42"/>
    <w:lvl w:ilvl="0" w:tplc="948E74F8">
      <w:start w:val="1"/>
      <w:numFmt w:val="japaneseCounting"/>
      <w:lvlText w:val="第%1、"/>
      <w:lvlJc w:val="left"/>
      <w:pPr>
        <w:ind w:left="1200" w:hanging="720"/>
      </w:pPr>
      <w:rPr>
        <w:rFonts w:ascii="宋体" w:eastAsia="宋体" w:hAnsi="宋体" w:cstheme="minorBidi"/>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26511D84"/>
    <w:multiLevelType w:val="hybridMultilevel"/>
    <w:tmpl w:val="4A925366"/>
    <w:lvl w:ilvl="0" w:tplc="5426C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29791803">
    <w:abstractNumId w:val="1"/>
  </w:num>
  <w:num w:numId="2" w16cid:durableId="129965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92"/>
    <w:rsid w:val="00016C62"/>
    <w:rsid w:val="0002123A"/>
    <w:rsid w:val="00023818"/>
    <w:rsid w:val="00031703"/>
    <w:rsid w:val="00043451"/>
    <w:rsid w:val="0005570F"/>
    <w:rsid w:val="00055A57"/>
    <w:rsid w:val="00061099"/>
    <w:rsid w:val="000768F7"/>
    <w:rsid w:val="000771E1"/>
    <w:rsid w:val="000818F6"/>
    <w:rsid w:val="00084348"/>
    <w:rsid w:val="00096EBE"/>
    <w:rsid w:val="0009753D"/>
    <w:rsid w:val="000A1B02"/>
    <w:rsid w:val="000A5855"/>
    <w:rsid w:val="000C0AE3"/>
    <w:rsid w:val="000C23BD"/>
    <w:rsid w:val="000C6D4C"/>
    <w:rsid w:val="000D49B4"/>
    <w:rsid w:val="000D4EA8"/>
    <w:rsid w:val="000E2E0A"/>
    <w:rsid w:val="00105975"/>
    <w:rsid w:val="00106445"/>
    <w:rsid w:val="001215D2"/>
    <w:rsid w:val="00131452"/>
    <w:rsid w:val="00134A24"/>
    <w:rsid w:val="00141723"/>
    <w:rsid w:val="00142FF6"/>
    <w:rsid w:val="00154652"/>
    <w:rsid w:val="0015706E"/>
    <w:rsid w:val="00163865"/>
    <w:rsid w:val="0018741F"/>
    <w:rsid w:val="0019779E"/>
    <w:rsid w:val="001A0446"/>
    <w:rsid w:val="001A2A70"/>
    <w:rsid w:val="001A61ED"/>
    <w:rsid w:val="001A7865"/>
    <w:rsid w:val="001B0F96"/>
    <w:rsid w:val="001B392D"/>
    <w:rsid w:val="001B5017"/>
    <w:rsid w:val="001B6B31"/>
    <w:rsid w:val="001C0967"/>
    <w:rsid w:val="001C190C"/>
    <w:rsid w:val="001D29E9"/>
    <w:rsid w:val="001D3F34"/>
    <w:rsid w:val="00212CCD"/>
    <w:rsid w:val="00217511"/>
    <w:rsid w:val="00220DA1"/>
    <w:rsid w:val="00221F4C"/>
    <w:rsid w:val="00227217"/>
    <w:rsid w:val="002309B3"/>
    <w:rsid w:val="00235219"/>
    <w:rsid w:val="002440A0"/>
    <w:rsid w:val="0025438C"/>
    <w:rsid w:val="002552C7"/>
    <w:rsid w:val="0025585A"/>
    <w:rsid w:val="00256D2B"/>
    <w:rsid w:val="0027523C"/>
    <w:rsid w:val="002B2C84"/>
    <w:rsid w:val="002C60D5"/>
    <w:rsid w:val="002D26CA"/>
    <w:rsid w:val="002D40A2"/>
    <w:rsid w:val="002D63FD"/>
    <w:rsid w:val="002D7D7B"/>
    <w:rsid w:val="002E1E1B"/>
    <w:rsid w:val="002F1368"/>
    <w:rsid w:val="00305F75"/>
    <w:rsid w:val="003140EB"/>
    <w:rsid w:val="003220B0"/>
    <w:rsid w:val="00325A78"/>
    <w:rsid w:val="00337589"/>
    <w:rsid w:val="0035118B"/>
    <w:rsid w:val="00353587"/>
    <w:rsid w:val="003665A1"/>
    <w:rsid w:val="0036761C"/>
    <w:rsid w:val="003810EB"/>
    <w:rsid w:val="0038208A"/>
    <w:rsid w:val="003931DE"/>
    <w:rsid w:val="003C4670"/>
    <w:rsid w:val="003C7253"/>
    <w:rsid w:val="003D0542"/>
    <w:rsid w:val="003D4D0C"/>
    <w:rsid w:val="003D78C2"/>
    <w:rsid w:val="003E02F2"/>
    <w:rsid w:val="003E5DCD"/>
    <w:rsid w:val="003F38AD"/>
    <w:rsid w:val="003F7A56"/>
    <w:rsid w:val="00411017"/>
    <w:rsid w:val="00421349"/>
    <w:rsid w:val="00422C79"/>
    <w:rsid w:val="00435588"/>
    <w:rsid w:val="0043580A"/>
    <w:rsid w:val="00440691"/>
    <w:rsid w:val="004409C5"/>
    <w:rsid w:val="0044451F"/>
    <w:rsid w:val="00460CE0"/>
    <w:rsid w:val="00466679"/>
    <w:rsid w:val="00474B06"/>
    <w:rsid w:val="00476496"/>
    <w:rsid w:val="004930BE"/>
    <w:rsid w:val="004A7472"/>
    <w:rsid w:val="004A7C91"/>
    <w:rsid w:val="004B559A"/>
    <w:rsid w:val="004D1D90"/>
    <w:rsid w:val="004E14CD"/>
    <w:rsid w:val="004E4E42"/>
    <w:rsid w:val="004E5B2F"/>
    <w:rsid w:val="004F2FF3"/>
    <w:rsid w:val="004F4C7E"/>
    <w:rsid w:val="004F7A93"/>
    <w:rsid w:val="00502FC8"/>
    <w:rsid w:val="0050778A"/>
    <w:rsid w:val="00513A56"/>
    <w:rsid w:val="00521540"/>
    <w:rsid w:val="00526723"/>
    <w:rsid w:val="00530A8D"/>
    <w:rsid w:val="00541BE7"/>
    <w:rsid w:val="00542565"/>
    <w:rsid w:val="00552186"/>
    <w:rsid w:val="00552590"/>
    <w:rsid w:val="00554E90"/>
    <w:rsid w:val="005632FA"/>
    <w:rsid w:val="005642B5"/>
    <w:rsid w:val="0056509E"/>
    <w:rsid w:val="00566B0E"/>
    <w:rsid w:val="00573105"/>
    <w:rsid w:val="005A0039"/>
    <w:rsid w:val="005A7494"/>
    <w:rsid w:val="005B053D"/>
    <w:rsid w:val="005C382F"/>
    <w:rsid w:val="005C3844"/>
    <w:rsid w:val="005C6276"/>
    <w:rsid w:val="005E4A26"/>
    <w:rsid w:val="005F3C8E"/>
    <w:rsid w:val="006040D3"/>
    <w:rsid w:val="006102FE"/>
    <w:rsid w:val="00613689"/>
    <w:rsid w:val="006207A3"/>
    <w:rsid w:val="00621395"/>
    <w:rsid w:val="00634915"/>
    <w:rsid w:val="00635012"/>
    <w:rsid w:val="006423CD"/>
    <w:rsid w:val="00644348"/>
    <w:rsid w:val="00651C9F"/>
    <w:rsid w:val="00653017"/>
    <w:rsid w:val="006574A9"/>
    <w:rsid w:val="00670ADF"/>
    <w:rsid w:val="006718D7"/>
    <w:rsid w:val="00687524"/>
    <w:rsid w:val="00695314"/>
    <w:rsid w:val="006959D8"/>
    <w:rsid w:val="006A60CC"/>
    <w:rsid w:val="006B05D8"/>
    <w:rsid w:val="006B443A"/>
    <w:rsid w:val="006B4F6B"/>
    <w:rsid w:val="006C6787"/>
    <w:rsid w:val="006E4150"/>
    <w:rsid w:val="006F0665"/>
    <w:rsid w:val="006F261D"/>
    <w:rsid w:val="006F6E9B"/>
    <w:rsid w:val="00717599"/>
    <w:rsid w:val="0072503F"/>
    <w:rsid w:val="007427C5"/>
    <w:rsid w:val="007477B3"/>
    <w:rsid w:val="0075101B"/>
    <w:rsid w:val="00766A50"/>
    <w:rsid w:val="00766D59"/>
    <w:rsid w:val="0078468C"/>
    <w:rsid w:val="007A1196"/>
    <w:rsid w:val="007A5948"/>
    <w:rsid w:val="007A7F51"/>
    <w:rsid w:val="007B1ECA"/>
    <w:rsid w:val="007B2349"/>
    <w:rsid w:val="007B2745"/>
    <w:rsid w:val="007C0E95"/>
    <w:rsid w:val="007D390B"/>
    <w:rsid w:val="007D4714"/>
    <w:rsid w:val="007D4864"/>
    <w:rsid w:val="007D5F3B"/>
    <w:rsid w:val="007E0184"/>
    <w:rsid w:val="007E642D"/>
    <w:rsid w:val="00800AEE"/>
    <w:rsid w:val="00817801"/>
    <w:rsid w:val="00820CD7"/>
    <w:rsid w:val="0085211F"/>
    <w:rsid w:val="008540B8"/>
    <w:rsid w:val="00860471"/>
    <w:rsid w:val="008875AC"/>
    <w:rsid w:val="0089265F"/>
    <w:rsid w:val="008B0B54"/>
    <w:rsid w:val="008B1675"/>
    <w:rsid w:val="008B33C8"/>
    <w:rsid w:val="008B4A39"/>
    <w:rsid w:val="008C4C3D"/>
    <w:rsid w:val="008E157E"/>
    <w:rsid w:val="008F068B"/>
    <w:rsid w:val="008F2850"/>
    <w:rsid w:val="009030FE"/>
    <w:rsid w:val="0091465E"/>
    <w:rsid w:val="00915988"/>
    <w:rsid w:val="0092008F"/>
    <w:rsid w:val="00923C38"/>
    <w:rsid w:val="00932B7F"/>
    <w:rsid w:val="00942714"/>
    <w:rsid w:val="00943B98"/>
    <w:rsid w:val="009472CB"/>
    <w:rsid w:val="009478DE"/>
    <w:rsid w:val="00953378"/>
    <w:rsid w:val="009545CB"/>
    <w:rsid w:val="00955544"/>
    <w:rsid w:val="00955591"/>
    <w:rsid w:val="00961C0C"/>
    <w:rsid w:val="00967BF0"/>
    <w:rsid w:val="0097469D"/>
    <w:rsid w:val="00980EA8"/>
    <w:rsid w:val="00983D16"/>
    <w:rsid w:val="00991691"/>
    <w:rsid w:val="009B3CBA"/>
    <w:rsid w:val="009B5D87"/>
    <w:rsid w:val="009C7231"/>
    <w:rsid w:val="009F62AC"/>
    <w:rsid w:val="00A1780D"/>
    <w:rsid w:val="00A26145"/>
    <w:rsid w:val="00A35156"/>
    <w:rsid w:val="00A57D34"/>
    <w:rsid w:val="00A603AA"/>
    <w:rsid w:val="00A65FB4"/>
    <w:rsid w:val="00A72B56"/>
    <w:rsid w:val="00A83589"/>
    <w:rsid w:val="00A84750"/>
    <w:rsid w:val="00A850C1"/>
    <w:rsid w:val="00A92842"/>
    <w:rsid w:val="00A92A15"/>
    <w:rsid w:val="00A92DDC"/>
    <w:rsid w:val="00A93464"/>
    <w:rsid w:val="00AB76BE"/>
    <w:rsid w:val="00AD31AA"/>
    <w:rsid w:val="00AD45C9"/>
    <w:rsid w:val="00AD5EF2"/>
    <w:rsid w:val="00AD6386"/>
    <w:rsid w:val="00AE3E48"/>
    <w:rsid w:val="00AE45CD"/>
    <w:rsid w:val="00AE5321"/>
    <w:rsid w:val="00B02E57"/>
    <w:rsid w:val="00B10168"/>
    <w:rsid w:val="00B21F65"/>
    <w:rsid w:val="00B30CB2"/>
    <w:rsid w:val="00B4013B"/>
    <w:rsid w:val="00B420D4"/>
    <w:rsid w:val="00B5000B"/>
    <w:rsid w:val="00B5600B"/>
    <w:rsid w:val="00B63235"/>
    <w:rsid w:val="00B733AD"/>
    <w:rsid w:val="00B82987"/>
    <w:rsid w:val="00B85995"/>
    <w:rsid w:val="00B933EA"/>
    <w:rsid w:val="00B93569"/>
    <w:rsid w:val="00BB2F74"/>
    <w:rsid w:val="00BC2FAB"/>
    <w:rsid w:val="00BE0132"/>
    <w:rsid w:val="00BE178E"/>
    <w:rsid w:val="00BE1FF5"/>
    <w:rsid w:val="00BE40CE"/>
    <w:rsid w:val="00BF5AED"/>
    <w:rsid w:val="00BF5DE6"/>
    <w:rsid w:val="00BF6748"/>
    <w:rsid w:val="00BF6DE3"/>
    <w:rsid w:val="00C04197"/>
    <w:rsid w:val="00C24F1B"/>
    <w:rsid w:val="00C33990"/>
    <w:rsid w:val="00C35D69"/>
    <w:rsid w:val="00C50489"/>
    <w:rsid w:val="00C506D0"/>
    <w:rsid w:val="00C571D8"/>
    <w:rsid w:val="00C6620A"/>
    <w:rsid w:val="00C7533A"/>
    <w:rsid w:val="00C754E6"/>
    <w:rsid w:val="00C84E92"/>
    <w:rsid w:val="00C8586B"/>
    <w:rsid w:val="00C90DA6"/>
    <w:rsid w:val="00C9419C"/>
    <w:rsid w:val="00C94B23"/>
    <w:rsid w:val="00CA0364"/>
    <w:rsid w:val="00CA1E23"/>
    <w:rsid w:val="00CA3823"/>
    <w:rsid w:val="00CA5B7F"/>
    <w:rsid w:val="00CA628E"/>
    <w:rsid w:val="00CB262F"/>
    <w:rsid w:val="00CB26FD"/>
    <w:rsid w:val="00CD2E53"/>
    <w:rsid w:val="00CD33CD"/>
    <w:rsid w:val="00CE1AD4"/>
    <w:rsid w:val="00CE4730"/>
    <w:rsid w:val="00CE574A"/>
    <w:rsid w:val="00CF0796"/>
    <w:rsid w:val="00CF2EE3"/>
    <w:rsid w:val="00CF63E2"/>
    <w:rsid w:val="00D0346B"/>
    <w:rsid w:val="00D10E36"/>
    <w:rsid w:val="00D43776"/>
    <w:rsid w:val="00D63029"/>
    <w:rsid w:val="00D75372"/>
    <w:rsid w:val="00D82931"/>
    <w:rsid w:val="00D95B4E"/>
    <w:rsid w:val="00DA0C31"/>
    <w:rsid w:val="00DB10FD"/>
    <w:rsid w:val="00DB223B"/>
    <w:rsid w:val="00DD41C0"/>
    <w:rsid w:val="00DE7163"/>
    <w:rsid w:val="00DF0386"/>
    <w:rsid w:val="00E06528"/>
    <w:rsid w:val="00E17D94"/>
    <w:rsid w:val="00E46426"/>
    <w:rsid w:val="00E51B68"/>
    <w:rsid w:val="00E60C49"/>
    <w:rsid w:val="00E60C57"/>
    <w:rsid w:val="00E63AD8"/>
    <w:rsid w:val="00E8391A"/>
    <w:rsid w:val="00E83C5F"/>
    <w:rsid w:val="00E90334"/>
    <w:rsid w:val="00E9187C"/>
    <w:rsid w:val="00E96347"/>
    <w:rsid w:val="00EA32C4"/>
    <w:rsid w:val="00EA5965"/>
    <w:rsid w:val="00EB062D"/>
    <w:rsid w:val="00EB1E69"/>
    <w:rsid w:val="00EB71B8"/>
    <w:rsid w:val="00EE02AB"/>
    <w:rsid w:val="00EF7A3E"/>
    <w:rsid w:val="00EF7F05"/>
    <w:rsid w:val="00F048BC"/>
    <w:rsid w:val="00F05689"/>
    <w:rsid w:val="00F11098"/>
    <w:rsid w:val="00F34AA8"/>
    <w:rsid w:val="00F350BB"/>
    <w:rsid w:val="00F41F65"/>
    <w:rsid w:val="00F43954"/>
    <w:rsid w:val="00F454D2"/>
    <w:rsid w:val="00F5626D"/>
    <w:rsid w:val="00F749F2"/>
    <w:rsid w:val="00F80DDE"/>
    <w:rsid w:val="00F858B7"/>
    <w:rsid w:val="00F904BB"/>
    <w:rsid w:val="00F924E0"/>
    <w:rsid w:val="00F978B5"/>
    <w:rsid w:val="00FA4BAC"/>
    <w:rsid w:val="00FA6135"/>
    <w:rsid w:val="00FB2D6B"/>
    <w:rsid w:val="00FB2DC0"/>
    <w:rsid w:val="00FB5068"/>
    <w:rsid w:val="00FC2742"/>
    <w:rsid w:val="00FC3C2A"/>
    <w:rsid w:val="00FC4480"/>
    <w:rsid w:val="00FD538B"/>
    <w:rsid w:val="00FD7A3E"/>
    <w:rsid w:val="00FE7543"/>
    <w:rsid w:val="00FF3E7B"/>
    <w:rsid w:val="00FF4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0EFC"/>
  <w15:chartTrackingRefBased/>
  <w15:docId w15:val="{3EA06840-7785-4CD1-93A0-C6C30B7E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3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63FD"/>
    <w:rPr>
      <w:sz w:val="18"/>
      <w:szCs w:val="18"/>
    </w:rPr>
  </w:style>
  <w:style w:type="paragraph" w:styleId="a5">
    <w:name w:val="footer"/>
    <w:basedOn w:val="a"/>
    <w:link w:val="a6"/>
    <w:uiPriority w:val="99"/>
    <w:unhideWhenUsed/>
    <w:rsid w:val="002D63FD"/>
    <w:pPr>
      <w:tabs>
        <w:tab w:val="center" w:pos="4153"/>
        <w:tab w:val="right" w:pos="8306"/>
      </w:tabs>
      <w:snapToGrid w:val="0"/>
      <w:jc w:val="left"/>
    </w:pPr>
    <w:rPr>
      <w:sz w:val="18"/>
      <w:szCs w:val="18"/>
    </w:rPr>
  </w:style>
  <w:style w:type="character" w:customStyle="1" w:styleId="a6">
    <w:name w:val="页脚 字符"/>
    <w:basedOn w:val="a0"/>
    <w:link w:val="a5"/>
    <w:uiPriority w:val="99"/>
    <w:rsid w:val="002D63FD"/>
    <w:rPr>
      <w:sz w:val="18"/>
      <w:szCs w:val="18"/>
    </w:rPr>
  </w:style>
  <w:style w:type="paragraph" w:styleId="a7">
    <w:name w:val="List Paragraph"/>
    <w:basedOn w:val="a"/>
    <w:uiPriority w:val="34"/>
    <w:qFormat/>
    <w:rsid w:val="002D63FD"/>
    <w:pPr>
      <w:ind w:firstLineChars="200" w:firstLine="420"/>
    </w:pPr>
  </w:style>
  <w:style w:type="paragraph" w:styleId="a8">
    <w:name w:val="Balloon Text"/>
    <w:basedOn w:val="a"/>
    <w:link w:val="a9"/>
    <w:uiPriority w:val="99"/>
    <w:semiHidden/>
    <w:unhideWhenUsed/>
    <w:rsid w:val="00E60C57"/>
    <w:rPr>
      <w:sz w:val="18"/>
      <w:szCs w:val="18"/>
    </w:rPr>
  </w:style>
  <w:style w:type="character" w:customStyle="1" w:styleId="a9">
    <w:name w:val="批注框文本 字符"/>
    <w:basedOn w:val="a0"/>
    <w:link w:val="a8"/>
    <w:uiPriority w:val="99"/>
    <w:semiHidden/>
    <w:rsid w:val="00E60C57"/>
    <w:rPr>
      <w:sz w:val="18"/>
      <w:szCs w:val="18"/>
    </w:rPr>
  </w:style>
  <w:style w:type="character" w:styleId="aa">
    <w:name w:val="annotation reference"/>
    <w:basedOn w:val="a0"/>
    <w:uiPriority w:val="99"/>
    <w:semiHidden/>
    <w:unhideWhenUsed/>
    <w:rsid w:val="005E4A26"/>
    <w:rPr>
      <w:sz w:val="21"/>
      <w:szCs w:val="21"/>
    </w:rPr>
  </w:style>
  <w:style w:type="paragraph" w:styleId="ab">
    <w:name w:val="annotation text"/>
    <w:basedOn w:val="a"/>
    <w:link w:val="ac"/>
    <w:uiPriority w:val="99"/>
    <w:semiHidden/>
    <w:unhideWhenUsed/>
    <w:rsid w:val="005E4A26"/>
    <w:pPr>
      <w:jc w:val="left"/>
    </w:pPr>
  </w:style>
  <w:style w:type="character" w:customStyle="1" w:styleId="ac">
    <w:name w:val="批注文字 字符"/>
    <w:basedOn w:val="a0"/>
    <w:link w:val="ab"/>
    <w:uiPriority w:val="99"/>
    <w:semiHidden/>
    <w:rsid w:val="005E4A26"/>
  </w:style>
  <w:style w:type="paragraph" w:styleId="ad">
    <w:name w:val="annotation subject"/>
    <w:basedOn w:val="ab"/>
    <w:next w:val="ab"/>
    <w:link w:val="ae"/>
    <w:uiPriority w:val="99"/>
    <w:semiHidden/>
    <w:unhideWhenUsed/>
    <w:rsid w:val="005E4A26"/>
    <w:rPr>
      <w:b/>
      <w:bCs/>
    </w:rPr>
  </w:style>
  <w:style w:type="character" w:customStyle="1" w:styleId="ae">
    <w:name w:val="批注主题 字符"/>
    <w:basedOn w:val="ac"/>
    <w:link w:val="ad"/>
    <w:uiPriority w:val="99"/>
    <w:semiHidden/>
    <w:rsid w:val="005E4A26"/>
    <w:rPr>
      <w:b/>
      <w:bCs/>
    </w:rPr>
  </w:style>
  <w:style w:type="paragraph" w:styleId="af">
    <w:name w:val="Revision"/>
    <w:hidden/>
    <w:uiPriority w:val="99"/>
    <w:semiHidden/>
    <w:rsid w:val="0068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189">
      <w:bodyDiv w:val="1"/>
      <w:marLeft w:val="0"/>
      <w:marRight w:val="0"/>
      <w:marTop w:val="0"/>
      <w:marBottom w:val="0"/>
      <w:divBdr>
        <w:top w:val="none" w:sz="0" w:space="0" w:color="auto"/>
        <w:left w:val="none" w:sz="0" w:space="0" w:color="auto"/>
        <w:bottom w:val="none" w:sz="0" w:space="0" w:color="auto"/>
        <w:right w:val="none" w:sz="0" w:space="0" w:color="auto"/>
      </w:divBdr>
    </w:div>
    <w:div w:id="484786505">
      <w:bodyDiv w:val="1"/>
      <w:marLeft w:val="0"/>
      <w:marRight w:val="0"/>
      <w:marTop w:val="0"/>
      <w:marBottom w:val="0"/>
      <w:divBdr>
        <w:top w:val="none" w:sz="0" w:space="0" w:color="auto"/>
        <w:left w:val="none" w:sz="0" w:space="0" w:color="auto"/>
        <w:bottom w:val="none" w:sz="0" w:space="0" w:color="auto"/>
        <w:right w:val="none" w:sz="0" w:space="0" w:color="auto"/>
      </w:divBdr>
    </w:div>
    <w:div w:id="846942101">
      <w:bodyDiv w:val="1"/>
      <w:marLeft w:val="0"/>
      <w:marRight w:val="0"/>
      <w:marTop w:val="0"/>
      <w:marBottom w:val="0"/>
      <w:divBdr>
        <w:top w:val="none" w:sz="0" w:space="0" w:color="auto"/>
        <w:left w:val="none" w:sz="0" w:space="0" w:color="auto"/>
        <w:bottom w:val="none" w:sz="0" w:space="0" w:color="auto"/>
        <w:right w:val="none" w:sz="0" w:space="0" w:color="auto"/>
      </w:divBdr>
    </w:div>
    <w:div w:id="1357195091">
      <w:bodyDiv w:val="1"/>
      <w:marLeft w:val="0"/>
      <w:marRight w:val="0"/>
      <w:marTop w:val="0"/>
      <w:marBottom w:val="0"/>
      <w:divBdr>
        <w:top w:val="none" w:sz="0" w:space="0" w:color="auto"/>
        <w:left w:val="none" w:sz="0" w:space="0" w:color="auto"/>
        <w:bottom w:val="none" w:sz="0" w:space="0" w:color="auto"/>
        <w:right w:val="none" w:sz="0" w:space="0" w:color="auto"/>
      </w:divBdr>
    </w:div>
    <w:div w:id="1396398064">
      <w:bodyDiv w:val="1"/>
      <w:marLeft w:val="0"/>
      <w:marRight w:val="0"/>
      <w:marTop w:val="0"/>
      <w:marBottom w:val="0"/>
      <w:divBdr>
        <w:top w:val="none" w:sz="0" w:space="0" w:color="auto"/>
        <w:left w:val="none" w:sz="0" w:space="0" w:color="auto"/>
        <w:bottom w:val="none" w:sz="0" w:space="0" w:color="auto"/>
        <w:right w:val="none" w:sz="0" w:space="0" w:color="auto"/>
      </w:divBdr>
    </w:div>
    <w:div w:id="1651472254">
      <w:bodyDiv w:val="1"/>
      <w:marLeft w:val="0"/>
      <w:marRight w:val="0"/>
      <w:marTop w:val="0"/>
      <w:marBottom w:val="0"/>
      <w:divBdr>
        <w:top w:val="none" w:sz="0" w:space="0" w:color="auto"/>
        <w:left w:val="none" w:sz="0" w:space="0" w:color="auto"/>
        <w:bottom w:val="none" w:sz="0" w:space="0" w:color="auto"/>
        <w:right w:val="none" w:sz="0" w:space="0" w:color="auto"/>
      </w:divBdr>
    </w:div>
    <w:div w:id="1947807145">
      <w:bodyDiv w:val="1"/>
      <w:marLeft w:val="0"/>
      <w:marRight w:val="0"/>
      <w:marTop w:val="0"/>
      <w:marBottom w:val="0"/>
      <w:divBdr>
        <w:top w:val="none" w:sz="0" w:space="0" w:color="auto"/>
        <w:left w:val="none" w:sz="0" w:space="0" w:color="auto"/>
        <w:bottom w:val="none" w:sz="0" w:space="0" w:color="auto"/>
        <w:right w:val="none" w:sz="0" w:space="0" w:color="auto"/>
      </w:divBdr>
    </w:div>
    <w:div w:id="20896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Jugar</dc:creator>
  <cp:keywords/>
  <dc:description/>
  <cp:lastModifiedBy>LBX</cp:lastModifiedBy>
  <cp:revision>23</cp:revision>
  <dcterms:created xsi:type="dcterms:W3CDTF">2023-07-02T11:13:00Z</dcterms:created>
  <dcterms:modified xsi:type="dcterms:W3CDTF">2023-12-05T05:47:00Z</dcterms:modified>
</cp:coreProperties>
</file>