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D9DE" w14:textId="23A9514E" w:rsidR="00A972E7" w:rsidRPr="00D166E8" w:rsidRDefault="00F43A59">
      <w:pPr>
        <w:spacing w:beforeLines="50" w:before="156" w:afterLines="50" w:after="156" w:line="400" w:lineRule="exact"/>
        <w:rPr>
          <w:rFonts w:asciiTheme="minorEastAsia" w:eastAsiaTheme="minorEastAsia" w:hAnsiTheme="minorEastAsia"/>
          <w:bCs/>
          <w:iCs/>
          <w:color w:val="000000"/>
          <w:szCs w:val="21"/>
        </w:rPr>
      </w:pPr>
      <w:r w:rsidRPr="00D166E8">
        <w:rPr>
          <w:rFonts w:asciiTheme="minorEastAsia" w:eastAsiaTheme="minorEastAsia" w:hAnsiTheme="minorEastAsia"/>
          <w:bCs/>
          <w:iCs/>
          <w:color w:val="000000"/>
          <w:szCs w:val="21"/>
        </w:rPr>
        <w:t>证券代码：</w:t>
      </w:r>
      <w:r w:rsidRPr="00D166E8">
        <w:rPr>
          <w:rFonts w:asciiTheme="minorEastAsia" w:eastAsiaTheme="minorEastAsia" w:hAnsiTheme="minorEastAsia"/>
          <w:color w:val="000000"/>
          <w:szCs w:val="21"/>
        </w:rPr>
        <w:t>600</w:t>
      </w:r>
      <w:r w:rsidR="007F68EE" w:rsidRPr="00D166E8">
        <w:rPr>
          <w:rFonts w:asciiTheme="minorEastAsia" w:eastAsiaTheme="minorEastAsia" w:hAnsiTheme="minorEastAsia"/>
          <w:color w:val="000000"/>
          <w:szCs w:val="21"/>
        </w:rPr>
        <w:t>820</w:t>
      </w:r>
      <w:r w:rsidRPr="00D166E8">
        <w:rPr>
          <w:rFonts w:asciiTheme="minorEastAsia" w:eastAsiaTheme="minorEastAsia" w:hAnsiTheme="minorEastAsia"/>
          <w:color w:val="000000"/>
          <w:szCs w:val="21"/>
        </w:rPr>
        <w:t xml:space="preserve">                       </w:t>
      </w:r>
      <w:r w:rsidR="00D166E8">
        <w:rPr>
          <w:rFonts w:asciiTheme="minorEastAsia" w:eastAsiaTheme="minorEastAsia" w:hAnsiTheme="minorEastAsia"/>
          <w:color w:val="000000"/>
          <w:szCs w:val="21"/>
        </w:rPr>
        <w:t xml:space="preserve">                </w:t>
      </w:r>
      <w:r w:rsidRPr="00D166E8">
        <w:rPr>
          <w:rFonts w:asciiTheme="minorEastAsia" w:eastAsiaTheme="minorEastAsia" w:hAnsiTheme="minorEastAsia"/>
          <w:color w:val="000000"/>
          <w:szCs w:val="21"/>
        </w:rPr>
        <w:t xml:space="preserve">  </w:t>
      </w:r>
      <w:r w:rsidRPr="00D166E8">
        <w:rPr>
          <w:rFonts w:asciiTheme="minorEastAsia" w:eastAsiaTheme="minorEastAsia" w:hAnsiTheme="minorEastAsia"/>
          <w:bCs/>
          <w:iCs/>
          <w:color w:val="000000"/>
          <w:szCs w:val="21"/>
        </w:rPr>
        <w:t>证券简称：</w:t>
      </w:r>
      <w:r w:rsidR="007F68EE" w:rsidRPr="00D166E8">
        <w:rPr>
          <w:rFonts w:asciiTheme="minorEastAsia" w:eastAsiaTheme="minorEastAsia" w:hAnsiTheme="minorEastAsia" w:hint="eastAsia"/>
          <w:color w:val="000000"/>
          <w:szCs w:val="21"/>
        </w:rPr>
        <w:t>隧道股份</w:t>
      </w:r>
    </w:p>
    <w:p w14:paraId="15EAF5BD" w14:textId="298A5BAC" w:rsidR="00374BE6" w:rsidRPr="00D166E8" w:rsidRDefault="00F43A59" w:rsidP="00985887">
      <w:pPr>
        <w:snapToGrid w:val="0"/>
        <w:spacing w:line="30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0"/>
          <w:szCs w:val="30"/>
        </w:rPr>
      </w:pPr>
      <w:r w:rsidRPr="00D166E8">
        <w:rPr>
          <w:rFonts w:asciiTheme="minorEastAsia" w:eastAsiaTheme="minorEastAsia" w:hAnsiTheme="minorEastAsia"/>
          <w:b/>
          <w:bCs/>
          <w:iCs/>
          <w:color w:val="000000"/>
          <w:sz w:val="30"/>
          <w:szCs w:val="30"/>
        </w:rPr>
        <w:t>上海</w:t>
      </w:r>
      <w:r w:rsidR="007F68EE" w:rsidRPr="00D166E8">
        <w:rPr>
          <w:rFonts w:asciiTheme="minorEastAsia" w:eastAsiaTheme="minorEastAsia" w:hAnsiTheme="minorEastAsia" w:hint="eastAsia"/>
          <w:b/>
          <w:bCs/>
          <w:iCs/>
          <w:color w:val="000000"/>
          <w:sz w:val="30"/>
          <w:szCs w:val="30"/>
        </w:rPr>
        <w:t>隧道工程</w:t>
      </w:r>
      <w:r w:rsidRPr="00D166E8">
        <w:rPr>
          <w:rFonts w:asciiTheme="minorEastAsia" w:eastAsiaTheme="minorEastAsia" w:hAnsiTheme="minorEastAsia"/>
          <w:b/>
          <w:bCs/>
          <w:iCs/>
          <w:color w:val="000000"/>
          <w:sz w:val="30"/>
          <w:szCs w:val="30"/>
        </w:rPr>
        <w:t>股份有限公司</w:t>
      </w:r>
    </w:p>
    <w:p w14:paraId="71E21033" w14:textId="77777777" w:rsidR="00A972E7" w:rsidRPr="00D166E8" w:rsidRDefault="00F43A59" w:rsidP="00985887">
      <w:pPr>
        <w:snapToGrid w:val="0"/>
        <w:spacing w:line="30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0"/>
          <w:szCs w:val="30"/>
        </w:rPr>
      </w:pPr>
      <w:r w:rsidRPr="00D166E8">
        <w:rPr>
          <w:rFonts w:asciiTheme="minorEastAsia" w:eastAsiaTheme="minorEastAsia" w:hAnsiTheme="minorEastAsia" w:hint="eastAsia"/>
          <w:b/>
          <w:bCs/>
          <w:iCs/>
          <w:color w:val="000000"/>
          <w:sz w:val="30"/>
          <w:szCs w:val="30"/>
        </w:rPr>
        <w:t>投资者关系活动记录表</w:t>
      </w:r>
    </w:p>
    <w:p w14:paraId="08946BBE" w14:textId="4AAE5D79" w:rsidR="00B9254C" w:rsidRPr="00985887" w:rsidRDefault="007F68EE" w:rsidP="007F68EE">
      <w:pPr>
        <w:snapToGrid w:val="0"/>
        <w:spacing w:line="300" w:lineRule="auto"/>
        <w:jc w:val="right"/>
        <w:rPr>
          <w:rFonts w:asciiTheme="minorEastAsia" w:eastAsiaTheme="minorEastAsia" w:hAnsiTheme="minorEastAsia"/>
          <w:b/>
          <w:bCs/>
          <w:i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Cs w:val="21"/>
        </w:rPr>
        <w:t>编号：2</w:t>
      </w:r>
      <w:r>
        <w:rPr>
          <w:rFonts w:asciiTheme="minorEastAsia" w:eastAsiaTheme="minorEastAsia" w:hAnsiTheme="minorEastAsia"/>
          <w:b/>
          <w:bCs/>
          <w:iCs/>
          <w:color w:val="000000"/>
          <w:szCs w:val="21"/>
        </w:rPr>
        <w:t>023</w:t>
      </w:r>
      <w:r>
        <w:rPr>
          <w:rFonts w:asciiTheme="minorEastAsia" w:eastAsiaTheme="minorEastAsia" w:hAnsiTheme="minorEastAsia" w:hint="eastAsia"/>
          <w:b/>
          <w:bCs/>
          <w:iCs/>
          <w:color w:val="000000"/>
          <w:szCs w:val="21"/>
        </w:rPr>
        <w:t>-</w:t>
      </w:r>
      <w:r>
        <w:rPr>
          <w:rFonts w:asciiTheme="minorEastAsia" w:eastAsiaTheme="minorEastAsia" w:hAnsiTheme="minorEastAsia"/>
          <w:b/>
          <w:bCs/>
          <w:iCs/>
          <w:color w:val="000000"/>
          <w:szCs w:val="21"/>
        </w:rPr>
        <w:t>001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739"/>
      </w:tblGrid>
      <w:tr w:rsidR="00A972E7" w:rsidRPr="00985887" w14:paraId="2F6CEB37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3D4" w14:textId="77777777" w:rsidR="00B91E1C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投资者关系</w:t>
            </w:r>
          </w:p>
          <w:p w14:paraId="3A187FB1" w14:textId="1A6AA900" w:rsidR="00A972E7" w:rsidRPr="00B91E1C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活动类别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CCF" w14:textId="359667E9" w:rsidR="00A972E7" w:rsidRPr="00985887" w:rsidRDefault="00D816D6" w:rsidP="00985887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√</w:t>
            </w:r>
            <w:r w:rsidR="00374BE6"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F43A59" w:rsidRPr="00985887">
              <w:rPr>
                <w:rFonts w:asciiTheme="minorEastAsia" w:eastAsiaTheme="minorEastAsia" w:hAnsiTheme="minorEastAsia"/>
                <w:kern w:val="0"/>
                <w:sz w:val="24"/>
              </w:rPr>
              <w:t xml:space="preserve">特定对象调研       </w:t>
            </w:r>
            <w:r w:rsidR="00F43A59" w:rsidRPr="00985887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F43A59"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="00F43A59"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F43A59" w:rsidRPr="00985887">
              <w:rPr>
                <w:rFonts w:asciiTheme="minorEastAsia" w:eastAsiaTheme="minorEastAsia" w:hAnsiTheme="minorEastAsia"/>
                <w:kern w:val="0"/>
                <w:sz w:val="24"/>
              </w:rPr>
              <w:t>分析师会议</w:t>
            </w:r>
          </w:p>
          <w:p w14:paraId="4146344A" w14:textId="6AF1E51B" w:rsidR="00A972E7" w:rsidRPr="00985887" w:rsidRDefault="00F43A59" w:rsidP="00985887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 xml:space="preserve">媒体采访            </w:t>
            </w:r>
            <w:r w:rsidR="007F68EE"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>业绩说明会</w:t>
            </w:r>
          </w:p>
          <w:p w14:paraId="3D50D4B9" w14:textId="77777777" w:rsidR="00A972E7" w:rsidRPr="00985887" w:rsidRDefault="00F43A59" w:rsidP="00985887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 xml:space="preserve">新闻发布会          </w:t>
            </w: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>路演活动</w:t>
            </w:r>
          </w:p>
          <w:p w14:paraId="60FD8EE1" w14:textId="77777777" w:rsidR="00A972E7" w:rsidRPr="00985887" w:rsidRDefault="00F43A59" w:rsidP="00985887">
            <w:pPr>
              <w:tabs>
                <w:tab w:val="left" w:pos="3045"/>
                <w:tab w:val="center" w:pos="3199"/>
              </w:tabs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>现场参观</w:t>
            </w: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ab/>
            </w:r>
          </w:p>
          <w:p w14:paraId="7A5F2720" w14:textId="5CEF26FB" w:rsidR="00A972E7" w:rsidRPr="00985887" w:rsidRDefault="00F43A59" w:rsidP="00985887">
            <w:pPr>
              <w:tabs>
                <w:tab w:val="center" w:pos="3199"/>
              </w:tabs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985887">
              <w:rPr>
                <w:rFonts w:asciiTheme="minorEastAsia" w:eastAsiaTheme="minorEastAsia" w:hAnsiTheme="minorEastAsia"/>
                <w:kern w:val="0"/>
                <w:sz w:val="24"/>
              </w:rPr>
              <w:t>其他</w:t>
            </w:r>
          </w:p>
        </w:tc>
      </w:tr>
      <w:tr w:rsidR="00A972E7" w:rsidRPr="00985887" w14:paraId="45AB1E50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4222" w14:textId="77777777" w:rsidR="00B91E1C" w:rsidRDefault="00535B05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参与</w:t>
            </w:r>
            <w:r w:rsidR="007F68E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单位名称</w:t>
            </w:r>
          </w:p>
          <w:p w14:paraId="008868BD" w14:textId="27ED7C32" w:rsidR="00A972E7" w:rsidRPr="00985887" w:rsidRDefault="007F68EE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和人员姓名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C047" w14:textId="5FBA93AA" w:rsidR="00A972E7" w:rsidRPr="00985887" w:rsidRDefault="00B91E1C" w:rsidP="00985887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  <w:lang w:val="en-GB"/>
              </w:rPr>
              <w:t>华泰证券 黄颖</w:t>
            </w:r>
          </w:p>
        </w:tc>
      </w:tr>
      <w:tr w:rsidR="00A972E7" w:rsidRPr="00985887" w14:paraId="1BCE194B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315" w14:textId="135961AB" w:rsidR="00A972E7" w:rsidRPr="00985887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E0E3" w14:textId="2EE8FC4B" w:rsidR="00A972E7" w:rsidRPr="00985887" w:rsidRDefault="00B91E1C" w:rsidP="00B91E1C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023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年1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月7日1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：0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30</w:t>
            </w:r>
          </w:p>
        </w:tc>
      </w:tr>
      <w:tr w:rsidR="00A972E7" w:rsidRPr="00985887" w14:paraId="26E89EF5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07E5" w14:textId="285EFF80" w:rsidR="00A972E7" w:rsidRPr="00985887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821" w14:textId="3FA2913F" w:rsidR="00A972E7" w:rsidRPr="00985887" w:rsidRDefault="00B91E1C" w:rsidP="00985887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上海市徐汇区宛平南路1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099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号会议室</w:t>
            </w:r>
          </w:p>
        </w:tc>
      </w:tr>
      <w:tr w:rsidR="00A972E7" w:rsidRPr="00985887" w14:paraId="5150881E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BCC" w14:textId="77777777" w:rsidR="00985887" w:rsidRPr="00985887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公司接待</w:t>
            </w:r>
          </w:p>
          <w:p w14:paraId="072C6A6F" w14:textId="77777777" w:rsidR="00A972E7" w:rsidRPr="00985887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613" w14:textId="4E82EF31" w:rsidR="00A972E7" w:rsidRPr="00985887" w:rsidRDefault="00B91E1C" w:rsidP="00985887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董事会秘书 张连凯</w:t>
            </w:r>
          </w:p>
        </w:tc>
      </w:tr>
      <w:tr w:rsidR="00A972E7" w:rsidRPr="00985887" w14:paraId="1CC0D91D" w14:textId="77777777" w:rsidTr="00B91E1C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259" w14:textId="77777777" w:rsidR="00A972E7" w:rsidRPr="00985887" w:rsidRDefault="00F43A59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 w:rsidRPr="00985887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4ACC65F1" w14:textId="77777777" w:rsidR="00A972E7" w:rsidRPr="00985887" w:rsidRDefault="00A972E7" w:rsidP="00985887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A11" w14:textId="5B20F80F" w:rsidR="00374BE6" w:rsidRDefault="004B432B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华泰证券黄颖前来公司进行调研，并询问了公司以下情况：</w:t>
            </w:r>
          </w:p>
          <w:p w14:paraId="1BF0D6C7" w14:textId="770F6001" w:rsidR="004B432B" w:rsidRP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="00A73B7E" w:rsidRPr="00D45009">
              <w:rPr>
                <w:rFonts w:asciiTheme="minorEastAsia" w:eastAsiaTheme="minorEastAsia" w:hAnsiTheme="minorEastAsia" w:hint="eastAsia"/>
                <w:sz w:val="24"/>
              </w:rPr>
              <w:t>第四季度市场情况</w:t>
            </w:r>
            <w:r w:rsidR="006E53D2" w:rsidRPr="00D45009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5FD6B732" w14:textId="56A54440" w:rsidR="006E53D2" w:rsidRP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A73B7E" w:rsidRPr="00D45009">
              <w:rPr>
                <w:rFonts w:asciiTheme="minorEastAsia" w:eastAsiaTheme="minorEastAsia" w:hAnsiTheme="minorEastAsia" w:hint="eastAsia"/>
                <w:sz w:val="24"/>
              </w:rPr>
              <w:t>化债的影响及</w:t>
            </w:r>
            <w:r w:rsidR="006E53D2" w:rsidRPr="00D45009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 w:rsidR="002731A5" w:rsidRPr="00D45009">
              <w:rPr>
                <w:rFonts w:asciiTheme="minorEastAsia" w:eastAsiaTheme="minorEastAsia" w:hAnsiTheme="minorEastAsia" w:hint="eastAsia"/>
                <w:sz w:val="24"/>
              </w:rPr>
              <w:t>应收</w:t>
            </w:r>
            <w:r w:rsidR="006E53D2" w:rsidRPr="00D45009">
              <w:rPr>
                <w:rFonts w:asciiTheme="minorEastAsia" w:eastAsiaTheme="minorEastAsia" w:hAnsiTheme="minorEastAsia" w:hint="eastAsia"/>
                <w:sz w:val="24"/>
              </w:rPr>
              <w:t>账款情况；</w:t>
            </w:r>
          </w:p>
          <w:p w14:paraId="0DF3A909" w14:textId="0FDF3EEA" w:rsidR="006E53D2" w:rsidRP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6E53D2" w:rsidRPr="00D45009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 w:rsidRPr="00D45009">
              <w:rPr>
                <w:rFonts w:asciiTheme="minorEastAsia" w:eastAsiaTheme="minorEastAsia" w:hAnsiTheme="minorEastAsia" w:hint="eastAsia"/>
                <w:sz w:val="24"/>
              </w:rPr>
              <w:t>数据资产</w:t>
            </w:r>
            <w:r w:rsidR="00E24875" w:rsidRPr="00D45009">
              <w:rPr>
                <w:rFonts w:asciiTheme="minorEastAsia" w:eastAsiaTheme="minorEastAsia" w:hAnsiTheme="minorEastAsia" w:hint="eastAsia"/>
                <w:sz w:val="24"/>
              </w:rPr>
              <w:t>情况；</w:t>
            </w:r>
          </w:p>
          <w:p w14:paraId="7D5E4940" w14:textId="1F2E7FBA" w:rsidR="00D45009" w:rsidRP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D45009">
              <w:rPr>
                <w:rFonts w:asciiTheme="minorEastAsia" w:eastAsiaTheme="minorEastAsia" w:hAnsiTheme="minorEastAsia" w:hint="eastAsia"/>
                <w:sz w:val="24"/>
              </w:rPr>
              <w:t>数字集团主要收入来源；</w:t>
            </w:r>
          </w:p>
          <w:p w14:paraId="44BF4FAA" w14:textId="04D32C0B" w:rsid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A3648F">
              <w:rPr>
                <w:rFonts w:asciiTheme="minorEastAsia" w:eastAsiaTheme="minorEastAsia" w:hAnsiTheme="minorEastAsia" w:hint="eastAsia"/>
                <w:sz w:val="24"/>
              </w:rPr>
              <w:t>公司的</w:t>
            </w:r>
            <w:r w:rsidRPr="00D45009">
              <w:rPr>
                <w:rFonts w:asciiTheme="minorEastAsia" w:eastAsiaTheme="minorEastAsia" w:hAnsiTheme="minorEastAsia" w:hint="eastAsia"/>
                <w:sz w:val="24"/>
              </w:rPr>
              <w:t>“低速作业车时空”数据产品</w:t>
            </w:r>
            <w:r w:rsidR="00A3648F">
              <w:rPr>
                <w:rFonts w:asciiTheme="minorEastAsia" w:eastAsiaTheme="minorEastAsia" w:hAnsiTheme="minorEastAsia" w:hint="eastAsia"/>
                <w:sz w:val="24"/>
              </w:rPr>
              <w:t>情况介绍；</w:t>
            </w:r>
          </w:p>
          <w:p w14:paraId="1DFCE846" w14:textId="71B9D3B8" w:rsidR="0029480B" w:rsidRPr="00D45009" w:rsidRDefault="0029480B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6、钱江通道R</w:t>
            </w:r>
            <w:r>
              <w:rPr>
                <w:rFonts w:asciiTheme="minorEastAsia" w:eastAsiaTheme="minorEastAsia" w:hAnsiTheme="minorEastAsia"/>
                <w:sz w:val="24"/>
              </w:rPr>
              <w:t>EITS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情况。</w:t>
            </w:r>
          </w:p>
          <w:p w14:paraId="51FF2DBF" w14:textId="5497F4D0" w:rsidR="004B432B" w:rsidRPr="00D45009" w:rsidRDefault="004B432B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45009">
              <w:rPr>
                <w:rFonts w:asciiTheme="minorEastAsia" w:eastAsiaTheme="minorEastAsia" w:hAnsiTheme="minorEastAsia" w:hint="eastAsia"/>
                <w:sz w:val="24"/>
              </w:rPr>
              <w:t>公司董事会秘书张连凯先生接待了来访，并针对调研人员的上述提问做了相应回答：</w:t>
            </w:r>
          </w:p>
          <w:p w14:paraId="747DE65F" w14:textId="53E41737" w:rsidR="007F68EE" w:rsidRPr="002504D6" w:rsidRDefault="002504D6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截至三季度，上海市内业务占</w:t>
            </w:r>
            <w:r w:rsidR="000F070E">
              <w:rPr>
                <w:rFonts w:asciiTheme="minorEastAsia" w:eastAsiaTheme="minorEastAsia" w:hAnsiTheme="minorEastAsia" w:hint="eastAsia"/>
                <w:sz w:val="24"/>
              </w:rPr>
              <w:t>比超半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，较上年同期增长</w:t>
            </w:r>
            <w:r w:rsidR="00D166E8">
              <w:rPr>
                <w:rFonts w:asciiTheme="minorEastAsia" w:eastAsiaTheme="minorEastAsia" w:hAnsiTheme="minorEastAsia"/>
                <w:sz w:val="24"/>
              </w:rPr>
              <w:t>6.26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%；</w:t>
            </w:r>
            <w:r w:rsidR="00CD45F9" w:rsidRPr="002504D6">
              <w:rPr>
                <w:rFonts w:asciiTheme="minorEastAsia" w:eastAsiaTheme="minorEastAsia" w:hAnsiTheme="minorEastAsia" w:hint="eastAsia"/>
                <w:sz w:val="24"/>
              </w:rPr>
              <w:t>自2</w:t>
            </w:r>
            <w:r w:rsidR="00CD45F9" w:rsidRPr="002504D6">
              <w:rPr>
                <w:rFonts w:asciiTheme="minorEastAsia" w:eastAsiaTheme="minorEastAsia" w:hAnsiTheme="minorEastAsia"/>
                <w:sz w:val="24"/>
              </w:rPr>
              <w:t>023</w:t>
            </w:r>
            <w:r w:rsidR="00CD45F9" w:rsidRPr="002504D6">
              <w:rPr>
                <w:rFonts w:asciiTheme="minorEastAsia" w:eastAsiaTheme="minorEastAsia" w:hAnsiTheme="minorEastAsia" w:hint="eastAsia"/>
                <w:sz w:val="24"/>
              </w:rPr>
              <w:t>年1</w:t>
            </w:r>
            <w:r w:rsidR="00CD45F9" w:rsidRPr="002504D6">
              <w:rPr>
                <w:rFonts w:asciiTheme="minorEastAsia" w:eastAsiaTheme="minorEastAsia" w:hAnsiTheme="minorEastAsia"/>
                <w:sz w:val="24"/>
              </w:rPr>
              <w:t>1</w:t>
            </w:r>
            <w:r w:rsidR="00CD45F9" w:rsidRPr="002504D6">
              <w:rPr>
                <w:rFonts w:asciiTheme="minorEastAsia" w:eastAsiaTheme="minorEastAsia" w:hAnsiTheme="minorEastAsia" w:hint="eastAsia"/>
                <w:sz w:val="24"/>
              </w:rPr>
              <w:t>月份以来，公司在大湾区、中原等区域市场</w:t>
            </w:r>
            <w:r w:rsidR="005271E2">
              <w:rPr>
                <w:rFonts w:asciiTheme="minorEastAsia" w:eastAsiaTheme="minorEastAsia" w:hAnsiTheme="minorEastAsia" w:hint="eastAsia"/>
                <w:sz w:val="24"/>
              </w:rPr>
              <w:t>也</w:t>
            </w:r>
            <w:r w:rsidR="00CD45F9" w:rsidRPr="002504D6">
              <w:rPr>
                <w:rFonts w:asciiTheme="minorEastAsia" w:eastAsiaTheme="minorEastAsia" w:hAnsiTheme="minorEastAsia" w:hint="eastAsia"/>
                <w:sz w:val="24"/>
              </w:rPr>
              <w:t>陆续有中标项目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65098076" w14:textId="481FB87E" w:rsidR="002731A5" w:rsidRPr="002504D6" w:rsidRDefault="002504D6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B1938">
              <w:rPr>
                <w:rFonts w:asciiTheme="minorEastAsia" w:eastAsiaTheme="minorEastAsia" w:hAnsiTheme="minorEastAsia" w:hint="eastAsia"/>
                <w:sz w:val="24"/>
              </w:rPr>
              <w:t>现阶段</w:t>
            </w:r>
            <w:r w:rsidR="00A73B7E" w:rsidRPr="002504D6">
              <w:rPr>
                <w:rFonts w:asciiTheme="minorEastAsia" w:eastAsiaTheme="minorEastAsia" w:hAnsiTheme="minorEastAsia" w:hint="eastAsia"/>
                <w:sz w:val="24"/>
              </w:rPr>
              <w:t>公司项目主要在长三角、珠三角</w:t>
            </w:r>
            <w:r w:rsidR="009B69A4">
              <w:rPr>
                <w:rFonts w:asciiTheme="minorEastAsia" w:eastAsiaTheme="minorEastAsia" w:hAnsiTheme="minorEastAsia" w:hint="eastAsia"/>
                <w:sz w:val="24"/>
              </w:rPr>
              <w:t>、中原</w:t>
            </w:r>
            <w:r w:rsidR="00A73B7E" w:rsidRPr="002504D6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9B69A4">
              <w:rPr>
                <w:rFonts w:asciiTheme="minorEastAsia" w:eastAsiaTheme="minorEastAsia" w:hAnsiTheme="minorEastAsia" w:hint="eastAsia"/>
                <w:sz w:val="24"/>
              </w:rPr>
              <w:t>区域市场</w:t>
            </w:r>
            <w:r w:rsidR="00A73B7E" w:rsidRPr="002504D6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A73B7E">
              <w:rPr>
                <w:rFonts w:asciiTheme="minorEastAsia" w:eastAsiaTheme="minorEastAsia" w:hAnsiTheme="minorEastAsia" w:hint="eastAsia"/>
                <w:sz w:val="24"/>
              </w:rPr>
              <w:t>目前化债影响较小</w:t>
            </w:r>
            <w:r w:rsidR="00A73B7E" w:rsidRPr="002504D6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公司的应收账款情况</w:t>
            </w:r>
            <w:r w:rsidR="009B69A4">
              <w:rPr>
                <w:rFonts w:asciiTheme="minorEastAsia" w:eastAsiaTheme="minorEastAsia" w:hAnsiTheme="minorEastAsia" w:hint="eastAsia"/>
                <w:sz w:val="24"/>
              </w:rPr>
              <w:t>较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好</w:t>
            </w:r>
            <w:r w:rsidR="00A73B7E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逾期账款占比</w:t>
            </w:r>
            <w:r w:rsidR="00A73B7E">
              <w:rPr>
                <w:rFonts w:asciiTheme="minorEastAsia" w:eastAsiaTheme="minorEastAsia" w:hAnsiTheme="minorEastAsia" w:hint="eastAsia"/>
                <w:sz w:val="24"/>
              </w:rPr>
              <w:t>不高</w:t>
            </w:r>
            <w:r w:rsidR="002731A5" w:rsidRPr="002504D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47BB725C" w14:textId="77777777" w:rsidR="006E59FF" w:rsidRDefault="002504D6" w:rsidP="005271E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3、</w:t>
            </w:r>
            <w:r w:rsidR="005271E2">
              <w:rPr>
                <w:rFonts w:asciiTheme="minorEastAsia" w:eastAsiaTheme="minorEastAsia" w:hAnsiTheme="minorEastAsia" w:hint="eastAsia"/>
                <w:sz w:val="24"/>
              </w:rPr>
              <w:t>近年来，公司在数字建造、数字运营、数字治理、绿色材料等诸多领域不断发展</w:t>
            </w:r>
            <w:r w:rsidR="006E59FF">
              <w:rPr>
                <w:rFonts w:asciiTheme="minorEastAsia" w:eastAsiaTheme="minorEastAsia" w:hAnsiTheme="minorEastAsia" w:hint="eastAsia"/>
                <w:sz w:val="24"/>
              </w:rPr>
              <w:t>，而且也有丰富的底层数字资产。</w:t>
            </w:r>
          </w:p>
          <w:p w14:paraId="61A35F17" w14:textId="4C526014" w:rsidR="006E59FF" w:rsidRDefault="006E59FF" w:rsidP="005271E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例如，</w:t>
            </w:r>
            <w:r w:rsidR="00BE0485">
              <w:rPr>
                <w:rFonts w:asciiTheme="minorEastAsia" w:eastAsiaTheme="minorEastAsia" w:hAnsiTheme="minorEastAsia" w:hint="eastAsia"/>
                <w:sz w:val="24"/>
              </w:rPr>
              <w:t>城市</w:t>
            </w:r>
            <w:r w:rsidR="00DA15DC" w:rsidRPr="002504D6">
              <w:rPr>
                <w:rFonts w:asciiTheme="minorEastAsia" w:eastAsiaTheme="minorEastAsia" w:hAnsiTheme="minorEastAsia" w:hint="eastAsia"/>
                <w:sz w:val="24"/>
              </w:rPr>
              <w:t>运营集团负责上海95%以上市政类道路的维养，其中可挖掘出大量有价值的数据资产</w:t>
            </w:r>
            <w:r w:rsidR="005271E2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22D911B8" w14:textId="4A7E7B11" w:rsidR="006E59FF" w:rsidRDefault="00D45009" w:rsidP="005271E2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在上海的杨浦大桥上，</w:t>
            </w:r>
            <w:r w:rsidR="006E59FF">
              <w:rPr>
                <w:rFonts w:asciiTheme="minorEastAsia" w:eastAsiaTheme="minorEastAsia" w:hAnsiTheme="minorEastAsia" w:hint="eastAsia"/>
                <w:sz w:val="24"/>
              </w:rPr>
              <w:t>数字集团布设了</w:t>
            </w:r>
            <w:r w:rsidR="006E59FF" w:rsidRPr="006E59FF">
              <w:rPr>
                <w:rFonts w:asciiTheme="minorEastAsia" w:eastAsiaTheme="minorEastAsia" w:hAnsiTheme="minorEastAsia" w:hint="eastAsia"/>
                <w:sz w:val="24"/>
              </w:rPr>
              <w:t>17类1100多个结构安全数</w:t>
            </w:r>
            <w:r w:rsidR="006E59FF" w:rsidRPr="006E59F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据感知点，实时监测风速、风向、温度、大地震动等环境数据。每一辆车行使后，车牌、车型、车速等，都能即时显示在后台管理系统。</w:t>
            </w:r>
            <w:r w:rsidR="006E59FF">
              <w:rPr>
                <w:rFonts w:asciiTheme="minorEastAsia" w:eastAsiaTheme="minorEastAsia" w:hAnsiTheme="minorEastAsia" w:hint="eastAsia"/>
                <w:sz w:val="24"/>
              </w:rPr>
              <w:t>运维养护人员可实时掌握桥梁的健康情况，即损即修，也提高了设施养护的精细化管理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。在绍兴智慧快速路，依托B</w:t>
            </w:r>
            <w:r>
              <w:rPr>
                <w:rFonts w:asciiTheme="minorEastAsia" w:eastAsiaTheme="minorEastAsia" w:hAnsiTheme="minorEastAsia"/>
                <w:sz w:val="24"/>
              </w:rPr>
              <w:t>IM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建立的智慧化项目综合信息平台，实现快速路项目建设中的数字化协同、可视化管理、自动化监控等。</w:t>
            </w:r>
          </w:p>
          <w:p w14:paraId="5E8FB779" w14:textId="4041E314" w:rsidR="00EA7DCC" w:rsidRDefault="00EA7DCC" w:rsidP="006E59FF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公司对</w:t>
            </w:r>
            <w:r w:rsidRPr="00EA7DCC">
              <w:rPr>
                <w:rFonts w:asciiTheme="minorEastAsia" w:eastAsiaTheme="minorEastAsia" w:hAnsiTheme="minorEastAsia" w:hint="eastAsia"/>
                <w:sz w:val="24"/>
              </w:rPr>
              <w:t>G15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嘉浏高速的</w:t>
            </w:r>
            <w:r w:rsidRPr="00EA7DCC">
              <w:rPr>
                <w:rFonts w:asciiTheme="minorEastAsia" w:eastAsiaTheme="minorEastAsia" w:hAnsiTheme="minorEastAsia" w:hint="eastAsia"/>
                <w:sz w:val="24"/>
              </w:rPr>
              <w:t>改拓建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EA7DCC">
              <w:rPr>
                <w:rFonts w:asciiTheme="minorEastAsia" w:eastAsiaTheme="minorEastAsia" w:hAnsiTheme="minorEastAsia" w:hint="eastAsia"/>
                <w:sz w:val="24"/>
              </w:rPr>
              <w:t>依托AI算法、毫米波雷达等一系列软硬件提升，实现了车道级交通流精准管控、突发事件的智慧化快速处置，有效提升设施综合运营管理效率。</w:t>
            </w:r>
          </w:p>
          <w:p w14:paraId="63B74BA5" w14:textId="34273101" w:rsidR="006E59FF" w:rsidRPr="006E59FF" w:rsidRDefault="006E59FF" w:rsidP="006E59FF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还有数字盾构等，</w:t>
            </w:r>
            <w:r w:rsidRPr="006E59FF">
              <w:rPr>
                <w:rFonts w:asciiTheme="minorEastAsia" w:eastAsiaTheme="minorEastAsia" w:hAnsiTheme="minorEastAsia" w:hint="eastAsia"/>
                <w:sz w:val="24"/>
              </w:rPr>
              <w:t>上海隧道自主研发的“盾构自主驾驶系统”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6E59FF">
              <w:rPr>
                <w:rFonts w:asciiTheme="minorEastAsia" w:eastAsiaTheme="minorEastAsia" w:hAnsiTheme="minorEastAsia" w:hint="eastAsia"/>
                <w:sz w:val="24"/>
              </w:rPr>
              <w:t>可实时“看到”周围土体的变形数据和地面沉降数据；自主控制各项施工参数，实现自动掘进，并自动纠偏，实现长距离精准前行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6E59F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2B5576B0" w14:textId="4BE48C76" w:rsidR="00D45009" w:rsidRDefault="00D45009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4、数字集团业务具体包括：智慧基建，通过项目管理数字化对工程建设项目的全过程进行动态、量化等综合管理与控制，有全生命周期数字孪生底座、智慧城市建设监管平台等；智慧交通，</w:t>
            </w:r>
            <w:r w:rsidR="00861E4B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A24760">
              <w:rPr>
                <w:rFonts w:asciiTheme="minorEastAsia" w:eastAsiaTheme="minorEastAsia" w:hAnsiTheme="minorEastAsia" w:hint="eastAsia"/>
                <w:sz w:val="24"/>
              </w:rPr>
              <w:t>城市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交通路网的分析计算，构建</w:t>
            </w:r>
            <w:r w:rsidR="00A24760">
              <w:rPr>
                <w:rFonts w:asciiTheme="minorEastAsia" w:eastAsiaTheme="minorEastAsia" w:hAnsiTheme="minorEastAsia" w:hint="eastAsia"/>
                <w:sz w:val="24"/>
              </w:rPr>
              <w:t>公共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资源快速配置、重大</w:t>
            </w:r>
            <w:r w:rsidR="00A24760">
              <w:rPr>
                <w:rFonts w:asciiTheme="minorEastAsia" w:eastAsiaTheme="minorEastAsia" w:hAnsiTheme="minorEastAsia" w:hint="eastAsia"/>
                <w:sz w:val="24"/>
              </w:rPr>
              <w:t>事件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敏捷预测预警等，有成熟道路智慧交通管理平台、智能网联及车路协同等；智慧环境，有智慧供水运营管理平台等；智慧城市，有城市安全风险综合检测预警平台、低碳韧性智慧片区一体化服务等</w:t>
            </w:r>
            <w:r w:rsidR="004F0DE1">
              <w:rPr>
                <w:rFonts w:asciiTheme="minorEastAsia" w:eastAsiaTheme="minorEastAsia" w:hAnsiTheme="minorEastAsia" w:hint="eastAsia"/>
                <w:sz w:val="24"/>
              </w:rPr>
              <w:t>。这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一系列软</w:t>
            </w:r>
            <w:r w:rsidR="00A2476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硬件设施和服务也是其主要收入来源。</w:t>
            </w:r>
          </w:p>
          <w:p w14:paraId="33522341" w14:textId="4BF68B7F" w:rsidR="007F68EE" w:rsidRDefault="00D81FAA" w:rsidP="00A2476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5、低速作业车时空是</w:t>
            </w:r>
            <w:r w:rsidRPr="00D81FAA">
              <w:rPr>
                <w:rFonts w:asciiTheme="minorEastAsia" w:eastAsiaTheme="minorEastAsia" w:hAnsiTheme="minorEastAsia" w:hint="eastAsia"/>
                <w:sz w:val="24"/>
              </w:rPr>
              <w:t>城市运营</w:t>
            </w:r>
            <w:r w:rsidR="00BE0485">
              <w:rPr>
                <w:rFonts w:asciiTheme="minorEastAsia" w:eastAsiaTheme="minorEastAsia" w:hAnsiTheme="minorEastAsia" w:hint="eastAsia"/>
                <w:sz w:val="24"/>
              </w:rPr>
              <w:t>集团</w:t>
            </w:r>
            <w:r w:rsidRPr="00D81FAA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智能汽车创新发展平台，</w:t>
            </w:r>
            <w:r w:rsidRPr="00D81FAA">
              <w:rPr>
                <w:rFonts w:asciiTheme="minorEastAsia" w:eastAsiaTheme="minorEastAsia" w:hAnsiTheme="minorEastAsia" w:hint="eastAsia"/>
                <w:sz w:val="24"/>
              </w:rPr>
              <w:t>以城市道路管理与智能网联汽车数据协同为基础，共同开发车辆预警等类型的数据产品与服务。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就是通过对沉淀的大量数据，根据合作方需求，提炼定制的数据系统。</w:t>
            </w:r>
          </w:p>
          <w:p w14:paraId="297885D2" w14:textId="2B0F5051" w:rsidR="007F68EE" w:rsidRDefault="0029480B" w:rsidP="004F3E10">
            <w:pPr>
              <w:snapToGrid w:val="0"/>
              <w:spacing w:line="30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6、公司</w:t>
            </w:r>
            <w:r w:rsidRPr="0029480B">
              <w:rPr>
                <w:rFonts w:asciiTheme="minorEastAsia" w:eastAsiaTheme="minorEastAsia" w:hAnsiTheme="minorEastAsia" w:hint="eastAsia"/>
                <w:sz w:val="24"/>
              </w:rPr>
              <w:t>钱江隧道基础设施公募REITs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的底层资产钱江隧道也是公司</w:t>
            </w:r>
            <w:r w:rsidRPr="0029480B">
              <w:rPr>
                <w:rFonts w:asciiTheme="minorEastAsia" w:eastAsiaTheme="minorEastAsia" w:hAnsiTheme="minorEastAsia" w:hint="eastAsia"/>
                <w:sz w:val="24"/>
              </w:rPr>
              <w:t>全生命周期运营管理理念、展现智慧运维实力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的平台</w:t>
            </w:r>
            <w:r w:rsidRPr="0029480B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D5FBC1F" w14:textId="1B2DBF5F" w:rsidR="007F68EE" w:rsidRPr="004D1757" w:rsidRDefault="007F68EE" w:rsidP="0029480B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0226" w:rsidRPr="00985887" w14:paraId="0BCA1907" w14:textId="77777777" w:rsidTr="00B91E1C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FDEF" w14:textId="34ABF8AC" w:rsidR="00880226" w:rsidRPr="00985887" w:rsidRDefault="007F68EE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8FD7" w14:textId="4B3D36D2" w:rsidR="00880226" w:rsidRPr="00985887" w:rsidRDefault="00880226" w:rsidP="00B91E1C">
            <w:pPr>
              <w:pStyle w:val="Style6"/>
              <w:snapToGrid w:val="0"/>
              <w:spacing w:line="300" w:lineRule="auto"/>
              <w:ind w:leftChars="-1" w:left="-2" w:firstLineChars="0" w:firstLine="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F68EE" w:rsidRPr="00985887" w14:paraId="40EAEDA9" w14:textId="77777777" w:rsidTr="00B91E1C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BD2EA" w14:textId="0FAC488F" w:rsidR="007F68EE" w:rsidRDefault="007F68EE" w:rsidP="00B91E1C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04AB" w14:textId="0B36D59D" w:rsidR="007F68EE" w:rsidRPr="00985887" w:rsidRDefault="00B91E1C" w:rsidP="00B91E1C">
            <w:pPr>
              <w:pStyle w:val="Style6"/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861E4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823AF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632EE6ED" w14:textId="77777777" w:rsidR="00880226" w:rsidRDefault="00880226" w:rsidP="00A1413C">
      <w:pPr>
        <w:snapToGrid w:val="0"/>
      </w:pPr>
    </w:p>
    <w:sectPr w:rsidR="00880226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F8E1" w14:textId="77777777" w:rsidR="004F004B" w:rsidRDefault="004F004B">
      <w:r>
        <w:separator/>
      </w:r>
    </w:p>
  </w:endnote>
  <w:endnote w:type="continuationSeparator" w:id="0">
    <w:p w14:paraId="33FB2A55" w14:textId="77777777" w:rsidR="004F004B" w:rsidRDefault="004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5AA3" w14:textId="77777777" w:rsidR="00A972E7" w:rsidRDefault="00A972E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C982" w14:textId="77777777" w:rsidR="004F004B" w:rsidRDefault="004F004B">
      <w:r>
        <w:separator/>
      </w:r>
    </w:p>
  </w:footnote>
  <w:footnote w:type="continuationSeparator" w:id="0">
    <w:p w14:paraId="1E26B6BD" w14:textId="77777777" w:rsidR="004F004B" w:rsidRDefault="004F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EB40" w14:textId="77777777" w:rsidR="00A972E7" w:rsidRDefault="00A972E7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F7932"/>
    <w:multiLevelType w:val="hybridMultilevel"/>
    <w:tmpl w:val="92E296EA"/>
    <w:lvl w:ilvl="0" w:tplc="122693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AEC7B98"/>
    <w:multiLevelType w:val="hybridMultilevel"/>
    <w:tmpl w:val="7124E2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0B7EA2"/>
    <w:multiLevelType w:val="hybridMultilevel"/>
    <w:tmpl w:val="6DA4C184"/>
    <w:lvl w:ilvl="0" w:tplc="74E0371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54858044">
    <w:abstractNumId w:val="0"/>
  </w:num>
  <w:num w:numId="2" w16cid:durableId="1679194991">
    <w:abstractNumId w:val="2"/>
  </w:num>
  <w:num w:numId="3" w16cid:durableId="6488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01815"/>
    <w:rsid w:val="00015943"/>
    <w:rsid w:val="000268C0"/>
    <w:rsid w:val="000363B5"/>
    <w:rsid w:val="000375D7"/>
    <w:rsid w:val="00043015"/>
    <w:rsid w:val="00046DDE"/>
    <w:rsid w:val="00047EB9"/>
    <w:rsid w:val="00060A74"/>
    <w:rsid w:val="00067110"/>
    <w:rsid w:val="0007009F"/>
    <w:rsid w:val="0009298A"/>
    <w:rsid w:val="00092BEE"/>
    <w:rsid w:val="000A2808"/>
    <w:rsid w:val="000A3BAC"/>
    <w:rsid w:val="000C10EB"/>
    <w:rsid w:val="000C26FD"/>
    <w:rsid w:val="000C2D85"/>
    <w:rsid w:val="000E0A50"/>
    <w:rsid w:val="000E5700"/>
    <w:rsid w:val="000F070E"/>
    <w:rsid w:val="000F0C4B"/>
    <w:rsid w:val="000F0E22"/>
    <w:rsid w:val="00105A04"/>
    <w:rsid w:val="001169A9"/>
    <w:rsid w:val="00125EB2"/>
    <w:rsid w:val="00142A4C"/>
    <w:rsid w:val="00144279"/>
    <w:rsid w:val="001452FF"/>
    <w:rsid w:val="001475A4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04D6"/>
    <w:rsid w:val="00251D58"/>
    <w:rsid w:val="002530EE"/>
    <w:rsid w:val="002549E6"/>
    <w:rsid w:val="00256602"/>
    <w:rsid w:val="00271C8D"/>
    <w:rsid w:val="002731A5"/>
    <w:rsid w:val="00273B53"/>
    <w:rsid w:val="00277BBA"/>
    <w:rsid w:val="0028080C"/>
    <w:rsid w:val="0029480B"/>
    <w:rsid w:val="00295257"/>
    <w:rsid w:val="00297703"/>
    <w:rsid w:val="002A0826"/>
    <w:rsid w:val="002A0984"/>
    <w:rsid w:val="002A589B"/>
    <w:rsid w:val="002B1184"/>
    <w:rsid w:val="002B1938"/>
    <w:rsid w:val="002B71B8"/>
    <w:rsid w:val="002B7469"/>
    <w:rsid w:val="002C22C6"/>
    <w:rsid w:val="002C6568"/>
    <w:rsid w:val="002C723B"/>
    <w:rsid w:val="002D39BC"/>
    <w:rsid w:val="002E1B15"/>
    <w:rsid w:val="002E1D3A"/>
    <w:rsid w:val="002E28DF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4BE6"/>
    <w:rsid w:val="003751B4"/>
    <w:rsid w:val="00377D8F"/>
    <w:rsid w:val="00383679"/>
    <w:rsid w:val="003944DA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17BC7"/>
    <w:rsid w:val="0042004B"/>
    <w:rsid w:val="00433384"/>
    <w:rsid w:val="0043777D"/>
    <w:rsid w:val="0045767F"/>
    <w:rsid w:val="004623A1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B432B"/>
    <w:rsid w:val="004C19BF"/>
    <w:rsid w:val="004C4D11"/>
    <w:rsid w:val="004D1757"/>
    <w:rsid w:val="004D6A56"/>
    <w:rsid w:val="004D7640"/>
    <w:rsid w:val="004E1A9B"/>
    <w:rsid w:val="004F004B"/>
    <w:rsid w:val="004F0DE1"/>
    <w:rsid w:val="004F3E10"/>
    <w:rsid w:val="00500AB6"/>
    <w:rsid w:val="005155FB"/>
    <w:rsid w:val="00523907"/>
    <w:rsid w:val="005271E2"/>
    <w:rsid w:val="00535B05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0C5E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EC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73C"/>
    <w:rsid w:val="006C6BC5"/>
    <w:rsid w:val="006D61A2"/>
    <w:rsid w:val="006E1DB4"/>
    <w:rsid w:val="006E53D2"/>
    <w:rsid w:val="006E59FF"/>
    <w:rsid w:val="0071288A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F68EE"/>
    <w:rsid w:val="0080525B"/>
    <w:rsid w:val="008062C5"/>
    <w:rsid w:val="0080741A"/>
    <w:rsid w:val="0081190F"/>
    <w:rsid w:val="00814A88"/>
    <w:rsid w:val="00814B5B"/>
    <w:rsid w:val="00821011"/>
    <w:rsid w:val="00823AF3"/>
    <w:rsid w:val="00836F34"/>
    <w:rsid w:val="00843E73"/>
    <w:rsid w:val="00844EBF"/>
    <w:rsid w:val="00854F61"/>
    <w:rsid w:val="00861E4B"/>
    <w:rsid w:val="00864202"/>
    <w:rsid w:val="0087174F"/>
    <w:rsid w:val="00873B59"/>
    <w:rsid w:val="0087701F"/>
    <w:rsid w:val="00877890"/>
    <w:rsid w:val="00880226"/>
    <w:rsid w:val="0089283D"/>
    <w:rsid w:val="008A0ADC"/>
    <w:rsid w:val="008A1BAB"/>
    <w:rsid w:val="008A20E3"/>
    <w:rsid w:val="008B38B7"/>
    <w:rsid w:val="008B458E"/>
    <w:rsid w:val="008C4D4A"/>
    <w:rsid w:val="008D0C33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36B3"/>
    <w:rsid w:val="009474EF"/>
    <w:rsid w:val="00962626"/>
    <w:rsid w:val="009767DD"/>
    <w:rsid w:val="00977AF2"/>
    <w:rsid w:val="00985887"/>
    <w:rsid w:val="00985FC5"/>
    <w:rsid w:val="00993BDD"/>
    <w:rsid w:val="009A56DA"/>
    <w:rsid w:val="009A6DFB"/>
    <w:rsid w:val="009B69A4"/>
    <w:rsid w:val="009B6EC0"/>
    <w:rsid w:val="009C7FAF"/>
    <w:rsid w:val="009D4199"/>
    <w:rsid w:val="009E5E6A"/>
    <w:rsid w:val="009F0DD5"/>
    <w:rsid w:val="009F1B95"/>
    <w:rsid w:val="009F6C05"/>
    <w:rsid w:val="00A04EE3"/>
    <w:rsid w:val="00A13CB6"/>
    <w:rsid w:val="00A1413C"/>
    <w:rsid w:val="00A14A1A"/>
    <w:rsid w:val="00A22CDD"/>
    <w:rsid w:val="00A24760"/>
    <w:rsid w:val="00A25AEE"/>
    <w:rsid w:val="00A31EB1"/>
    <w:rsid w:val="00A33AEA"/>
    <w:rsid w:val="00A3648F"/>
    <w:rsid w:val="00A461CD"/>
    <w:rsid w:val="00A469C5"/>
    <w:rsid w:val="00A5317D"/>
    <w:rsid w:val="00A6284E"/>
    <w:rsid w:val="00A63E81"/>
    <w:rsid w:val="00A73B7E"/>
    <w:rsid w:val="00A8775A"/>
    <w:rsid w:val="00A972E7"/>
    <w:rsid w:val="00AA5998"/>
    <w:rsid w:val="00AB07E7"/>
    <w:rsid w:val="00AD1BA8"/>
    <w:rsid w:val="00AD54C4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249C"/>
    <w:rsid w:val="00B832F5"/>
    <w:rsid w:val="00B91E1C"/>
    <w:rsid w:val="00B9254C"/>
    <w:rsid w:val="00BA2FAB"/>
    <w:rsid w:val="00BB5E28"/>
    <w:rsid w:val="00BD15F3"/>
    <w:rsid w:val="00BD7986"/>
    <w:rsid w:val="00BD79D3"/>
    <w:rsid w:val="00BE0485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8740C"/>
    <w:rsid w:val="00C9333C"/>
    <w:rsid w:val="00C94D46"/>
    <w:rsid w:val="00CA443A"/>
    <w:rsid w:val="00CB2461"/>
    <w:rsid w:val="00CB351B"/>
    <w:rsid w:val="00CB37FD"/>
    <w:rsid w:val="00CC4D65"/>
    <w:rsid w:val="00CC61E7"/>
    <w:rsid w:val="00CD25AD"/>
    <w:rsid w:val="00CD3FFC"/>
    <w:rsid w:val="00CD45F9"/>
    <w:rsid w:val="00CF565C"/>
    <w:rsid w:val="00D016A3"/>
    <w:rsid w:val="00D166E8"/>
    <w:rsid w:val="00D20B6E"/>
    <w:rsid w:val="00D371D4"/>
    <w:rsid w:val="00D45009"/>
    <w:rsid w:val="00D512E3"/>
    <w:rsid w:val="00D602C9"/>
    <w:rsid w:val="00D67E4B"/>
    <w:rsid w:val="00D816D6"/>
    <w:rsid w:val="00D81FAA"/>
    <w:rsid w:val="00DA15DC"/>
    <w:rsid w:val="00DA26A9"/>
    <w:rsid w:val="00DB01FF"/>
    <w:rsid w:val="00DB24DE"/>
    <w:rsid w:val="00DC7778"/>
    <w:rsid w:val="00DE7391"/>
    <w:rsid w:val="00DF2DB5"/>
    <w:rsid w:val="00DF5487"/>
    <w:rsid w:val="00DF6560"/>
    <w:rsid w:val="00E04CC0"/>
    <w:rsid w:val="00E0517F"/>
    <w:rsid w:val="00E136FF"/>
    <w:rsid w:val="00E24875"/>
    <w:rsid w:val="00E32528"/>
    <w:rsid w:val="00E35F26"/>
    <w:rsid w:val="00E53165"/>
    <w:rsid w:val="00E61EF7"/>
    <w:rsid w:val="00E663B4"/>
    <w:rsid w:val="00E80CEB"/>
    <w:rsid w:val="00EA5103"/>
    <w:rsid w:val="00EA6FB9"/>
    <w:rsid w:val="00EA7DCC"/>
    <w:rsid w:val="00EB5E6A"/>
    <w:rsid w:val="00EC2AD7"/>
    <w:rsid w:val="00ED7DDD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3A59"/>
    <w:rsid w:val="00F45475"/>
    <w:rsid w:val="00F64E72"/>
    <w:rsid w:val="00F6763A"/>
    <w:rsid w:val="00F70C7D"/>
    <w:rsid w:val="00F8258C"/>
    <w:rsid w:val="00F9272E"/>
    <w:rsid w:val="00F97743"/>
    <w:rsid w:val="00FA6DAF"/>
    <w:rsid w:val="00FC334B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E3546"/>
  <w15:docId w15:val="{615F3AEE-12E8-4023-AB71-84246C0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FC334B"/>
    <w:rPr>
      <w:sz w:val="18"/>
      <w:szCs w:val="18"/>
    </w:rPr>
  </w:style>
  <w:style w:type="character" w:customStyle="1" w:styleId="a8">
    <w:name w:val="批注框文本 字符"/>
    <w:basedOn w:val="a0"/>
    <w:link w:val="a7"/>
    <w:rsid w:val="00FC334B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6E5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52DB71-766A-45D7-B3B2-4C13E0E22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郑美凤</cp:lastModifiedBy>
  <cp:revision>42</cp:revision>
  <cp:lastPrinted>2014-02-21T05:34:00Z</cp:lastPrinted>
  <dcterms:created xsi:type="dcterms:W3CDTF">2023-11-17T06:12:00Z</dcterms:created>
  <dcterms:modified xsi:type="dcterms:W3CDTF">2023-12-11T05:25:00Z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