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CA" w:rsidRDefault="00B949CB">
      <w:pPr>
        <w:rPr>
          <w:rFonts w:ascii="宋体" w:eastAsia="宋体" w:hAnsi="宋体"/>
          <w:sz w:val="24"/>
          <w:szCs w:val="24"/>
        </w:rPr>
      </w:pPr>
      <w:r>
        <w:rPr>
          <w:rFonts w:ascii="宋体" w:eastAsia="宋体" w:hAnsi="宋体" w:hint="eastAsia"/>
          <w:sz w:val="24"/>
          <w:szCs w:val="24"/>
        </w:rPr>
        <w:t>证券代码：6</w:t>
      </w:r>
      <w:r>
        <w:rPr>
          <w:rFonts w:ascii="宋体" w:eastAsia="宋体" w:hAnsi="宋体"/>
          <w:sz w:val="24"/>
          <w:szCs w:val="24"/>
        </w:rPr>
        <w:t xml:space="preserve">03337                                   </w:t>
      </w:r>
      <w:r>
        <w:rPr>
          <w:rFonts w:ascii="宋体" w:eastAsia="宋体" w:hAnsi="宋体" w:hint="eastAsia"/>
          <w:sz w:val="24"/>
          <w:szCs w:val="24"/>
        </w:rPr>
        <w:t>证券简称：杰克股份</w:t>
      </w:r>
    </w:p>
    <w:p w:rsidR="00143CCA" w:rsidRDefault="00143CCA">
      <w:pPr>
        <w:rPr>
          <w:rFonts w:ascii="宋体" w:eastAsia="宋体" w:hAnsi="宋体"/>
          <w:sz w:val="24"/>
          <w:szCs w:val="24"/>
        </w:rPr>
      </w:pPr>
    </w:p>
    <w:p w:rsidR="00143CCA" w:rsidRDefault="00B949CB">
      <w:pPr>
        <w:jc w:val="center"/>
        <w:rPr>
          <w:rFonts w:ascii="宋体" w:eastAsia="宋体" w:hAnsi="宋体"/>
          <w:b/>
          <w:sz w:val="32"/>
          <w:szCs w:val="32"/>
        </w:rPr>
      </w:pPr>
      <w:r>
        <w:rPr>
          <w:rFonts w:ascii="宋体" w:eastAsia="宋体" w:hAnsi="宋体" w:hint="eastAsia"/>
          <w:b/>
          <w:sz w:val="32"/>
          <w:szCs w:val="32"/>
        </w:rPr>
        <w:t>杰克科技股份有限公司</w:t>
      </w:r>
    </w:p>
    <w:p w:rsidR="00143CCA" w:rsidRDefault="00B949CB">
      <w:pPr>
        <w:jc w:val="center"/>
        <w:rPr>
          <w:rFonts w:ascii="宋体" w:eastAsia="宋体" w:hAnsi="宋体"/>
          <w:b/>
          <w:sz w:val="32"/>
          <w:szCs w:val="32"/>
        </w:rPr>
      </w:pPr>
      <w:r>
        <w:rPr>
          <w:rFonts w:ascii="宋体" w:eastAsia="宋体" w:hAnsi="宋体" w:hint="eastAsia"/>
          <w:b/>
          <w:sz w:val="32"/>
          <w:szCs w:val="32"/>
        </w:rPr>
        <w:t>投资者关系活动记录表</w:t>
      </w:r>
    </w:p>
    <w:p w:rsidR="00202BAE" w:rsidRDefault="00202BAE" w:rsidP="00202BAE">
      <w:pPr>
        <w:rPr>
          <w:rFonts w:ascii="宋体" w:eastAsia="宋体" w:hAnsi="宋体"/>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487"/>
      </w:tblGrid>
      <w:tr w:rsidR="00143CCA">
        <w:trPr>
          <w:jc w:val="center"/>
        </w:trPr>
        <w:tc>
          <w:tcPr>
            <w:tcW w:w="2019" w:type="dxa"/>
            <w:shd w:val="clear" w:color="auto" w:fill="auto"/>
            <w:vAlign w:val="center"/>
          </w:tcPr>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投资者关系</w:t>
            </w:r>
          </w:p>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活动类别</w:t>
            </w:r>
          </w:p>
        </w:tc>
        <w:tc>
          <w:tcPr>
            <w:tcW w:w="6487" w:type="dxa"/>
            <w:shd w:val="clear" w:color="auto" w:fill="auto"/>
          </w:tcPr>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特定对象调研        </w:t>
            </w:r>
            <w:r>
              <w:rPr>
                <w:rFonts w:ascii="宋体" w:eastAsia="宋体" w:hAnsi="宋体" w:hint="eastAsia"/>
                <w:bCs/>
                <w:iCs/>
                <w:sz w:val="24"/>
                <w:szCs w:val="24"/>
              </w:rPr>
              <w:t>□</w:t>
            </w:r>
            <w:r>
              <w:rPr>
                <w:rFonts w:ascii="宋体" w:eastAsia="宋体" w:hAnsi="宋体" w:hint="eastAsia"/>
                <w:sz w:val="24"/>
                <w:szCs w:val="24"/>
              </w:rPr>
              <w:t>分析师会议</w:t>
            </w:r>
          </w:p>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媒体采访            </w:t>
            </w:r>
            <w:r>
              <w:rPr>
                <w:rFonts w:ascii="宋体" w:eastAsia="宋体" w:hAnsi="宋体" w:hint="eastAsia"/>
                <w:bCs/>
                <w:iCs/>
                <w:sz w:val="24"/>
                <w:szCs w:val="24"/>
              </w:rPr>
              <w:t>☑</w:t>
            </w:r>
            <w:r>
              <w:rPr>
                <w:rFonts w:ascii="宋体" w:eastAsia="宋体" w:hAnsi="宋体" w:hint="eastAsia"/>
                <w:sz w:val="24"/>
                <w:szCs w:val="24"/>
              </w:rPr>
              <w:t>业绩说明会</w:t>
            </w:r>
          </w:p>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 xml:space="preserve">新闻发布会          </w:t>
            </w:r>
            <w:r>
              <w:rPr>
                <w:rFonts w:ascii="宋体" w:eastAsia="宋体" w:hAnsi="宋体" w:hint="eastAsia"/>
                <w:bCs/>
                <w:iCs/>
                <w:sz w:val="24"/>
                <w:szCs w:val="24"/>
              </w:rPr>
              <w:t>□</w:t>
            </w:r>
            <w:r>
              <w:rPr>
                <w:rFonts w:ascii="宋体" w:eastAsia="宋体" w:hAnsi="宋体" w:hint="eastAsia"/>
                <w:sz w:val="24"/>
                <w:szCs w:val="24"/>
              </w:rPr>
              <w:t>路演活动</w:t>
            </w:r>
          </w:p>
          <w:p w:rsidR="00143CCA" w:rsidRDefault="00B949CB">
            <w:pPr>
              <w:tabs>
                <w:tab w:val="left" w:pos="3045"/>
                <w:tab w:val="center" w:pos="3199"/>
              </w:tabs>
              <w:spacing w:line="360" w:lineRule="auto"/>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现场参观</w:t>
            </w:r>
            <w:r>
              <w:rPr>
                <w:rFonts w:ascii="宋体" w:eastAsia="宋体" w:hAnsi="宋体"/>
                <w:bCs/>
                <w:iCs/>
                <w:sz w:val="24"/>
                <w:szCs w:val="24"/>
              </w:rPr>
              <w:tab/>
            </w:r>
          </w:p>
          <w:p w:rsidR="00143CCA" w:rsidRDefault="00B949CB">
            <w:pPr>
              <w:tabs>
                <w:tab w:val="center" w:pos="3199"/>
              </w:tabs>
              <w:spacing w:line="360" w:lineRule="auto"/>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其他 （</w:t>
            </w:r>
            <w:r>
              <w:rPr>
                <w:rFonts w:ascii="宋体" w:eastAsia="宋体" w:hAnsi="宋体" w:hint="eastAsia"/>
                <w:sz w:val="24"/>
                <w:szCs w:val="24"/>
                <w:u w:val="single"/>
              </w:rPr>
              <w:t>请文字说明其他活动内容）</w:t>
            </w:r>
          </w:p>
        </w:tc>
      </w:tr>
      <w:tr w:rsidR="00F06AEA">
        <w:trPr>
          <w:jc w:val="center"/>
        </w:trPr>
        <w:tc>
          <w:tcPr>
            <w:tcW w:w="2019" w:type="dxa"/>
            <w:shd w:val="clear" w:color="auto" w:fill="auto"/>
            <w:vAlign w:val="center"/>
          </w:tcPr>
          <w:p w:rsidR="00F06AEA" w:rsidRDefault="00F06AEA">
            <w:pPr>
              <w:spacing w:line="360" w:lineRule="auto"/>
              <w:jc w:val="center"/>
              <w:rPr>
                <w:rFonts w:ascii="宋体" w:eastAsia="宋体" w:hAnsi="宋体"/>
                <w:b/>
                <w:bCs/>
                <w:iCs/>
                <w:sz w:val="24"/>
                <w:szCs w:val="24"/>
              </w:rPr>
            </w:pPr>
            <w:r w:rsidRPr="00F06AEA">
              <w:rPr>
                <w:rFonts w:ascii="宋体" w:eastAsia="宋体" w:hAnsi="宋体" w:hint="eastAsia"/>
                <w:b/>
                <w:bCs/>
                <w:iCs/>
                <w:sz w:val="24"/>
                <w:szCs w:val="24"/>
              </w:rPr>
              <w:t>参与单位名称及人员姓名</w:t>
            </w:r>
          </w:p>
        </w:tc>
        <w:tc>
          <w:tcPr>
            <w:tcW w:w="6487" w:type="dxa"/>
            <w:shd w:val="clear" w:color="auto" w:fill="auto"/>
          </w:tcPr>
          <w:p w:rsidR="00F06AEA" w:rsidRDefault="00F06AEA" w:rsidP="00F06AEA">
            <w:pPr>
              <w:spacing w:line="360" w:lineRule="auto"/>
              <w:rPr>
                <w:rFonts w:ascii="宋体" w:eastAsia="宋体" w:hAnsi="宋体"/>
                <w:bCs/>
                <w:iCs/>
                <w:sz w:val="24"/>
                <w:szCs w:val="24"/>
              </w:rPr>
            </w:pPr>
            <w:r w:rsidRPr="00F06AEA">
              <w:rPr>
                <w:rFonts w:ascii="宋体" w:eastAsia="宋体" w:hAnsi="宋体" w:hint="eastAsia"/>
                <w:bCs/>
                <w:iCs/>
                <w:sz w:val="24"/>
                <w:szCs w:val="24"/>
              </w:rPr>
              <w:t>通过“上</w:t>
            </w:r>
            <w:r w:rsidRPr="00F06AEA">
              <w:rPr>
                <w:rFonts w:ascii="宋体" w:eastAsia="宋体" w:hAnsi="宋体"/>
                <w:bCs/>
                <w:iCs/>
                <w:sz w:val="24"/>
                <w:szCs w:val="24"/>
              </w:rPr>
              <w:t>海证券交易所上证路演中心</w:t>
            </w:r>
            <w:r w:rsidRPr="00F06AEA">
              <w:rPr>
                <w:rFonts w:ascii="宋体" w:eastAsia="宋体" w:hAnsi="宋体" w:hint="eastAsia"/>
                <w:bCs/>
                <w:iCs/>
                <w:sz w:val="24"/>
                <w:szCs w:val="24"/>
              </w:rPr>
              <w:t>”参与公司</w:t>
            </w:r>
            <w:r>
              <w:rPr>
                <w:rFonts w:ascii="宋体" w:eastAsia="宋体" w:hAnsi="宋体"/>
                <w:bCs/>
                <w:iCs/>
                <w:sz w:val="24"/>
                <w:szCs w:val="24"/>
              </w:rPr>
              <w:t>2023</w:t>
            </w:r>
            <w:r>
              <w:rPr>
                <w:rFonts w:ascii="宋体" w:eastAsia="宋体" w:hAnsi="宋体" w:hint="eastAsia"/>
                <w:bCs/>
                <w:iCs/>
                <w:sz w:val="24"/>
                <w:szCs w:val="24"/>
              </w:rPr>
              <w:t>年第三季度业绩</w:t>
            </w:r>
            <w:r w:rsidRPr="00F06AEA">
              <w:rPr>
                <w:rFonts w:ascii="宋体" w:eastAsia="宋体" w:hAnsi="宋体"/>
                <w:bCs/>
                <w:iCs/>
                <w:sz w:val="24"/>
                <w:szCs w:val="24"/>
              </w:rPr>
              <w:t>说明会的广大投资者</w:t>
            </w:r>
          </w:p>
        </w:tc>
      </w:tr>
      <w:tr w:rsidR="00143CCA">
        <w:trPr>
          <w:jc w:val="center"/>
        </w:trPr>
        <w:tc>
          <w:tcPr>
            <w:tcW w:w="2019" w:type="dxa"/>
            <w:shd w:val="clear" w:color="auto" w:fill="auto"/>
            <w:vAlign w:val="center"/>
          </w:tcPr>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时</w:t>
            </w:r>
            <w:r w:rsidR="00F06AEA">
              <w:rPr>
                <w:rFonts w:ascii="宋体" w:eastAsia="宋体" w:hAnsi="宋体" w:hint="eastAsia"/>
                <w:b/>
                <w:bCs/>
                <w:iCs/>
                <w:sz w:val="24"/>
                <w:szCs w:val="24"/>
              </w:rPr>
              <w:t xml:space="preserve"> </w:t>
            </w:r>
            <w:r w:rsidR="00F06AEA">
              <w:rPr>
                <w:rFonts w:ascii="宋体" w:eastAsia="宋体" w:hAnsi="宋体"/>
                <w:b/>
                <w:bCs/>
                <w:iCs/>
                <w:sz w:val="24"/>
                <w:szCs w:val="24"/>
              </w:rPr>
              <w:t xml:space="preserve"> </w:t>
            </w:r>
            <w:r>
              <w:rPr>
                <w:rFonts w:ascii="宋体" w:eastAsia="宋体" w:hAnsi="宋体" w:hint="eastAsia"/>
                <w:b/>
                <w:bCs/>
                <w:iCs/>
                <w:sz w:val="24"/>
                <w:szCs w:val="24"/>
              </w:rPr>
              <w:t>间</w:t>
            </w:r>
          </w:p>
        </w:tc>
        <w:tc>
          <w:tcPr>
            <w:tcW w:w="6487" w:type="dxa"/>
            <w:shd w:val="clear" w:color="auto" w:fill="auto"/>
          </w:tcPr>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20</w:t>
            </w:r>
            <w:r>
              <w:rPr>
                <w:rFonts w:ascii="宋体" w:eastAsia="宋体" w:hAnsi="宋体"/>
                <w:bCs/>
                <w:iCs/>
                <w:sz w:val="24"/>
                <w:szCs w:val="24"/>
              </w:rPr>
              <w:t>2</w:t>
            </w:r>
            <w:r>
              <w:rPr>
                <w:rFonts w:ascii="宋体" w:eastAsia="宋体" w:hAnsi="宋体" w:hint="eastAsia"/>
                <w:bCs/>
                <w:iCs/>
                <w:sz w:val="24"/>
                <w:szCs w:val="24"/>
              </w:rPr>
              <w:t>3年</w:t>
            </w:r>
            <w:r>
              <w:rPr>
                <w:rFonts w:ascii="宋体" w:eastAsia="宋体" w:hAnsi="宋体"/>
                <w:bCs/>
                <w:iCs/>
                <w:sz w:val="24"/>
                <w:szCs w:val="24"/>
              </w:rPr>
              <w:t>12</w:t>
            </w:r>
            <w:r>
              <w:rPr>
                <w:rFonts w:ascii="宋体" w:eastAsia="宋体" w:hAnsi="宋体" w:hint="eastAsia"/>
                <w:bCs/>
                <w:iCs/>
                <w:sz w:val="24"/>
                <w:szCs w:val="24"/>
              </w:rPr>
              <w:t>月</w:t>
            </w:r>
            <w:r>
              <w:rPr>
                <w:rFonts w:ascii="宋体" w:eastAsia="宋体" w:hAnsi="宋体"/>
                <w:bCs/>
                <w:iCs/>
                <w:sz w:val="24"/>
                <w:szCs w:val="24"/>
              </w:rPr>
              <w:t>1</w:t>
            </w:r>
            <w:r>
              <w:rPr>
                <w:rFonts w:ascii="宋体" w:eastAsia="宋体" w:hAnsi="宋体" w:hint="eastAsia"/>
                <w:bCs/>
                <w:iCs/>
                <w:sz w:val="24"/>
                <w:szCs w:val="24"/>
              </w:rPr>
              <w:t>1日（星期一）下午13:0</w:t>
            </w:r>
            <w:r>
              <w:rPr>
                <w:rFonts w:ascii="宋体" w:eastAsia="宋体" w:hAnsi="宋体"/>
                <w:bCs/>
                <w:iCs/>
                <w:sz w:val="24"/>
                <w:szCs w:val="24"/>
              </w:rPr>
              <w:t>0</w:t>
            </w:r>
            <w:r>
              <w:rPr>
                <w:rFonts w:ascii="宋体" w:eastAsia="宋体" w:hAnsi="宋体" w:hint="eastAsia"/>
                <w:bCs/>
                <w:iCs/>
                <w:sz w:val="24"/>
                <w:szCs w:val="24"/>
              </w:rPr>
              <w:t>-</w:t>
            </w:r>
            <w:r>
              <w:rPr>
                <w:rFonts w:ascii="宋体" w:eastAsia="宋体" w:hAnsi="宋体"/>
                <w:bCs/>
                <w:iCs/>
                <w:sz w:val="24"/>
                <w:szCs w:val="24"/>
              </w:rPr>
              <w:t>1</w:t>
            </w:r>
            <w:r>
              <w:rPr>
                <w:rFonts w:ascii="宋体" w:eastAsia="宋体" w:hAnsi="宋体" w:hint="eastAsia"/>
                <w:bCs/>
                <w:iCs/>
                <w:sz w:val="24"/>
                <w:szCs w:val="24"/>
              </w:rPr>
              <w:t>4:0</w:t>
            </w:r>
            <w:r>
              <w:rPr>
                <w:rFonts w:ascii="宋体" w:eastAsia="宋体" w:hAnsi="宋体"/>
                <w:bCs/>
                <w:iCs/>
                <w:sz w:val="24"/>
                <w:szCs w:val="24"/>
              </w:rPr>
              <w:t>0</w:t>
            </w:r>
          </w:p>
        </w:tc>
      </w:tr>
      <w:tr w:rsidR="00143CCA">
        <w:trPr>
          <w:jc w:val="center"/>
        </w:trPr>
        <w:tc>
          <w:tcPr>
            <w:tcW w:w="2019" w:type="dxa"/>
            <w:shd w:val="clear" w:color="auto" w:fill="auto"/>
            <w:vAlign w:val="center"/>
          </w:tcPr>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地</w:t>
            </w:r>
            <w:r w:rsidR="00F06AEA">
              <w:rPr>
                <w:rFonts w:ascii="宋体" w:eastAsia="宋体" w:hAnsi="宋体" w:hint="eastAsia"/>
                <w:b/>
                <w:bCs/>
                <w:iCs/>
                <w:sz w:val="24"/>
                <w:szCs w:val="24"/>
              </w:rPr>
              <w:t xml:space="preserve"> </w:t>
            </w:r>
            <w:r w:rsidR="00F06AEA">
              <w:rPr>
                <w:rFonts w:ascii="宋体" w:eastAsia="宋体" w:hAnsi="宋体"/>
                <w:b/>
                <w:bCs/>
                <w:iCs/>
                <w:sz w:val="24"/>
                <w:szCs w:val="24"/>
              </w:rPr>
              <w:t xml:space="preserve"> </w:t>
            </w:r>
            <w:r>
              <w:rPr>
                <w:rFonts w:ascii="宋体" w:eastAsia="宋体" w:hAnsi="宋体" w:hint="eastAsia"/>
                <w:b/>
                <w:bCs/>
                <w:iCs/>
                <w:sz w:val="24"/>
                <w:szCs w:val="24"/>
              </w:rPr>
              <w:t>点</w:t>
            </w:r>
          </w:p>
        </w:tc>
        <w:tc>
          <w:tcPr>
            <w:tcW w:w="6487" w:type="dxa"/>
            <w:shd w:val="clear" w:color="auto" w:fill="auto"/>
          </w:tcPr>
          <w:p w:rsidR="00143CCA" w:rsidRDefault="00B949CB" w:rsidP="00F06AEA">
            <w:pPr>
              <w:spacing w:line="360" w:lineRule="auto"/>
              <w:jc w:val="left"/>
              <w:rPr>
                <w:rFonts w:ascii="宋体" w:eastAsia="宋体" w:hAnsi="宋体"/>
                <w:bCs/>
                <w:iCs/>
                <w:sz w:val="24"/>
                <w:szCs w:val="24"/>
              </w:rPr>
            </w:pPr>
            <w:r>
              <w:rPr>
                <w:rFonts w:ascii="宋体" w:eastAsia="宋体" w:hAnsi="宋体" w:hint="eastAsia"/>
                <w:bCs/>
                <w:iCs/>
                <w:sz w:val="24"/>
                <w:szCs w:val="24"/>
              </w:rPr>
              <w:t>上海证券交易所上证路演中心（网址：https://roadshow.sseinfo.com/）</w:t>
            </w:r>
          </w:p>
        </w:tc>
      </w:tr>
      <w:tr w:rsidR="00143CCA">
        <w:trPr>
          <w:jc w:val="center"/>
        </w:trPr>
        <w:tc>
          <w:tcPr>
            <w:tcW w:w="2019" w:type="dxa"/>
            <w:shd w:val="clear" w:color="auto" w:fill="auto"/>
            <w:vAlign w:val="center"/>
          </w:tcPr>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上市公司</w:t>
            </w:r>
            <w:r w:rsidR="00F06AEA">
              <w:rPr>
                <w:rFonts w:ascii="宋体" w:eastAsia="宋体" w:hAnsi="宋体" w:hint="eastAsia"/>
                <w:b/>
                <w:bCs/>
                <w:iCs/>
                <w:sz w:val="24"/>
                <w:szCs w:val="24"/>
              </w:rPr>
              <w:t>接待</w:t>
            </w:r>
          </w:p>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人员姓名</w:t>
            </w:r>
          </w:p>
        </w:tc>
        <w:tc>
          <w:tcPr>
            <w:tcW w:w="6487" w:type="dxa"/>
            <w:shd w:val="clear" w:color="auto" w:fill="auto"/>
          </w:tcPr>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董事长、总裁：阮积祥</w:t>
            </w:r>
          </w:p>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副董事长、副总裁兼董事会秘书：谢云娇</w:t>
            </w:r>
          </w:p>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轮值执行总裁：郑海涛</w:t>
            </w:r>
          </w:p>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财务总监：林美芳</w:t>
            </w:r>
          </w:p>
        </w:tc>
      </w:tr>
      <w:tr w:rsidR="00143CCA">
        <w:trPr>
          <w:trHeight w:val="70"/>
          <w:jc w:val="center"/>
        </w:trPr>
        <w:tc>
          <w:tcPr>
            <w:tcW w:w="2019" w:type="dxa"/>
            <w:shd w:val="clear" w:color="auto" w:fill="auto"/>
            <w:vAlign w:val="center"/>
          </w:tcPr>
          <w:p w:rsidR="00143CCA" w:rsidRDefault="00B949CB">
            <w:pPr>
              <w:spacing w:line="360" w:lineRule="auto"/>
              <w:jc w:val="center"/>
              <w:rPr>
                <w:rFonts w:ascii="宋体" w:eastAsia="宋体" w:hAnsi="宋体"/>
                <w:sz w:val="24"/>
                <w:szCs w:val="24"/>
              </w:rPr>
            </w:pPr>
            <w:r>
              <w:rPr>
                <w:rFonts w:ascii="宋体" w:eastAsia="宋体" w:hAnsi="宋体" w:hint="eastAsia"/>
                <w:b/>
                <w:bCs/>
                <w:iCs/>
                <w:sz w:val="24"/>
                <w:szCs w:val="24"/>
              </w:rPr>
              <w:t>投资者关系活动主要内容介绍</w:t>
            </w:r>
          </w:p>
        </w:tc>
        <w:tc>
          <w:tcPr>
            <w:tcW w:w="6487" w:type="dxa"/>
            <w:shd w:val="clear" w:color="auto" w:fill="auto"/>
          </w:tcPr>
          <w:p w:rsidR="00143CCA" w:rsidRDefault="00B949CB" w:rsidP="00F06AEA">
            <w:pPr>
              <w:pStyle w:val="HTML"/>
              <w:widowControl/>
              <w:numPr>
                <w:ilvl w:val="0"/>
                <w:numId w:val="1"/>
              </w:numPr>
              <w:spacing w:line="360" w:lineRule="auto"/>
              <w:ind w:firstLineChars="200" w:firstLine="482"/>
              <w:jc w:val="both"/>
              <w:rPr>
                <w:rFonts w:hint="default"/>
              </w:rPr>
            </w:pPr>
            <w:r>
              <w:rPr>
                <w:rFonts w:cstheme="minorBidi" w:hint="default"/>
                <w:b/>
                <w:kern w:val="2"/>
              </w:rPr>
              <w:t>您好领导，公司对于2024年有怎样的规划呢？</w:t>
            </w:r>
          </w:p>
          <w:p w:rsidR="00143CCA" w:rsidRDefault="00B949CB" w:rsidP="00F06AEA">
            <w:pPr>
              <w:pStyle w:val="HTML"/>
              <w:widowControl/>
              <w:spacing w:line="360" w:lineRule="auto"/>
              <w:ind w:firstLineChars="200" w:firstLine="480"/>
              <w:jc w:val="both"/>
              <w:rPr>
                <w:rFonts w:hint="default"/>
              </w:rPr>
            </w:pPr>
            <w:r>
              <w:t>答：2023年前三季度，我国缝制机械行业面临内需低迷、外需下行的双向挑战，行业经济整体回落至近十年来最为低迷的水平。2023年1-9月，公司实现营业收入41亿元，同比下降6.70%；实现归母净利润4.12亿元，同比下降2.71%；整体优于行业平均水平。公司已于2023年9月27日披露2023年限制性股票激励计划，将现金流及净利润率作为未来三年（2023-2025年）的业绩考核指标，未来将努力实现上述目标，谢谢！</w:t>
            </w:r>
          </w:p>
          <w:p w:rsidR="00202BAE" w:rsidRDefault="00202BAE" w:rsidP="00F06AEA">
            <w:pPr>
              <w:pStyle w:val="HTML"/>
              <w:widowControl/>
              <w:spacing w:line="360" w:lineRule="auto"/>
              <w:ind w:firstLineChars="200" w:firstLine="480"/>
              <w:jc w:val="both"/>
              <w:rPr>
                <w:rFonts w:hint="default"/>
              </w:rPr>
            </w:pPr>
          </w:p>
          <w:p w:rsidR="00143CCA" w:rsidRDefault="00B949CB" w:rsidP="00F06AEA">
            <w:pPr>
              <w:pStyle w:val="HTML"/>
              <w:widowControl/>
              <w:numPr>
                <w:ilvl w:val="0"/>
                <w:numId w:val="1"/>
              </w:numPr>
              <w:spacing w:line="360" w:lineRule="auto"/>
              <w:ind w:firstLineChars="200" w:firstLine="482"/>
              <w:jc w:val="both"/>
              <w:rPr>
                <w:rFonts w:hint="default"/>
                <w:b/>
              </w:rPr>
            </w:pPr>
            <w:r>
              <w:rPr>
                <w:rFonts w:cstheme="minorBidi" w:hint="default"/>
                <w:b/>
                <w:kern w:val="2"/>
              </w:rPr>
              <w:t>公司海外市场的经营布局是怎么样的？</w:t>
            </w:r>
          </w:p>
          <w:p w:rsidR="00143CCA" w:rsidRDefault="00B949CB" w:rsidP="00F06AEA">
            <w:pPr>
              <w:pStyle w:val="HTML"/>
              <w:widowControl/>
              <w:spacing w:line="360" w:lineRule="auto"/>
              <w:ind w:firstLineChars="200" w:firstLine="480"/>
              <w:jc w:val="both"/>
              <w:rPr>
                <w:rFonts w:hint="default"/>
              </w:rPr>
            </w:pPr>
            <w:r>
              <w:lastRenderedPageBreak/>
              <w:t>答：目前公司在全球160多个国家和地区拥有8,000余家经销及分销网点，从2022年开始，公司进一步强化海外发展机会，加大海外资源投入，加快渠道建设，将重量级营销人员逐步向海外倾斜；加大海外办事处、分子公司的构建，扩展海外本地化销售及服务人员；将海外指挥中心前移至海外一线，公司高管必须重点关注海外市场，尤其是对3+8国重点海外市场发展的支持，从组织建设、资金投入、人员匹配等。同时利用全球的渠道网络优势，在重点市场构建成套智联标杆工厂，不断拓展中大型客户的占比，实现立足中端、拓展中高端的市场格局。谢谢！</w:t>
            </w:r>
          </w:p>
          <w:p w:rsidR="00202BAE" w:rsidRDefault="00202BAE" w:rsidP="00F06AEA">
            <w:pPr>
              <w:pStyle w:val="HTML"/>
              <w:widowControl/>
              <w:spacing w:line="360" w:lineRule="auto"/>
              <w:ind w:firstLineChars="200" w:firstLine="480"/>
              <w:jc w:val="both"/>
              <w:rPr>
                <w:rFonts w:hint="default"/>
              </w:rPr>
            </w:pPr>
          </w:p>
          <w:p w:rsidR="00143CCA" w:rsidRDefault="00B949CB" w:rsidP="00F06AEA">
            <w:pPr>
              <w:pStyle w:val="HTML"/>
              <w:widowControl/>
              <w:spacing w:line="360" w:lineRule="auto"/>
              <w:ind w:firstLineChars="200" w:firstLine="482"/>
              <w:jc w:val="both"/>
              <w:rPr>
                <w:rFonts w:hint="default"/>
                <w:b/>
              </w:rPr>
            </w:pPr>
            <w:r>
              <w:rPr>
                <w:b/>
              </w:rPr>
              <w:t>3、注意到公司发布了增加回购金额的公告，回购上限增加了1.4亿元，在这个中位增加回购金额是基于什么去考虑的？</w:t>
            </w:r>
          </w:p>
          <w:p w:rsidR="00143CCA" w:rsidRDefault="00B949CB" w:rsidP="00F06AEA">
            <w:pPr>
              <w:pStyle w:val="HTML"/>
              <w:widowControl/>
              <w:spacing w:line="360" w:lineRule="auto"/>
              <w:ind w:firstLineChars="200" w:firstLine="480"/>
              <w:jc w:val="both"/>
              <w:rPr>
                <w:rFonts w:hint="default"/>
              </w:rPr>
            </w:pPr>
            <w:r>
              <w:t>答：为响应监管机构“活跃资本市场，提振投资者信心”号召，基于对公司未来持续发展的信心和对公司价值的高度认可，增强投资者对公司的投资信心，公司决定将回购资金上限提升至3.8亿元，尽管当前政治经济形势存在较大不确定性，行业发展也存在较大挑战，但我们仍然对行业发展、对公司未来发展充满信心。因为我们有挑战，就有机会。危机危机，危中蕴含着机会。我们作为行业的龙头，公司将持续聚焦核心品类，打造爆品，提升产品竞争力，抓住行业数字化智能化发展转型机会，提高公司市占率，提升公司规模以及盈利能力，因此调增了回购金额，也希望各位投资者关注公司的长期发展价值，与公司携手同行。谢谢！</w:t>
            </w:r>
          </w:p>
          <w:p w:rsidR="00202BAE" w:rsidRDefault="00202BAE" w:rsidP="00F06AEA">
            <w:pPr>
              <w:pStyle w:val="HTML"/>
              <w:widowControl/>
              <w:spacing w:line="360" w:lineRule="auto"/>
              <w:ind w:firstLineChars="200" w:firstLine="480"/>
              <w:jc w:val="both"/>
              <w:rPr>
                <w:rFonts w:hint="default"/>
              </w:rPr>
            </w:pPr>
          </w:p>
          <w:p w:rsidR="00143CCA" w:rsidRDefault="00B949CB" w:rsidP="00F06AEA">
            <w:pPr>
              <w:pStyle w:val="HTML"/>
              <w:widowControl/>
              <w:spacing w:line="360" w:lineRule="auto"/>
              <w:ind w:firstLineChars="200" w:firstLine="482"/>
              <w:jc w:val="both"/>
              <w:rPr>
                <w:rFonts w:hint="default"/>
                <w:b/>
              </w:rPr>
            </w:pPr>
            <w:r>
              <w:rPr>
                <w:b/>
              </w:rPr>
              <w:t>4、请问缝制机械行业现状及2024年发展展望？</w:t>
            </w:r>
          </w:p>
          <w:p w:rsidR="00143CCA" w:rsidRDefault="00B949CB" w:rsidP="00F06AEA">
            <w:pPr>
              <w:pStyle w:val="HTML"/>
              <w:widowControl/>
              <w:spacing w:line="360" w:lineRule="auto"/>
              <w:ind w:firstLineChars="200" w:firstLine="480"/>
              <w:jc w:val="both"/>
              <w:rPr>
                <w:rFonts w:hint="default"/>
              </w:rPr>
            </w:pPr>
            <w:r>
              <w:t>答：据中国缝制机械行业初步估算，2023年行业工业机总产量约为550万台左右，回落到接近2016年行业最为低迷</w:t>
            </w:r>
            <w:r>
              <w:lastRenderedPageBreak/>
              <w:t>的水平。截止到9月末，库存基本回落到合理水平，逐步为后续补库打开空间。2024年挑战与机遇共存，预计2024年行业产销有望在上半年止跌企稳，在下半年逐步回升，并即将开启触底回升和恢复性增长的5年新周期。谢谢！</w:t>
            </w:r>
          </w:p>
          <w:p w:rsidR="00202BAE" w:rsidRDefault="00202BAE" w:rsidP="00F06AEA">
            <w:pPr>
              <w:pStyle w:val="HTML"/>
              <w:widowControl/>
              <w:spacing w:line="360" w:lineRule="auto"/>
              <w:ind w:firstLineChars="200" w:firstLine="480"/>
              <w:jc w:val="both"/>
              <w:rPr>
                <w:rFonts w:hint="default"/>
              </w:rPr>
            </w:pPr>
          </w:p>
          <w:p w:rsidR="00143CCA" w:rsidRDefault="00B949CB" w:rsidP="00F06AEA">
            <w:pPr>
              <w:pStyle w:val="HTML"/>
              <w:widowControl/>
              <w:spacing w:line="360" w:lineRule="auto"/>
              <w:ind w:firstLineChars="200" w:firstLine="482"/>
              <w:jc w:val="both"/>
              <w:rPr>
                <w:rFonts w:hint="default"/>
                <w:b/>
              </w:rPr>
            </w:pPr>
            <w:r>
              <w:rPr>
                <w:b/>
              </w:rPr>
              <w:t>5、订单能见度或下游客户能见度大概有多久？</w:t>
            </w:r>
          </w:p>
          <w:p w:rsidR="00143CCA" w:rsidRDefault="00B949CB" w:rsidP="00F06AEA">
            <w:pPr>
              <w:pStyle w:val="HTML"/>
              <w:widowControl/>
              <w:spacing w:line="360" w:lineRule="auto"/>
              <w:ind w:firstLineChars="200" w:firstLine="480"/>
              <w:jc w:val="both"/>
              <w:rPr>
                <w:rFonts w:hint="default"/>
              </w:rPr>
            </w:pPr>
            <w:r>
              <w:t>答：公司缝制产业创始于1995年，公司目前已经发展成为集服装面辅料仓储、数字板房、智能验布、智能裁剪、吊挂缝纫、后道分拣、成品仓储及APS、MES、WMS等软硬件为一体的成套智联服务商，公司产品远销全球160多个国家，拥有8000余家经销商，其主要产品缝纫机以经销模式为主直销模式为辅，其他如智能裁剪以经销模式+直销模式相结合。经销模式下的产品交期及订单周期相对较短。不同的客户群体以及不同的销售模式下其订单交期不同。公司致力于聚焦资源打爆品，提升产品赢订单来提升公司订单能见度以及下游客户的采购量，从而提升公司在任何一种销售模式的成交量。谢谢！</w:t>
            </w:r>
          </w:p>
          <w:p w:rsidR="00202BAE" w:rsidRDefault="00202BAE" w:rsidP="00F06AEA">
            <w:pPr>
              <w:pStyle w:val="HTML"/>
              <w:widowControl/>
              <w:spacing w:line="360" w:lineRule="auto"/>
              <w:ind w:firstLineChars="200" w:firstLine="480"/>
              <w:jc w:val="both"/>
              <w:rPr>
                <w:rFonts w:hint="default"/>
              </w:rPr>
            </w:pPr>
          </w:p>
          <w:p w:rsidR="00143CCA" w:rsidRDefault="00B949CB" w:rsidP="00F06AEA">
            <w:pPr>
              <w:pStyle w:val="HTML"/>
              <w:widowControl/>
              <w:spacing w:line="360" w:lineRule="auto"/>
              <w:ind w:firstLineChars="200" w:firstLine="482"/>
              <w:jc w:val="both"/>
              <w:rPr>
                <w:rFonts w:hint="default"/>
                <w:b/>
              </w:rPr>
            </w:pPr>
            <w:r>
              <w:rPr>
                <w:b/>
              </w:rPr>
              <w:t>6、您好，请问如何看待海外产业转移？</w:t>
            </w:r>
          </w:p>
          <w:p w:rsidR="00143CCA" w:rsidRDefault="00B949CB" w:rsidP="00F06AEA">
            <w:pPr>
              <w:pStyle w:val="HTML"/>
              <w:widowControl/>
              <w:spacing w:line="360" w:lineRule="auto"/>
              <w:ind w:firstLineChars="200" w:firstLine="480"/>
              <w:jc w:val="both"/>
              <w:rPr>
                <w:rFonts w:hint="default"/>
              </w:rPr>
            </w:pPr>
            <w:r>
              <w:t>答：无论是国内向海外转移还是东部向西部转移，在转移过程中，通过下游行业的新布局、新建厂、新扩产，会加快缝制设备更新换代，撬动存量并不断形成新的市场增量，利好整个缝制设备行业。相比国内市场，海外缝制设备存量大都为传统的缝制设备居多，随着纺织服装产业的转移、行业复苏及海外人工成本的逐年上升，自动化缝制设备等需求将快速加大，传统缝制设备更新升级将会成为未来海外市场的增长点。谢谢！</w:t>
            </w:r>
          </w:p>
          <w:p w:rsidR="00F06AEA" w:rsidRDefault="00F06AEA" w:rsidP="00F06AEA">
            <w:pPr>
              <w:pStyle w:val="HTML"/>
              <w:widowControl/>
              <w:spacing w:line="360" w:lineRule="auto"/>
              <w:ind w:firstLineChars="200" w:firstLine="480"/>
              <w:jc w:val="both"/>
              <w:rPr>
                <w:rFonts w:hint="default"/>
              </w:rPr>
            </w:pPr>
          </w:p>
          <w:p w:rsidR="00202BAE" w:rsidRDefault="00B949CB" w:rsidP="00F06AEA">
            <w:pPr>
              <w:pStyle w:val="HTML"/>
              <w:widowControl/>
              <w:spacing w:line="360" w:lineRule="auto"/>
              <w:ind w:firstLineChars="200" w:firstLine="482"/>
              <w:jc w:val="both"/>
              <w:rPr>
                <w:rFonts w:hint="default"/>
                <w:b/>
              </w:rPr>
            </w:pPr>
            <w:r>
              <w:rPr>
                <w:b/>
              </w:rPr>
              <w:lastRenderedPageBreak/>
              <w:t>7、您觉得杰克在中大型客户的市占率较低的最大问题或瓶颈在哪里？</w:t>
            </w:r>
          </w:p>
          <w:p w:rsidR="00143CCA" w:rsidRDefault="00B949CB" w:rsidP="00F06AEA">
            <w:pPr>
              <w:pStyle w:val="HTML"/>
              <w:widowControl/>
              <w:spacing w:line="360" w:lineRule="auto"/>
              <w:ind w:firstLineChars="200" w:firstLine="480"/>
              <w:jc w:val="both"/>
              <w:rPr>
                <w:rFonts w:hint="default"/>
              </w:rPr>
            </w:pPr>
            <w:r>
              <w:t>答：杰克缝纫机产业创始于1995年，自公司成立以来一直致力于研发创新，每年将销售收入5%以上的资金投向研发，通过内生式自主研发创新，尤其是缝制产业电控研究、缝制设备互联互通等数字化方面的研发创新，同时通过拓展外延式联合客户以及高校、科研机构进行联合创新，更是在发展过程中，积极通过并购重整，吸收行业内外先进技术以拓展和提升杰克技术核心竞争力以及品牌影响力。经过多年的锤炼打磨，杰克无论是技术和品牌在行业中都得到了极大的提升，杰克品牌逐步走向缝制设备第一品牌行列。对于中大型客户存量缝制设备主要采购的日台韩品牌，基于使用的习惯以及对日台韩历史悠久的品牌认知，要转变采购中国自主品牌还需要一定的过程。2021年公司推出成套智联，软硬件组合的数字化解决方案后，部分致力于数字化转型的中大型企业也逐步转向采购公司产品及解决方案，相信随着时间的推移，公司产品在中大型服装企业中的市占率将逐步提高。其次杰克旗下的奔马迈卡产品作为细分领域全球领导品牌，其客户群体中已经涵盖了中大型客户群体，因此公司未来在中大型客户群体中市占率的提升既有品牌基础，也有产品竞争力基础，公司拓展中高端，提升中大型客户市占率是必然趋势，也是公</w:t>
            </w:r>
            <w:bookmarkStart w:id="0" w:name="_GoBack"/>
            <w:bookmarkEnd w:id="0"/>
            <w:r>
              <w:t>司未来的增长机会点，谢谢！</w:t>
            </w:r>
          </w:p>
          <w:p w:rsidR="00202BAE" w:rsidRDefault="00202BAE" w:rsidP="00F06AEA">
            <w:pPr>
              <w:pStyle w:val="HTML"/>
              <w:widowControl/>
              <w:spacing w:line="360" w:lineRule="auto"/>
              <w:jc w:val="both"/>
              <w:rPr>
                <w:rFonts w:hint="default"/>
              </w:rPr>
            </w:pPr>
          </w:p>
        </w:tc>
      </w:tr>
      <w:tr w:rsidR="00143CCA">
        <w:trPr>
          <w:jc w:val="center"/>
        </w:trPr>
        <w:tc>
          <w:tcPr>
            <w:tcW w:w="2019" w:type="dxa"/>
            <w:shd w:val="clear" w:color="auto" w:fill="auto"/>
            <w:vAlign w:val="center"/>
          </w:tcPr>
          <w:p w:rsidR="00143CCA" w:rsidRDefault="00B949CB">
            <w:pPr>
              <w:spacing w:line="360" w:lineRule="auto"/>
              <w:ind w:firstLineChars="50" w:firstLine="120"/>
              <w:jc w:val="center"/>
              <w:rPr>
                <w:rFonts w:ascii="宋体" w:eastAsia="宋体" w:hAnsi="宋体"/>
                <w:b/>
                <w:bCs/>
                <w:iCs/>
                <w:sz w:val="24"/>
                <w:szCs w:val="24"/>
              </w:rPr>
            </w:pPr>
            <w:r>
              <w:rPr>
                <w:rFonts w:ascii="宋体" w:eastAsia="宋体" w:hAnsi="宋体" w:hint="eastAsia"/>
                <w:b/>
                <w:bCs/>
                <w:iCs/>
                <w:sz w:val="24"/>
                <w:szCs w:val="24"/>
              </w:rPr>
              <w:lastRenderedPageBreak/>
              <w:t>附件清单</w:t>
            </w:r>
          </w:p>
        </w:tc>
        <w:tc>
          <w:tcPr>
            <w:tcW w:w="6487" w:type="dxa"/>
            <w:shd w:val="clear" w:color="auto" w:fill="auto"/>
          </w:tcPr>
          <w:p w:rsidR="00143CCA" w:rsidRDefault="00B949CB">
            <w:pPr>
              <w:spacing w:line="360" w:lineRule="auto"/>
              <w:rPr>
                <w:rFonts w:ascii="宋体" w:eastAsia="宋体" w:hAnsi="宋体"/>
                <w:bCs/>
                <w:iCs/>
                <w:sz w:val="24"/>
                <w:szCs w:val="24"/>
              </w:rPr>
            </w:pPr>
            <w:r>
              <w:rPr>
                <w:rFonts w:ascii="宋体" w:eastAsia="宋体" w:hAnsi="宋体" w:hint="eastAsia"/>
                <w:bCs/>
                <w:iCs/>
                <w:sz w:val="24"/>
                <w:szCs w:val="24"/>
              </w:rPr>
              <w:t>无</w:t>
            </w:r>
          </w:p>
        </w:tc>
      </w:tr>
      <w:tr w:rsidR="00143CCA">
        <w:trPr>
          <w:jc w:val="center"/>
        </w:trPr>
        <w:tc>
          <w:tcPr>
            <w:tcW w:w="2019" w:type="dxa"/>
            <w:shd w:val="clear" w:color="auto" w:fill="auto"/>
            <w:vAlign w:val="center"/>
          </w:tcPr>
          <w:p w:rsidR="00143CCA" w:rsidRDefault="00B949CB">
            <w:pPr>
              <w:spacing w:line="360" w:lineRule="auto"/>
              <w:jc w:val="center"/>
              <w:rPr>
                <w:rFonts w:ascii="宋体" w:eastAsia="宋体" w:hAnsi="宋体"/>
                <w:b/>
                <w:bCs/>
                <w:iCs/>
                <w:sz w:val="24"/>
                <w:szCs w:val="24"/>
              </w:rPr>
            </w:pPr>
            <w:r>
              <w:rPr>
                <w:rFonts w:ascii="宋体" w:eastAsia="宋体" w:hAnsi="宋体" w:hint="eastAsia"/>
                <w:b/>
                <w:bCs/>
                <w:iCs/>
                <w:sz w:val="24"/>
                <w:szCs w:val="24"/>
              </w:rPr>
              <w:t>日期</w:t>
            </w:r>
          </w:p>
        </w:tc>
        <w:tc>
          <w:tcPr>
            <w:tcW w:w="6487" w:type="dxa"/>
            <w:shd w:val="clear" w:color="auto" w:fill="auto"/>
          </w:tcPr>
          <w:p w:rsidR="00143CCA" w:rsidRDefault="00B949CB" w:rsidP="00554A62">
            <w:pPr>
              <w:spacing w:line="360" w:lineRule="auto"/>
              <w:rPr>
                <w:rFonts w:ascii="宋体" w:eastAsia="宋体" w:hAnsi="宋体"/>
                <w:bCs/>
                <w:iCs/>
                <w:sz w:val="24"/>
                <w:szCs w:val="24"/>
              </w:rPr>
            </w:pPr>
            <w:r>
              <w:rPr>
                <w:rFonts w:ascii="宋体" w:eastAsia="宋体" w:hAnsi="宋体"/>
                <w:bCs/>
                <w:iCs/>
                <w:sz w:val="24"/>
                <w:szCs w:val="24"/>
              </w:rPr>
              <w:t>202</w:t>
            </w:r>
            <w:r>
              <w:rPr>
                <w:rFonts w:ascii="宋体" w:eastAsia="宋体" w:hAnsi="宋体" w:hint="eastAsia"/>
                <w:bCs/>
                <w:iCs/>
                <w:sz w:val="24"/>
                <w:szCs w:val="24"/>
              </w:rPr>
              <w:t>3</w:t>
            </w:r>
            <w:r>
              <w:rPr>
                <w:rFonts w:ascii="宋体" w:eastAsia="宋体" w:hAnsi="宋体"/>
                <w:bCs/>
                <w:iCs/>
                <w:sz w:val="24"/>
                <w:szCs w:val="24"/>
              </w:rPr>
              <w:t>年12月</w:t>
            </w:r>
            <w:r w:rsidR="00554A62">
              <w:rPr>
                <w:rFonts w:ascii="宋体" w:eastAsia="宋体" w:hAnsi="宋体"/>
                <w:bCs/>
                <w:iCs/>
                <w:sz w:val="24"/>
                <w:szCs w:val="24"/>
              </w:rPr>
              <w:t>12</w:t>
            </w:r>
            <w:r>
              <w:rPr>
                <w:rFonts w:ascii="宋体" w:eastAsia="宋体" w:hAnsi="宋体"/>
                <w:bCs/>
                <w:iCs/>
                <w:sz w:val="24"/>
                <w:szCs w:val="24"/>
              </w:rPr>
              <w:t>日</w:t>
            </w:r>
          </w:p>
        </w:tc>
      </w:tr>
    </w:tbl>
    <w:p w:rsidR="00143CCA" w:rsidRDefault="00143CCA">
      <w:pPr>
        <w:spacing w:line="360" w:lineRule="auto"/>
        <w:jc w:val="left"/>
        <w:rPr>
          <w:rFonts w:ascii="宋体" w:eastAsia="宋体" w:hAnsi="宋体"/>
          <w:sz w:val="24"/>
          <w:szCs w:val="24"/>
        </w:rPr>
      </w:pPr>
    </w:p>
    <w:p w:rsidR="00143CCA" w:rsidRDefault="00143CCA">
      <w:pPr>
        <w:spacing w:line="360" w:lineRule="auto"/>
        <w:jc w:val="left"/>
        <w:rPr>
          <w:rFonts w:ascii="宋体" w:eastAsia="宋体" w:hAnsi="宋体"/>
          <w:sz w:val="24"/>
          <w:szCs w:val="24"/>
        </w:rPr>
      </w:pPr>
    </w:p>
    <w:sectPr w:rsidR="00143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8A" w:rsidRDefault="00126A8A" w:rsidP="00F06AEA">
      <w:r>
        <w:separator/>
      </w:r>
    </w:p>
  </w:endnote>
  <w:endnote w:type="continuationSeparator" w:id="0">
    <w:p w:rsidR="00126A8A" w:rsidRDefault="00126A8A" w:rsidP="00F0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8A" w:rsidRDefault="00126A8A" w:rsidP="00F06AEA">
      <w:r>
        <w:separator/>
      </w:r>
    </w:p>
  </w:footnote>
  <w:footnote w:type="continuationSeparator" w:id="0">
    <w:p w:rsidR="00126A8A" w:rsidRDefault="00126A8A" w:rsidP="00F0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9716"/>
    <w:multiLevelType w:val="singleLevel"/>
    <w:tmpl w:val="08239716"/>
    <w:lvl w:ilvl="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mOWM1NWIzYzYwNjk5MDA3M2VhNzUwNTUzYmE1ZjYifQ=="/>
  </w:docVars>
  <w:rsids>
    <w:rsidRoot w:val="00454C15"/>
    <w:rsid w:val="00043986"/>
    <w:rsid w:val="00043CC9"/>
    <w:rsid w:val="00106BAE"/>
    <w:rsid w:val="00126A8A"/>
    <w:rsid w:val="00143CCA"/>
    <w:rsid w:val="001D159D"/>
    <w:rsid w:val="001E605E"/>
    <w:rsid w:val="00202BAE"/>
    <w:rsid w:val="00204AEE"/>
    <w:rsid w:val="00221018"/>
    <w:rsid w:val="00221BB1"/>
    <w:rsid w:val="002353F1"/>
    <w:rsid w:val="003B1E4D"/>
    <w:rsid w:val="003C4200"/>
    <w:rsid w:val="004137A5"/>
    <w:rsid w:val="00454C15"/>
    <w:rsid w:val="00462EB9"/>
    <w:rsid w:val="004721D2"/>
    <w:rsid w:val="00554A62"/>
    <w:rsid w:val="00572B12"/>
    <w:rsid w:val="00595BE0"/>
    <w:rsid w:val="005D183D"/>
    <w:rsid w:val="00620360"/>
    <w:rsid w:val="00633279"/>
    <w:rsid w:val="00662ECE"/>
    <w:rsid w:val="00680E9C"/>
    <w:rsid w:val="006E42D0"/>
    <w:rsid w:val="0070702F"/>
    <w:rsid w:val="00715B9C"/>
    <w:rsid w:val="0072030D"/>
    <w:rsid w:val="00733AB4"/>
    <w:rsid w:val="00740AD7"/>
    <w:rsid w:val="00750465"/>
    <w:rsid w:val="007A02AC"/>
    <w:rsid w:val="007E2E2E"/>
    <w:rsid w:val="00806784"/>
    <w:rsid w:val="008335E4"/>
    <w:rsid w:val="0085202F"/>
    <w:rsid w:val="0088122A"/>
    <w:rsid w:val="008A73EF"/>
    <w:rsid w:val="008D615F"/>
    <w:rsid w:val="009432DC"/>
    <w:rsid w:val="009A1BB7"/>
    <w:rsid w:val="009F41CA"/>
    <w:rsid w:val="00A47179"/>
    <w:rsid w:val="00A85F60"/>
    <w:rsid w:val="00AE407E"/>
    <w:rsid w:val="00AF01BA"/>
    <w:rsid w:val="00B142CD"/>
    <w:rsid w:val="00B47E87"/>
    <w:rsid w:val="00B54FAC"/>
    <w:rsid w:val="00B62745"/>
    <w:rsid w:val="00B900AB"/>
    <w:rsid w:val="00B949CB"/>
    <w:rsid w:val="00BC0E2D"/>
    <w:rsid w:val="00BD1507"/>
    <w:rsid w:val="00BD605C"/>
    <w:rsid w:val="00BD7C3C"/>
    <w:rsid w:val="00BE13A2"/>
    <w:rsid w:val="00BF6C91"/>
    <w:rsid w:val="00C15E8E"/>
    <w:rsid w:val="00C8711C"/>
    <w:rsid w:val="00CA18D2"/>
    <w:rsid w:val="00D04F0C"/>
    <w:rsid w:val="00D434ED"/>
    <w:rsid w:val="00DA4F30"/>
    <w:rsid w:val="00DB15ED"/>
    <w:rsid w:val="00DF318D"/>
    <w:rsid w:val="00E15A6B"/>
    <w:rsid w:val="00E45EAE"/>
    <w:rsid w:val="00EA0E28"/>
    <w:rsid w:val="00ED2F3A"/>
    <w:rsid w:val="00ED326E"/>
    <w:rsid w:val="00F06AEA"/>
    <w:rsid w:val="00FA4069"/>
    <w:rsid w:val="00FB0E16"/>
    <w:rsid w:val="00FC6B24"/>
    <w:rsid w:val="01707875"/>
    <w:rsid w:val="31C95F96"/>
    <w:rsid w:val="3A6D787B"/>
    <w:rsid w:val="534A5F90"/>
    <w:rsid w:val="6A3B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2B17"/>
  <w15:docId w15:val="{DFF5BECE-F67C-4A4D-AD33-BC76661C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3">
    <w:name w:val="Normal (Web)"/>
    <w:basedOn w:val="a"/>
    <w:uiPriority w:val="99"/>
    <w:semiHidden/>
    <w:unhideWhenUsed/>
    <w:pPr>
      <w:spacing w:beforeAutospacing="1" w:afterAutospacing="1"/>
      <w:jc w:val="left"/>
    </w:pPr>
    <w:rPr>
      <w:rFonts w:cs="Times New Roman"/>
      <w:kern w:val="0"/>
      <w:sz w:val="24"/>
    </w:r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F06AE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6AEA"/>
    <w:rPr>
      <w:rFonts w:asciiTheme="minorHAnsi" w:eastAsiaTheme="minorEastAsia" w:hAnsiTheme="minorHAnsi" w:cstheme="minorBidi"/>
      <w:kern w:val="2"/>
      <w:sz w:val="18"/>
      <w:szCs w:val="18"/>
    </w:rPr>
  </w:style>
  <w:style w:type="paragraph" w:styleId="a7">
    <w:name w:val="footer"/>
    <w:basedOn w:val="a"/>
    <w:link w:val="a8"/>
    <w:uiPriority w:val="99"/>
    <w:unhideWhenUsed/>
    <w:rsid w:val="00F06AEA"/>
    <w:pPr>
      <w:tabs>
        <w:tab w:val="center" w:pos="4153"/>
        <w:tab w:val="right" w:pos="8306"/>
      </w:tabs>
      <w:snapToGrid w:val="0"/>
      <w:jc w:val="left"/>
    </w:pPr>
    <w:rPr>
      <w:sz w:val="18"/>
      <w:szCs w:val="18"/>
    </w:rPr>
  </w:style>
  <w:style w:type="character" w:customStyle="1" w:styleId="a8">
    <w:name w:val="页脚 字符"/>
    <w:basedOn w:val="a0"/>
    <w:link w:val="a7"/>
    <w:uiPriority w:val="99"/>
    <w:rsid w:val="00F06AE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jack</cp:lastModifiedBy>
  <cp:revision>8</cp:revision>
  <dcterms:created xsi:type="dcterms:W3CDTF">2022-12-03T06:34:00Z</dcterms:created>
  <dcterms:modified xsi:type="dcterms:W3CDTF">2023-12-12T07:07:00Z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AD000690D7A943E9B2E87D7A597525B2_12</vt:lpwstr>
  </property>
</Properties>
</file>