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ascii="宋体" w:hAnsi="宋体" w:eastAsia="宋体" w:cs="宋体"/>
          <w:sz w:val="24"/>
          <w:szCs w:val="24"/>
          <w:lang w:val="en-US"/>
        </w:rPr>
      </w:pPr>
      <w:r>
        <w:rPr>
          <w:rFonts w:hint="eastAsia" w:ascii="宋体" w:hAnsi="宋体" w:eastAsia="宋体" w:cs="宋体"/>
          <w:sz w:val="24"/>
          <w:szCs w:val="24"/>
          <w:lang w:val="en-US"/>
        </w:rPr>
        <w:t>证券代码：600256                               证券简称：广汇能源</w:t>
      </w:r>
    </w:p>
    <w:p>
      <w:pPr>
        <w:spacing w:line="500" w:lineRule="exact"/>
        <w:rPr>
          <w:rFonts w:ascii="黑体" w:hAnsi="黑体" w:eastAsia="黑体" w:cs="黑体"/>
          <w:sz w:val="36"/>
          <w:szCs w:val="36"/>
          <w:lang w:val="en-US"/>
        </w:rPr>
      </w:pPr>
    </w:p>
    <w:p>
      <w:pPr>
        <w:spacing w:line="500" w:lineRule="exact"/>
        <w:jc w:val="center"/>
        <w:rPr>
          <w:rFonts w:ascii="黑体" w:hAnsi="黑体" w:eastAsia="黑体" w:cs="黑体"/>
          <w:b/>
          <w:bCs/>
          <w:sz w:val="36"/>
          <w:szCs w:val="36"/>
        </w:rPr>
      </w:pPr>
      <w:r>
        <w:rPr>
          <w:rFonts w:hint="eastAsia" w:ascii="黑体" w:hAnsi="黑体" w:eastAsia="黑体" w:cs="黑体"/>
          <w:b/>
          <w:bCs/>
          <w:sz w:val="36"/>
          <w:szCs w:val="36"/>
          <w:lang w:val="en-US"/>
        </w:rPr>
        <w:t>广汇能源</w:t>
      </w:r>
      <w:r>
        <w:rPr>
          <w:rFonts w:hint="eastAsia" w:ascii="黑体" w:hAnsi="黑体" w:eastAsia="黑体" w:cs="黑体"/>
          <w:b/>
          <w:bCs/>
          <w:sz w:val="36"/>
          <w:szCs w:val="36"/>
        </w:rPr>
        <w:t>股份有限公司</w:t>
      </w:r>
    </w:p>
    <w:p>
      <w:pPr>
        <w:spacing w:line="500" w:lineRule="exact"/>
        <w:jc w:val="center"/>
        <w:rPr>
          <w:rFonts w:ascii="黑体" w:hAnsi="黑体" w:eastAsia="黑体" w:cs="黑体"/>
          <w:b/>
          <w:bCs/>
          <w:sz w:val="36"/>
          <w:szCs w:val="36"/>
        </w:rPr>
      </w:pPr>
      <w:r>
        <w:rPr>
          <w:rFonts w:hint="eastAsia" w:ascii="黑体" w:hAnsi="黑体" w:eastAsia="黑体" w:cs="黑体"/>
          <w:b/>
          <w:bCs/>
          <w:sz w:val="36"/>
          <w:szCs w:val="36"/>
        </w:rPr>
        <w:t>投资者关系活动记录表</w:t>
      </w:r>
    </w:p>
    <w:p>
      <w:pPr>
        <w:spacing w:line="500" w:lineRule="exact"/>
        <w:jc w:val="center"/>
        <w:rPr>
          <w:rFonts w:ascii="宋体" w:hAnsi="宋体" w:eastAsia="宋体" w:cs="宋体"/>
          <w:sz w:val="28"/>
          <w:szCs w:val="28"/>
          <w:lang w:val="en-US"/>
        </w:rPr>
      </w:pPr>
      <w:r>
        <w:rPr>
          <w:rFonts w:hint="eastAsia" w:ascii="宋体" w:hAnsi="宋体" w:eastAsia="宋体" w:cs="宋体"/>
          <w:sz w:val="28"/>
          <w:szCs w:val="28"/>
          <w:lang w:val="en-US"/>
        </w:rPr>
        <w:t xml:space="preserve">                                              </w:t>
      </w:r>
    </w:p>
    <w:tbl>
      <w:tblPr>
        <w:tblStyle w:val="10"/>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9"/>
        <w:gridCol w:w="6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jc w:val="center"/>
        </w:trPr>
        <w:tc>
          <w:tcPr>
            <w:tcW w:w="1919" w:type="dxa"/>
          </w:tcPr>
          <w:p>
            <w:pPr>
              <w:pStyle w:val="13"/>
              <w:spacing w:line="500" w:lineRule="exact"/>
              <w:jc w:val="center"/>
              <w:rPr>
                <w:rFonts w:ascii="宋体" w:hAnsi="宋体" w:eastAsia="宋体" w:cs="宋体"/>
                <w:b/>
                <w:bCs/>
                <w:sz w:val="24"/>
                <w:szCs w:val="24"/>
              </w:rPr>
            </w:pPr>
          </w:p>
          <w:p>
            <w:pPr>
              <w:pStyle w:val="13"/>
              <w:spacing w:line="500" w:lineRule="exact"/>
              <w:ind w:left="107"/>
              <w:jc w:val="center"/>
              <w:rPr>
                <w:rFonts w:ascii="宋体" w:hAnsi="宋体" w:eastAsia="宋体" w:cs="宋体"/>
                <w:b/>
                <w:bCs/>
                <w:sz w:val="24"/>
                <w:szCs w:val="24"/>
              </w:rPr>
            </w:pPr>
            <w:r>
              <w:rPr>
                <w:rFonts w:hint="eastAsia" w:ascii="宋体" w:hAnsi="宋体" w:eastAsia="宋体" w:cs="宋体"/>
                <w:b/>
                <w:bCs/>
                <w:sz w:val="24"/>
                <w:szCs w:val="24"/>
              </w:rPr>
              <w:t>投资者关系</w:t>
            </w:r>
          </w:p>
          <w:p>
            <w:pPr>
              <w:pStyle w:val="13"/>
              <w:spacing w:line="500" w:lineRule="exact"/>
              <w:ind w:left="107"/>
              <w:jc w:val="center"/>
              <w:rPr>
                <w:rFonts w:ascii="宋体" w:hAnsi="宋体" w:eastAsia="宋体" w:cs="宋体"/>
                <w:b/>
                <w:bCs/>
                <w:sz w:val="24"/>
                <w:szCs w:val="24"/>
              </w:rPr>
            </w:pPr>
            <w:r>
              <w:rPr>
                <w:rFonts w:hint="eastAsia" w:ascii="宋体" w:hAnsi="宋体" w:eastAsia="宋体" w:cs="宋体"/>
                <w:b/>
                <w:bCs/>
                <w:sz w:val="24"/>
                <w:szCs w:val="24"/>
              </w:rPr>
              <w:t>活动类别</w:t>
            </w:r>
          </w:p>
        </w:tc>
        <w:tc>
          <w:tcPr>
            <w:tcW w:w="6606" w:type="dxa"/>
          </w:tcPr>
          <w:p>
            <w:pPr>
              <w:pStyle w:val="13"/>
              <w:tabs>
                <w:tab w:val="left" w:pos="2418"/>
              </w:tabs>
              <w:spacing w:line="500" w:lineRule="exact"/>
              <w:ind w:left="107"/>
              <w:rPr>
                <w:rFonts w:ascii="宋体" w:hAnsi="宋体" w:eastAsia="宋体" w:cs="宋体"/>
                <w:sz w:val="24"/>
                <w:szCs w:val="24"/>
              </w:rPr>
            </w:pPr>
            <w:sdt>
              <w:sdtPr>
                <w:rPr>
                  <w:rFonts w:hint="eastAsia" w:ascii="宋体" w:hAnsi="宋体" w:eastAsia="宋体" w:cs="宋体"/>
                  <w:sz w:val="24"/>
                  <w:szCs w:val="24"/>
                </w:rPr>
                <w:id w:val="249780449"/>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特定对象调研</w:t>
            </w:r>
            <w:r>
              <w:rPr>
                <w:rFonts w:hint="eastAsia" w:ascii="宋体" w:hAnsi="宋体" w:eastAsia="宋体" w:cs="宋体"/>
                <w:sz w:val="24"/>
                <w:szCs w:val="24"/>
                <w:lang w:val="en-US"/>
              </w:rPr>
              <w:t xml:space="preserve">       </w:t>
            </w:r>
            <w:r>
              <w:rPr>
                <w:rFonts w:hint="eastAsia" w:ascii="宋体" w:hAnsi="宋体" w:eastAsia="宋体" w:cs="宋体"/>
                <w:sz w:val="24"/>
                <w:szCs w:val="24"/>
              </w:rPr>
              <w:tab/>
            </w:r>
            <w:sdt>
              <w:sdtPr>
                <w:rPr>
                  <w:rFonts w:hint="eastAsia" w:ascii="宋体" w:hAnsi="宋体" w:eastAsia="宋体" w:cs="宋体"/>
                  <w:sz w:val="24"/>
                  <w:szCs w:val="24"/>
                </w:rPr>
                <w:id w:val="-416875725"/>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分析师会议</w:t>
            </w:r>
          </w:p>
          <w:p>
            <w:pPr>
              <w:pStyle w:val="13"/>
              <w:tabs>
                <w:tab w:val="left" w:pos="2418"/>
              </w:tabs>
              <w:spacing w:line="500" w:lineRule="exact"/>
              <w:ind w:left="107"/>
              <w:rPr>
                <w:rFonts w:ascii="宋体" w:hAnsi="宋体" w:eastAsia="宋体" w:cs="宋体"/>
                <w:sz w:val="24"/>
                <w:szCs w:val="24"/>
              </w:rPr>
            </w:pPr>
            <w:sdt>
              <w:sdtPr>
                <w:rPr>
                  <w:rFonts w:hint="eastAsia" w:ascii="宋体" w:hAnsi="宋体" w:eastAsia="宋体" w:cs="宋体"/>
                  <w:sz w:val="24"/>
                  <w:szCs w:val="24"/>
                </w:rPr>
                <w:id w:val="1206906014"/>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媒体采访</w:t>
            </w:r>
            <w:r>
              <w:rPr>
                <w:rFonts w:hint="eastAsia" w:ascii="宋体" w:hAnsi="宋体" w:eastAsia="宋体" w:cs="宋体"/>
                <w:sz w:val="24"/>
                <w:szCs w:val="24"/>
                <w:lang w:val="en-US"/>
              </w:rPr>
              <w:t xml:space="preserve">            </w:t>
            </w:r>
            <w:r>
              <w:rPr>
                <w:rFonts w:hint="eastAsia" w:ascii="宋体" w:hAnsi="宋体" w:eastAsia="宋体" w:cs="宋体"/>
                <w:sz w:val="24"/>
                <w:szCs w:val="24"/>
              </w:rPr>
              <w:tab/>
            </w:r>
            <w:sdt>
              <w:sdtPr>
                <w:rPr>
                  <w:rFonts w:hint="eastAsia" w:ascii="宋体" w:hAnsi="宋体" w:eastAsia="宋体" w:cs="宋体"/>
                  <w:sz w:val="24"/>
                  <w:szCs w:val="24"/>
                </w:rPr>
                <w:id w:val="-66658901"/>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业绩说明会</w:t>
            </w:r>
          </w:p>
          <w:p>
            <w:pPr>
              <w:pStyle w:val="13"/>
              <w:tabs>
                <w:tab w:val="left" w:pos="2418"/>
              </w:tabs>
              <w:spacing w:line="500" w:lineRule="exact"/>
              <w:ind w:left="107"/>
              <w:rPr>
                <w:rFonts w:ascii="宋体" w:hAnsi="宋体" w:eastAsia="宋体" w:cs="宋体"/>
                <w:sz w:val="24"/>
                <w:szCs w:val="24"/>
              </w:rPr>
            </w:pPr>
            <w:sdt>
              <w:sdtPr>
                <w:rPr>
                  <w:rFonts w:hint="eastAsia" w:ascii="宋体" w:hAnsi="宋体" w:eastAsia="宋体" w:cs="宋体"/>
                  <w:sz w:val="24"/>
                  <w:szCs w:val="24"/>
                </w:rPr>
                <w:id w:val="-1848167434"/>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新闻发布会</w:t>
            </w:r>
            <w:r>
              <w:rPr>
                <w:rFonts w:hint="eastAsia" w:ascii="宋体" w:hAnsi="宋体" w:eastAsia="宋体" w:cs="宋体"/>
                <w:sz w:val="24"/>
                <w:szCs w:val="24"/>
                <w:lang w:val="en-US"/>
              </w:rPr>
              <w:t xml:space="preserve">         </w:t>
            </w:r>
            <w:r>
              <w:rPr>
                <w:rFonts w:hint="eastAsia" w:ascii="宋体" w:hAnsi="宋体" w:eastAsia="宋体" w:cs="宋体"/>
                <w:sz w:val="24"/>
                <w:szCs w:val="24"/>
              </w:rPr>
              <w:tab/>
            </w:r>
            <w:sdt>
              <w:sdtPr>
                <w:rPr>
                  <w:rFonts w:hint="eastAsia" w:ascii="宋体" w:hAnsi="宋体" w:eastAsia="宋体" w:cs="宋体"/>
                  <w:sz w:val="24"/>
                  <w:szCs w:val="24"/>
                </w:rPr>
                <w:id w:val="412049691"/>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路演活动</w:t>
            </w:r>
          </w:p>
          <w:p>
            <w:pPr>
              <w:pStyle w:val="13"/>
              <w:tabs>
                <w:tab w:val="left" w:pos="2418"/>
              </w:tabs>
              <w:spacing w:line="500" w:lineRule="exact"/>
              <w:ind w:left="107"/>
              <w:rPr>
                <w:rFonts w:ascii="宋体" w:hAnsi="宋体" w:eastAsia="宋体" w:cs="宋体"/>
                <w:sz w:val="21"/>
              </w:rPr>
            </w:pPr>
            <w:sdt>
              <w:sdtPr>
                <w:rPr>
                  <w:rFonts w:hint="eastAsia" w:ascii="宋体" w:hAnsi="宋体" w:eastAsia="宋体" w:cs="宋体"/>
                  <w:sz w:val="24"/>
                  <w:szCs w:val="24"/>
                </w:rPr>
                <w:id w:val="-1333366911"/>
                <w14:checkbox>
                  <w14:checked w14:val="1"/>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Wingdings 2" w:hAnsi="Wingdings 2" w:eastAsia="宋体" w:cs="宋体"/>
                    <w:sz w:val="24"/>
                    <w:szCs w:val="24"/>
                  </w:rPr>
                  <w:t>R</w:t>
                </w:r>
              </w:sdtContent>
            </w:sdt>
            <w:r>
              <w:rPr>
                <w:rFonts w:hint="eastAsia" w:ascii="宋体" w:hAnsi="宋体" w:eastAsia="宋体" w:cs="宋体"/>
                <w:sz w:val="24"/>
                <w:szCs w:val="24"/>
              </w:rPr>
              <w:t>现场参观</w:t>
            </w:r>
            <w:r>
              <w:rPr>
                <w:rFonts w:hint="eastAsia" w:ascii="宋体" w:hAnsi="宋体" w:eastAsia="宋体" w:cs="宋体"/>
                <w:sz w:val="24"/>
                <w:szCs w:val="24"/>
                <w:lang w:val="en-US"/>
              </w:rPr>
              <w:t xml:space="preserve">              </w:t>
            </w:r>
            <w:sdt>
              <w:sdtPr>
                <w:rPr>
                  <w:rFonts w:hint="eastAsia" w:ascii="宋体" w:hAnsi="宋体" w:eastAsia="宋体" w:cs="宋体"/>
                  <w:sz w:val="24"/>
                  <w:szCs w:val="24"/>
                </w:rPr>
                <w:id w:val="400885218"/>
                <w14:checkbox>
                  <w14:checked w14:val="0"/>
                  <w14:checkedState w14:val="0052" w14:font="Wingdings 2"/>
                  <w14:uncheckedState w14:val="2610" w14:font="Meiryo"/>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1919" w:type="dxa"/>
            <w:vAlign w:val="center"/>
          </w:tcPr>
          <w:p>
            <w:pPr>
              <w:pStyle w:val="13"/>
              <w:spacing w:line="500" w:lineRule="exact"/>
              <w:ind w:left="107" w:right="96"/>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参与单位名称</w:t>
            </w:r>
          </w:p>
          <w:p>
            <w:pPr>
              <w:pStyle w:val="13"/>
              <w:spacing w:line="500" w:lineRule="exact"/>
              <w:ind w:left="107" w:right="96"/>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及人员姓名</w:t>
            </w:r>
          </w:p>
        </w:tc>
        <w:tc>
          <w:tcPr>
            <w:tcW w:w="6606" w:type="dxa"/>
            <w:vAlign w:val="center"/>
          </w:tcPr>
          <w:p>
            <w:pPr>
              <w:pStyle w:val="13"/>
              <w:spacing w:line="500" w:lineRule="exact"/>
              <w:jc w:val="both"/>
              <w:rPr>
                <w:rFonts w:hint="default" w:ascii="宋体" w:hAnsi="宋体" w:eastAsia="宋体" w:cs="宋体"/>
                <w:lang w:val="en-US" w:eastAsia="zh-CN"/>
              </w:rPr>
            </w:pPr>
            <w:r>
              <w:rPr>
                <w:rFonts w:hint="eastAsia" w:ascii="宋体" w:hAnsi="宋体" w:eastAsia="宋体" w:cs="宋体"/>
                <w:lang w:val="en-US" w:eastAsia="zh-CN"/>
              </w:rPr>
              <w:t>博道基金、长江自营、鲸域资管、银华基金、创金合信、前海联合、开源证券11</w:t>
            </w:r>
            <w:r>
              <w:rPr>
                <w:rFonts w:hint="eastAsia" w:ascii="宋体" w:hAnsi="宋体" w:eastAsia="宋体" w:cs="宋体"/>
                <w:lang w:val="en-US"/>
              </w:rPr>
              <w:t>名机构投资者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919" w:type="dxa"/>
            <w:vAlign w:val="center"/>
          </w:tcPr>
          <w:p>
            <w:pPr>
              <w:pStyle w:val="13"/>
              <w:spacing w:line="500" w:lineRule="exact"/>
              <w:ind w:left="107"/>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时间</w:t>
            </w:r>
          </w:p>
        </w:tc>
        <w:tc>
          <w:tcPr>
            <w:tcW w:w="6606" w:type="dxa"/>
            <w:vAlign w:val="center"/>
          </w:tcPr>
          <w:p>
            <w:pPr>
              <w:pStyle w:val="13"/>
              <w:spacing w:line="500" w:lineRule="exact"/>
              <w:jc w:val="both"/>
              <w:rPr>
                <w:rFonts w:hint="default" w:ascii="宋体" w:hAnsi="宋体" w:eastAsia="宋体" w:cs="宋体"/>
                <w:lang w:val="en-US"/>
              </w:rPr>
            </w:pPr>
            <w:r>
              <w:rPr>
                <w:rFonts w:hint="eastAsia" w:ascii="宋体" w:hAnsi="宋体" w:eastAsia="宋体" w:cs="宋体"/>
              </w:rPr>
              <w:t>2023年</w:t>
            </w:r>
            <w:r>
              <w:rPr>
                <w:rFonts w:hint="eastAsia" w:ascii="宋体" w:hAnsi="宋体" w:eastAsia="宋体" w:cs="宋体"/>
                <w:lang w:val="en-US" w:eastAsia="zh-CN"/>
              </w:rPr>
              <w:t>12</w:t>
            </w:r>
            <w:r>
              <w:rPr>
                <w:rFonts w:hint="eastAsia" w:ascii="宋体" w:hAnsi="宋体" w:eastAsia="宋体" w:cs="宋体"/>
              </w:rPr>
              <w:t>月</w:t>
            </w:r>
            <w:r>
              <w:rPr>
                <w:rFonts w:hint="eastAsia" w:ascii="宋体" w:hAnsi="宋体" w:eastAsia="宋体" w:cs="宋体"/>
                <w:lang w:val="en-US" w:eastAsia="zh-CN"/>
              </w:rPr>
              <w:t>14</w:t>
            </w:r>
            <w:r>
              <w:rPr>
                <w:rFonts w:hint="eastAsia" w:ascii="宋体" w:hAnsi="宋体" w:eastAsia="宋体" w:cs="宋体"/>
              </w:rPr>
              <w:t>日</w:t>
            </w:r>
            <w:r>
              <w:rPr>
                <w:rFonts w:hint="eastAsia" w:ascii="宋体" w:hAnsi="宋体" w:eastAsia="宋体" w:cs="宋体"/>
                <w:lang w:val="en-US" w:eastAsia="zh-CN"/>
              </w:rPr>
              <w:t>-21日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919" w:type="dxa"/>
            <w:vAlign w:val="center"/>
          </w:tcPr>
          <w:p>
            <w:pPr>
              <w:pStyle w:val="13"/>
              <w:spacing w:line="500" w:lineRule="exact"/>
              <w:ind w:left="107"/>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地点</w:t>
            </w:r>
          </w:p>
        </w:tc>
        <w:tc>
          <w:tcPr>
            <w:tcW w:w="6606" w:type="dxa"/>
            <w:vAlign w:val="center"/>
          </w:tcPr>
          <w:p>
            <w:pPr>
              <w:pStyle w:val="13"/>
              <w:spacing w:line="500" w:lineRule="exact"/>
              <w:jc w:val="both"/>
              <w:rPr>
                <w:rFonts w:ascii="宋体" w:hAnsi="宋体" w:eastAsia="宋体" w:cs="宋体"/>
                <w:lang w:val="en-US"/>
              </w:rPr>
            </w:pPr>
            <w:r>
              <w:rPr>
                <w:rFonts w:hint="eastAsia" w:ascii="宋体" w:hAnsi="宋体" w:eastAsia="宋体" w:cs="宋体"/>
                <w:lang w:val="en-US"/>
              </w:rPr>
              <w:t>新疆维吾尔自治区乌鲁木齐市新华北路165号中天广场27层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1919" w:type="dxa"/>
            <w:vAlign w:val="center"/>
          </w:tcPr>
          <w:p>
            <w:pPr>
              <w:pStyle w:val="13"/>
              <w:spacing w:line="500" w:lineRule="exact"/>
              <w:ind w:left="107"/>
              <w:jc w:val="center"/>
              <w:rPr>
                <w:rFonts w:ascii="宋体" w:hAnsi="宋体" w:eastAsia="宋体" w:cs="宋体"/>
                <w:b/>
                <w:bCs/>
                <w:sz w:val="24"/>
                <w:szCs w:val="24"/>
              </w:rPr>
            </w:pPr>
            <w:r>
              <w:rPr>
                <w:rFonts w:hint="eastAsia" w:ascii="宋体" w:hAnsi="宋体" w:eastAsia="宋体" w:cs="宋体"/>
                <w:b/>
                <w:bCs/>
                <w:sz w:val="24"/>
                <w:szCs w:val="24"/>
              </w:rPr>
              <w:t>上市公司接待</w:t>
            </w:r>
          </w:p>
          <w:p>
            <w:pPr>
              <w:pStyle w:val="13"/>
              <w:spacing w:line="500" w:lineRule="exact"/>
              <w:ind w:left="107"/>
              <w:jc w:val="center"/>
              <w:rPr>
                <w:rFonts w:ascii="宋体" w:hAnsi="宋体" w:eastAsia="宋体" w:cs="宋体"/>
                <w:b/>
                <w:bCs/>
                <w:sz w:val="24"/>
                <w:szCs w:val="24"/>
              </w:rPr>
            </w:pPr>
            <w:r>
              <w:rPr>
                <w:rFonts w:hint="eastAsia" w:ascii="宋体" w:hAnsi="宋体" w:eastAsia="宋体" w:cs="宋体"/>
                <w:b/>
                <w:bCs/>
                <w:sz w:val="24"/>
                <w:szCs w:val="24"/>
              </w:rPr>
              <w:t>人员姓名</w:t>
            </w:r>
          </w:p>
        </w:tc>
        <w:tc>
          <w:tcPr>
            <w:tcW w:w="6606" w:type="dxa"/>
            <w:vAlign w:val="center"/>
          </w:tcPr>
          <w:p>
            <w:pPr>
              <w:pStyle w:val="13"/>
              <w:spacing w:line="500" w:lineRule="exact"/>
              <w:jc w:val="both"/>
              <w:rPr>
                <w:rFonts w:ascii="宋体" w:hAnsi="宋体" w:eastAsia="宋体" w:cs="宋体"/>
                <w:lang w:val="en-US"/>
              </w:rPr>
            </w:pPr>
            <w:r>
              <w:rPr>
                <w:rFonts w:hint="eastAsia" w:ascii="宋体" w:hAnsi="宋体" w:eastAsia="宋体" w:cs="宋体"/>
                <w:lang w:val="en-US"/>
              </w:rPr>
              <w:t>广汇能源</w:t>
            </w:r>
            <w:r>
              <w:rPr>
                <w:rFonts w:hint="eastAsia" w:ascii="宋体" w:hAnsi="宋体" w:eastAsia="宋体" w:cs="宋体"/>
              </w:rPr>
              <w:t>董事会秘书、副总经理</w:t>
            </w:r>
            <w:r>
              <w:rPr>
                <w:rFonts w:hint="eastAsia" w:ascii="宋体" w:hAnsi="宋体" w:eastAsia="宋体" w:cs="宋体"/>
                <w:lang w:val="en-US"/>
              </w:rPr>
              <w:t xml:space="preserve"> 阳贤</w:t>
            </w:r>
          </w:p>
          <w:p>
            <w:pPr>
              <w:pStyle w:val="13"/>
              <w:spacing w:line="500" w:lineRule="exact"/>
              <w:jc w:val="both"/>
              <w:rPr>
                <w:rFonts w:ascii="宋体" w:hAnsi="宋体" w:eastAsia="宋体" w:cs="宋体"/>
                <w:lang w:val="en-US"/>
              </w:rPr>
            </w:pPr>
            <w:r>
              <w:rPr>
                <w:rFonts w:hint="eastAsia" w:ascii="宋体" w:hAnsi="宋体" w:eastAsia="宋体" w:cs="宋体"/>
                <w:lang w:val="en-US"/>
              </w:rPr>
              <w:t>证券部相关人员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jc w:val="center"/>
        </w:trPr>
        <w:tc>
          <w:tcPr>
            <w:tcW w:w="1919" w:type="dxa"/>
          </w:tcPr>
          <w:p>
            <w:pPr>
              <w:pStyle w:val="13"/>
              <w:spacing w:line="500" w:lineRule="exact"/>
              <w:jc w:val="center"/>
              <w:rPr>
                <w:rFonts w:ascii="宋体" w:hAnsi="宋体" w:eastAsia="宋体" w:cs="宋体"/>
                <w:b/>
                <w:bCs/>
                <w:sz w:val="24"/>
                <w:szCs w:val="24"/>
              </w:rPr>
            </w:pPr>
          </w:p>
          <w:p>
            <w:pPr>
              <w:pStyle w:val="13"/>
              <w:spacing w:line="500" w:lineRule="exact"/>
              <w:jc w:val="center"/>
              <w:rPr>
                <w:rFonts w:ascii="宋体" w:hAnsi="宋体" w:eastAsia="宋体" w:cs="宋体"/>
                <w:b/>
                <w:bCs/>
                <w:sz w:val="24"/>
                <w:szCs w:val="24"/>
              </w:rPr>
            </w:pPr>
          </w:p>
          <w:p>
            <w:pPr>
              <w:pStyle w:val="13"/>
              <w:spacing w:line="500" w:lineRule="exact"/>
              <w:jc w:val="center"/>
              <w:rPr>
                <w:rFonts w:ascii="宋体" w:hAnsi="宋体" w:eastAsia="宋体" w:cs="宋体"/>
                <w:b/>
                <w:bCs/>
                <w:sz w:val="24"/>
                <w:szCs w:val="24"/>
              </w:rPr>
            </w:pPr>
          </w:p>
          <w:p>
            <w:pPr>
              <w:pStyle w:val="13"/>
              <w:spacing w:line="500" w:lineRule="exact"/>
              <w:ind w:left="107" w:right="96"/>
              <w:jc w:val="center"/>
              <w:rPr>
                <w:rFonts w:ascii="宋体" w:hAnsi="宋体" w:eastAsia="宋体" w:cs="宋体"/>
                <w:b/>
                <w:bCs/>
                <w:sz w:val="24"/>
                <w:szCs w:val="24"/>
              </w:rPr>
            </w:pPr>
            <w:r>
              <w:rPr>
                <w:rFonts w:hint="eastAsia" w:ascii="宋体" w:hAnsi="宋体" w:eastAsia="宋体" w:cs="宋体"/>
                <w:b/>
                <w:bCs/>
                <w:sz w:val="24"/>
                <w:szCs w:val="24"/>
              </w:rPr>
              <w:t>投资者关系活动</w:t>
            </w:r>
          </w:p>
          <w:p>
            <w:pPr>
              <w:pStyle w:val="13"/>
              <w:spacing w:line="500" w:lineRule="exact"/>
              <w:ind w:left="107" w:right="96"/>
              <w:jc w:val="center"/>
              <w:rPr>
                <w:rFonts w:ascii="宋体" w:hAnsi="宋体" w:eastAsia="宋体" w:cs="宋体"/>
                <w:b/>
                <w:bCs/>
                <w:sz w:val="24"/>
                <w:szCs w:val="24"/>
              </w:rPr>
            </w:pPr>
            <w:r>
              <w:rPr>
                <w:rFonts w:hint="eastAsia" w:ascii="宋体" w:hAnsi="宋体" w:eastAsia="宋体" w:cs="宋体"/>
                <w:b/>
                <w:bCs/>
                <w:sz w:val="24"/>
                <w:szCs w:val="24"/>
              </w:rPr>
              <w:t>主要内容介绍</w:t>
            </w:r>
          </w:p>
        </w:tc>
        <w:tc>
          <w:tcPr>
            <w:tcW w:w="6606" w:type="dxa"/>
          </w:tcPr>
          <w:p>
            <w:pPr>
              <w:pStyle w:val="13"/>
              <w:spacing w:line="500" w:lineRule="exact"/>
              <w:jc w:val="both"/>
              <w:rPr>
                <w:rFonts w:ascii="宋体" w:hAnsi="宋体" w:eastAsia="宋体" w:cs="宋体"/>
                <w:b/>
                <w:bCs/>
              </w:rPr>
            </w:pPr>
            <w:r>
              <w:rPr>
                <w:rFonts w:hint="eastAsia" w:ascii="宋体" w:hAnsi="宋体" w:eastAsia="宋体" w:cs="宋体"/>
                <w:b/>
                <w:bCs/>
              </w:rPr>
              <w:t>1.公司</w:t>
            </w:r>
            <w:r>
              <w:rPr>
                <w:rFonts w:hint="eastAsia" w:ascii="宋体" w:hAnsi="宋体" w:eastAsia="宋体" w:cs="宋体"/>
                <w:b/>
                <w:bCs/>
                <w:lang w:val="en-US" w:eastAsia="zh-CN"/>
              </w:rPr>
              <w:t>哈萨克斯坦斋桑</w:t>
            </w:r>
            <w:r>
              <w:rPr>
                <w:rFonts w:hint="eastAsia" w:ascii="宋体" w:hAnsi="宋体" w:eastAsia="宋体" w:cs="宋体"/>
                <w:b/>
                <w:bCs/>
              </w:rPr>
              <w:t>原油项目进展如何？</w:t>
            </w:r>
          </w:p>
          <w:p>
            <w:pPr>
              <w:pStyle w:val="13"/>
              <w:spacing w:line="500" w:lineRule="exact"/>
              <w:jc w:val="both"/>
              <w:rPr>
                <w:rFonts w:hint="eastAsia" w:ascii="宋体" w:hAnsi="宋体" w:eastAsia="宋体" w:cs="宋体"/>
              </w:rPr>
            </w:pPr>
            <w:r>
              <w:rPr>
                <w:rFonts w:hint="eastAsia" w:ascii="宋体" w:hAnsi="宋体" w:eastAsia="宋体" w:cs="宋体"/>
              </w:rPr>
              <w:t>回复：截止目前，公司之全资子公司新疆广汇石油有限公司持股52%的控股子公司哈萨克斯坦TBM公司所投建的斋桑油气项目区块新油井S-1002已完成钻井，目前正在开展固井质量检测工作，经钻探分析，地下油层与先前地质报告认识一致。下一步，公司将依据投产层段测井资料做完井工艺设计。选取合适的射孔层段，确保射孔质量及防喷防卡井控措施；按工艺要求下生产管柱、抽油泵等完井工具；根据实际试采情况确定下步投产方案。</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2.</w:t>
            </w:r>
            <w:r>
              <w:rPr>
                <w:rFonts w:hint="eastAsia" w:ascii="宋体" w:hAnsi="宋体" w:eastAsia="宋体" w:cs="宋体"/>
                <w:b/>
                <w:bCs/>
              </w:rPr>
              <w:t>公司与中国华能集团签订煤炭供销合作框架协议2024年度供应煤炭1090万吨，运到北方港还有利润吗？</w:t>
            </w:r>
          </w:p>
          <w:p>
            <w:pPr>
              <w:pStyle w:val="13"/>
              <w:spacing w:line="500" w:lineRule="exact"/>
              <w:jc w:val="both"/>
              <w:rPr>
                <w:rFonts w:hint="eastAsia" w:ascii="宋体" w:hAnsi="宋体" w:eastAsia="宋体" w:cs="宋体"/>
              </w:rPr>
            </w:pPr>
            <w:r>
              <w:rPr>
                <w:rFonts w:hint="eastAsia" w:ascii="宋体" w:hAnsi="宋体" w:eastAsia="宋体" w:cs="宋体"/>
              </w:rPr>
              <w:t>回复：根据双方框架协议约定，广汇能源作为煤炭供应方，2024年度分别向中国华能集团甘肃区域电厂、山东区域电厂及北方港口等地供应煤炭总量1090万吨。广汇能源煤炭销售区域遍布全国近20个省份，2023年1-9月，公司煤炭外销至山东区域占煤炭铁路外销总量7.25%。</w:t>
            </w:r>
            <w:r>
              <w:rPr>
                <w:rFonts w:hint="eastAsia" w:ascii="宋体" w:hAnsi="宋体" w:eastAsia="宋体" w:cs="宋体"/>
                <w:lang w:val="en-US" w:eastAsia="zh-CN"/>
              </w:rPr>
              <w:t>同时，</w:t>
            </w:r>
            <w:r>
              <w:rPr>
                <w:rFonts w:ascii="宋体" w:hAnsi="宋体" w:eastAsia="宋体" w:cs="宋体"/>
              </w:rPr>
              <w:t>公司煤炭执行市场化定价原则，由供需双方根据目标市场实际情况进行协商定价。</w:t>
            </w:r>
            <w:r>
              <w:rPr>
                <w:rFonts w:hint="eastAsia" w:ascii="宋体" w:hAnsi="宋体" w:eastAsia="宋体" w:cs="宋体"/>
              </w:rPr>
              <w:t>山东地区及北方港口地区所供应煤炭多为热值</w:t>
            </w:r>
            <w:r>
              <w:rPr>
                <w:rFonts w:hint="eastAsia" w:ascii="宋体" w:hAnsi="宋体" w:eastAsia="宋体" w:cs="宋体"/>
                <w:lang w:val="en-US" w:eastAsia="zh-CN"/>
              </w:rPr>
              <w:t>较高</w:t>
            </w:r>
            <w:r>
              <w:rPr>
                <w:rFonts w:hint="eastAsia" w:ascii="宋体" w:hAnsi="宋体" w:eastAsia="宋体" w:cs="宋体"/>
              </w:rPr>
              <w:t>煤种，吨煤盈利能力较强。</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3.</w:t>
            </w:r>
            <w:r>
              <w:rPr>
                <w:rFonts w:hint="eastAsia" w:ascii="宋体" w:hAnsi="宋体" w:eastAsia="宋体" w:cs="宋体"/>
                <w:b/>
                <w:bCs/>
              </w:rPr>
              <w:t>公司氢能项目得进展情况？</w:t>
            </w:r>
          </w:p>
          <w:p>
            <w:pPr>
              <w:pStyle w:val="13"/>
              <w:spacing w:line="500" w:lineRule="exact"/>
              <w:jc w:val="both"/>
              <w:rPr>
                <w:rFonts w:hint="eastAsia" w:ascii="宋体" w:hAnsi="宋体" w:eastAsia="宋体" w:cs="宋体"/>
              </w:rPr>
            </w:pPr>
            <w:r>
              <w:rPr>
                <w:rFonts w:hint="eastAsia" w:ascii="宋体" w:hAnsi="宋体" w:eastAsia="宋体" w:cs="宋体"/>
              </w:rPr>
              <w:t>回复：氢能项目所有建筑主体已完工</w:t>
            </w:r>
            <w:r>
              <w:rPr>
                <w:rFonts w:hint="eastAsia" w:ascii="宋体" w:hAnsi="宋体" w:eastAsia="宋体" w:cs="宋体"/>
                <w:lang w:eastAsia="zh-CN"/>
              </w:rPr>
              <w:t>，</w:t>
            </w:r>
            <w:r>
              <w:rPr>
                <w:rFonts w:hint="eastAsia" w:ascii="宋体" w:hAnsi="宋体" w:eastAsia="宋体" w:cs="宋体"/>
              </w:rPr>
              <w:t>各设备已就位，风电机组安装进入收尾；现场工艺系统管线</w:t>
            </w:r>
            <w:r>
              <w:rPr>
                <w:rFonts w:hint="eastAsia" w:ascii="宋体" w:hAnsi="宋体" w:eastAsia="宋体" w:cs="宋体"/>
                <w:lang w:val="en-US" w:eastAsia="zh-CN"/>
              </w:rPr>
              <w:t>及</w:t>
            </w:r>
            <w:r>
              <w:rPr>
                <w:rFonts w:hint="eastAsia" w:ascii="宋体" w:hAnsi="宋体" w:eastAsia="宋体" w:cs="宋体"/>
              </w:rPr>
              <w:t>高压管线</w:t>
            </w:r>
            <w:r>
              <w:rPr>
                <w:rFonts w:hint="eastAsia" w:ascii="宋体" w:hAnsi="宋体" w:eastAsia="宋体" w:cs="宋体"/>
                <w:lang w:val="en-US" w:eastAsia="zh-CN"/>
              </w:rPr>
              <w:t>均已完成</w:t>
            </w:r>
            <w:r>
              <w:rPr>
                <w:rFonts w:hint="eastAsia" w:ascii="宋体" w:hAnsi="宋体" w:eastAsia="宋体" w:cs="宋体"/>
              </w:rPr>
              <w:t>安装；电气、控制系统、电讯系统正在安装</w:t>
            </w:r>
            <w:r>
              <w:rPr>
                <w:rFonts w:hint="eastAsia" w:ascii="宋体" w:hAnsi="宋体" w:eastAsia="宋体" w:cs="宋体"/>
                <w:lang w:val="en-US" w:eastAsia="zh-CN"/>
              </w:rPr>
              <w:t>收尾阶段</w:t>
            </w:r>
            <w:r>
              <w:rPr>
                <w:rFonts w:hint="eastAsia" w:ascii="宋体" w:hAnsi="宋体" w:eastAsia="宋体" w:cs="宋体"/>
              </w:rPr>
              <w:t>；目前正在启动全厂送电调试。</w:t>
            </w:r>
          </w:p>
          <w:p>
            <w:pPr>
              <w:pStyle w:val="13"/>
              <w:spacing w:line="500" w:lineRule="exact"/>
              <w:jc w:val="both"/>
              <w:rPr>
                <w:rFonts w:ascii="宋体" w:hAnsi="宋体" w:eastAsia="宋体" w:cs="宋体"/>
              </w:rPr>
            </w:pPr>
            <w:r>
              <w:rPr>
                <w:rFonts w:hint="eastAsia" w:ascii="宋体" w:hAnsi="宋体" w:eastAsia="宋体" w:cs="宋体"/>
              </w:rPr>
              <w:t xml:space="preserve"> </w:t>
            </w:r>
          </w:p>
          <w:p>
            <w:pPr>
              <w:pStyle w:val="13"/>
              <w:spacing w:line="500" w:lineRule="exact"/>
              <w:jc w:val="both"/>
              <w:rPr>
                <w:rFonts w:ascii="宋体" w:hAnsi="宋体" w:eastAsia="宋体" w:cs="宋体"/>
                <w:b/>
                <w:bCs/>
              </w:rPr>
            </w:pPr>
            <w:r>
              <w:rPr>
                <w:rFonts w:hint="eastAsia" w:ascii="宋体" w:hAnsi="宋体" w:eastAsia="宋体" w:cs="宋体"/>
                <w:b/>
                <w:bCs/>
              </w:rPr>
              <w:t>4.今年疆内甲醇市场价格</w:t>
            </w:r>
            <w:r>
              <w:rPr>
                <w:rFonts w:hint="eastAsia" w:ascii="宋体" w:hAnsi="宋体" w:eastAsia="宋体" w:cs="宋体"/>
                <w:b/>
                <w:bCs/>
                <w:lang w:val="en-US" w:eastAsia="zh-CN"/>
              </w:rPr>
              <w:t>维持高位</w:t>
            </w:r>
            <w:r>
              <w:rPr>
                <w:rFonts w:hint="eastAsia" w:ascii="宋体" w:hAnsi="宋体" w:eastAsia="宋体" w:cs="宋体"/>
                <w:b/>
                <w:bCs/>
              </w:rPr>
              <w:t>是什么原因？</w:t>
            </w:r>
          </w:p>
          <w:p>
            <w:pPr>
              <w:pStyle w:val="13"/>
              <w:spacing w:line="500" w:lineRule="exact"/>
              <w:jc w:val="both"/>
              <w:rPr>
                <w:rFonts w:hint="eastAsia" w:ascii="宋体" w:hAnsi="宋体" w:eastAsia="宋体" w:cs="宋体"/>
              </w:rPr>
            </w:pPr>
            <w:r>
              <w:rPr>
                <w:rFonts w:hint="eastAsia" w:ascii="宋体" w:hAnsi="宋体" w:eastAsia="宋体" w:cs="宋体"/>
              </w:rPr>
              <w:t>回复：一是疆内煤矿规模化开发建设进程为甲醇矿卡、重卡带来了市场机遇，</w:t>
            </w:r>
            <w:r>
              <w:rPr>
                <w:rFonts w:hint="eastAsia" w:ascii="宋体" w:hAnsi="宋体" w:eastAsia="宋体" w:cs="宋体"/>
                <w:lang w:val="en-US" w:eastAsia="zh-CN"/>
              </w:rPr>
              <w:t>进而</w:t>
            </w:r>
            <w:r>
              <w:rPr>
                <w:rFonts w:hint="eastAsia" w:ascii="宋体" w:hAnsi="宋体" w:eastAsia="宋体" w:cs="宋体"/>
              </w:rPr>
              <w:t>增加了矿用甲醇燃料需求；二是近年来，新疆新能源产业的发展</w:t>
            </w:r>
            <w:r>
              <w:rPr>
                <w:rFonts w:hint="eastAsia" w:ascii="宋体" w:hAnsi="宋体" w:eastAsia="宋体" w:cs="宋体"/>
                <w:lang w:eastAsia="zh-CN"/>
              </w:rPr>
              <w:t>（</w:t>
            </w:r>
            <w:r>
              <w:rPr>
                <w:rFonts w:hint="eastAsia" w:ascii="宋体" w:hAnsi="宋体" w:eastAsia="宋体" w:cs="宋体"/>
              </w:rPr>
              <w:t>以多晶硅为</w:t>
            </w:r>
            <w:r>
              <w:rPr>
                <w:rFonts w:hint="eastAsia" w:ascii="宋体" w:hAnsi="宋体" w:eastAsia="宋体" w:cs="宋体"/>
                <w:lang w:val="en-US" w:eastAsia="zh-CN"/>
              </w:rPr>
              <w:t>主</w:t>
            </w:r>
            <w:r>
              <w:rPr>
                <w:rFonts w:hint="eastAsia" w:ascii="宋体" w:hAnsi="宋体" w:eastAsia="宋体" w:cs="宋体"/>
                <w:lang w:eastAsia="zh-CN"/>
              </w:rPr>
              <w:t>）</w:t>
            </w:r>
            <w:r>
              <w:rPr>
                <w:rFonts w:hint="eastAsia" w:ascii="宋体" w:hAnsi="宋体" w:eastAsia="宋体" w:cs="宋体"/>
              </w:rPr>
              <w:t>，增加了对氢气的需求，从而带动了甲醇制氢项目的发展。</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5</w:t>
            </w:r>
            <w:r>
              <w:rPr>
                <w:rFonts w:hint="eastAsia" w:ascii="宋体" w:hAnsi="宋体" w:eastAsia="宋体" w:cs="宋体"/>
                <w:b/>
                <w:bCs/>
              </w:rPr>
              <w:t>.今年二、三季度外购气部分利润有所回调，随着未来码头规模及贸易量扩大，如何去保证这部分天然气业务能取得更为稳定的盈利？</w:t>
            </w:r>
          </w:p>
          <w:p>
            <w:pPr>
              <w:pStyle w:val="13"/>
              <w:spacing w:line="500" w:lineRule="exact"/>
              <w:jc w:val="both"/>
              <w:rPr>
                <w:rFonts w:hint="eastAsia" w:ascii="宋体" w:hAnsi="宋体" w:eastAsia="宋体" w:cs="宋体"/>
              </w:rPr>
            </w:pPr>
            <w:r>
              <w:rPr>
                <w:rFonts w:hint="eastAsia" w:ascii="宋体" w:hAnsi="宋体" w:eastAsia="宋体" w:cs="宋体"/>
              </w:rPr>
              <w:t>回复：公司天然气贸易业务主要依托江苏南通港吕四港区LNG接收站开展LNG贸易，通过海外贸易，引进海外LNG资源，进行LNG销售，通过贸易价差，实现利润。由于今年国际天然气贸易价格波动较大，销售端随着外部市场价格在大幅波动，导致整个利润波动也比较大。为了稳定盈利，具体措施有四点：一是加强对国际、国内LNG市场行情研判，灵活运用“锁量、锁价、锁汇”等方式，实现效益最大化。二是基于国内LNG业务淡旺季的特点，充分利用公司罐容优势开展“淡储旺销”的天然气存储与销售业务,提高天然气的盈利水平；三是加大和国内下游城燃公司的合作，采取灵活调货、配货方式，拓展下游天然气销售渠道；四是继续加大第三方服务，利用窗口期进行对外租赁，目前已与多家单位完成罐容租赁协议签署。同时，公司还辅助一些更为灵活的金融手段，包括锁汇规避美元升值的风险。</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6</w:t>
            </w:r>
            <w:r>
              <w:rPr>
                <w:rFonts w:hint="eastAsia" w:ascii="宋体" w:hAnsi="宋体" w:eastAsia="宋体" w:cs="宋体"/>
                <w:b/>
                <w:bCs/>
              </w:rPr>
              <w:t>.公司是否还保证分红？是否确定未来的分</w:t>
            </w:r>
            <w:r>
              <w:rPr>
                <w:rFonts w:hint="eastAsia" w:ascii="宋体" w:hAnsi="宋体" w:eastAsia="宋体" w:cs="宋体"/>
                <w:b/>
                <w:bCs/>
                <w:lang w:val="en-US" w:eastAsia="zh-CN"/>
              </w:rPr>
              <w:t>红</w:t>
            </w:r>
            <w:r>
              <w:rPr>
                <w:rFonts w:hint="eastAsia" w:ascii="宋体" w:hAnsi="宋体" w:eastAsia="宋体" w:cs="宋体"/>
                <w:b/>
                <w:bCs/>
              </w:rPr>
              <w:t>方案？</w:t>
            </w:r>
          </w:p>
          <w:p>
            <w:pPr>
              <w:pStyle w:val="13"/>
              <w:spacing w:line="500" w:lineRule="exact"/>
              <w:jc w:val="both"/>
              <w:rPr>
                <w:rFonts w:hint="eastAsia" w:ascii="宋体" w:hAnsi="宋体" w:eastAsia="宋体" w:cs="宋体"/>
              </w:rPr>
            </w:pPr>
            <w:r>
              <w:rPr>
                <w:rFonts w:hint="eastAsia" w:ascii="宋体" w:hAnsi="宋体" w:eastAsia="宋体" w:cs="宋体"/>
              </w:rPr>
              <w:t>回复：第一，公司于2022年4月25日公告的《关于提高公司未来三年（2022-2024）年度现金分红比例的公告》约定“公司连续三年以现金方式累计向普通股股东分配的利润不少于最近三年实现的年均可供普通股股东分配利润的90%，且每年实际分配现金红利不低于0.70元/股（含税）”</w:t>
            </w:r>
            <w:r>
              <w:rPr>
                <w:rFonts w:hint="eastAsia" w:ascii="宋体" w:hAnsi="宋体" w:eastAsia="宋体" w:cs="宋体"/>
                <w:lang w:eastAsia="zh-CN"/>
              </w:rPr>
              <w:t>，</w:t>
            </w:r>
            <w:r>
              <w:rPr>
                <w:rFonts w:hint="eastAsia" w:ascii="宋体" w:hAnsi="宋体" w:eastAsia="宋体" w:cs="宋体"/>
              </w:rPr>
              <w:t>公司将继续按该方案执行未来分红计划且公司具备分红的能力。第二，2025年之后的分红方案目前还未确定，后续请关注公司公告或定期报告。</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7</w:t>
            </w:r>
            <w:r>
              <w:rPr>
                <w:rFonts w:hint="eastAsia" w:ascii="宋体" w:hAnsi="宋体" w:eastAsia="宋体" w:cs="宋体"/>
                <w:b/>
                <w:bCs/>
              </w:rPr>
              <w:t>.公司降负债方面的安排？</w:t>
            </w:r>
          </w:p>
          <w:p>
            <w:pPr>
              <w:pStyle w:val="13"/>
              <w:spacing w:line="500" w:lineRule="exact"/>
              <w:jc w:val="both"/>
              <w:rPr>
                <w:rFonts w:hint="eastAsia" w:ascii="宋体" w:hAnsi="宋体" w:eastAsia="宋体" w:cs="宋体"/>
              </w:rPr>
            </w:pPr>
            <w:r>
              <w:rPr>
                <w:rFonts w:hint="eastAsia" w:ascii="宋体" w:hAnsi="宋体" w:eastAsia="宋体" w:cs="宋体"/>
              </w:rPr>
              <w:t>回复：近几年随着产业升级转型，广汇能源的资产负债率从</w:t>
            </w:r>
            <w:r>
              <w:rPr>
                <w:rFonts w:hint="eastAsia" w:ascii="宋体" w:hAnsi="宋体" w:eastAsia="宋体" w:cs="宋体"/>
                <w:lang w:val="en-US" w:eastAsia="zh-CN"/>
              </w:rPr>
              <w:t>2020年</w:t>
            </w:r>
            <w:r>
              <w:rPr>
                <w:rFonts w:hint="eastAsia" w:ascii="宋体" w:hAnsi="宋体" w:eastAsia="宋体" w:cs="宋体"/>
              </w:rPr>
              <w:t>的</w:t>
            </w:r>
            <w:r>
              <w:rPr>
                <w:rFonts w:hint="eastAsia" w:ascii="宋体" w:hAnsi="宋体" w:eastAsia="宋体" w:cs="宋体"/>
                <w:highlight w:val="none"/>
              </w:rPr>
              <w:t>高点68.14%</w:t>
            </w:r>
            <w:r>
              <w:rPr>
                <w:rFonts w:hint="eastAsia" w:ascii="宋体" w:hAnsi="宋体" w:eastAsia="宋体" w:cs="宋体"/>
                <w:highlight w:val="none"/>
                <w:lang w:val="en-US" w:eastAsia="zh-CN"/>
              </w:rPr>
              <w:t>到2023年三季度末</w:t>
            </w:r>
            <w:r>
              <w:rPr>
                <w:rFonts w:hint="eastAsia" w:ascii="宋体" w:hAnsi="宋体" w:eastAsia="宋体" w:cs="宋体"/>
                <w:highlight w:val="none"/>
              </w:rPr>
              <w:t>已降</w:t>
            </w:r>
            <w:r>
              <w:rPr>
                <w:rFonts w:hint="eastAsia" w:ascii="宋体" w:hAnsi="宋体" w:eastAsia="宋体" w:cs="宋体"/>
                <w:highlight w:val="none"/>
                <w:lang w:val="en-US" w:eastAsia="zh-CN"/>
              </w:rPr>
              <w:t>至</w:t>
            </w:r>
            <w:r>
              <w:rPr>
                <w:rFonts w:hint="eastAsia" w:ascii="宋体" w:hAnsi="宋体" w:eastAsia="宋体" w:cs="宋体"/>
                <w:highlight w:val="none"/>
              </w:rPr>
              <w:t>52.67%。</w:t>
            </w:r>
            <w:r>
              <w:rPr>
                <w:rFonts w:hint="eastAsia" w:ascii="宋体" w:hAnsi="宋体" w:eastAsia="宋体" w:cs="宋体"/>
              </w:rPr>
              <w:t>未来几年，公司将继续坚持“控投资、降负债、调结构、提质量”的方针”，结合未来投资计划，在保证项目</w:t>
            </w:r>
            <w:r>
              <w:rPr>
                <w:rFonts w:hint="eastAsia" w:ascii="宋体" w:hAnsi="宋体" w:eastAsia="宋体" w:cs="宋体"/>
                <w:lang w:val="en-US" w:eastAsia="zh-CN"/>
              </w:rPr>
              <w:t>投资及现金分红资金需求</w:t>
            </w:r>
            <w:r>
              <w:rPr>
                <w:rFonts w:hint="eastAsia" w:ascii="宋体" w:hAnsi="宋体" w:eastAsia="宋体" w:cs="宋体"/>
              </w:rPr>
              <w:t>的同时持续压降负债总额，将资产负债率</w:t>
            </w:r>
            <w:r>
              <w:rPr>
                <w:rFonts w:hint="eastAsia" w:ascii="宋体" w:hAnsi="宋体" w:eastAsia="宋体" w:cs="宋体"/>
                <w:lang w:val="en-US" w:eastAsia="zh-CN"/>
              </w:rPr>
              <w:t>控制在</w:t>
            </w:r>
            <w:r>
              <w:rPr>
                <w:rFonts w:hint="eastAsia" w:ascii="宋体" w:hAnsi="宋体" w:eastAsia="宋体" w:cs="宋体"/>
              </w:rPr>
              <w:t>合理水平。</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rPr>
            </w:pPr>
            <w:r>
              <w:rPr>
                <w:rFonts w:hint="eastAsia" w:ascii="宋体" w:hAnsi="宋体" w:eastAsia="宋体" w:cs="宋体"/>
                <w:b/>
                <w:bCs/>
                <w:lang w:val="en-US" w:eastAsia="zh-CN"/>
              </w:rPr>
              <w:t>8</w:t>
            </w:r>
            <w:r>
              <w:rPr>
                <w:rFonts w:hint="eastAsia" w:ascii="宋体" w:hAnsi="宋体" w:eastAsia="宋体" w:cs="宋体"/>
                <w:b/>
                <w:bCs/>
              </w:rPr>
              <w:t>.未来这几年，新的长协签订量有没有更新？</w:t>
            </w:r>
            <w:r>
              <w:rPr>
                <w:rFonts w:hint="eastAsia" w:ascii="宋体" w:hAnsi="宋体" w:eastAsia="宋体" w:cs="宋体"/>
              </w:rPr>
              <w:t xml:space="preserve"> </w:t>
            </w:r>
          </w:p>
          <w:p>
            <w:pPr>
              <w:pStyle w:val="13"/>
              <w:spacing w:line="500" w:lineRule="exact"/>
              <w:jc w:val="both"/>
              <w:rPr>
                <w:rFonts w:ascii="宋体" w:hAnsi="宋体" w:eastAsia="宋体" w:cs="宋体"/>
              </w:rPr>
            </w:pPr>
            <w:r>
              <w:rPr>
                <w:rFonts w:hint="eastAsia" w:ascii="宋体" w:hAnsi="宋体" w:eastAsia="宋体" w:cs="宋体"/>
              </w:rPr>
              <w:t>回复：根据码头建设规划及进度，公司始终在积极开展新签长协对外商务洽谈工作，计划新增到20%-30%LNG长协比例来配套整个码头的业务规模，未来会分批逐步增加。截止目前公司还未最终决策，正式签署后会进行公告。</w:t>
            </w: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.目前公司煤炭销售的主要区域在哪些省份？分别占比有多少？</w:t>
            </w:r>
          </w:p>
          <w:p>
            <w:pPr>
              <w:pStyle w:val="13"/>
              <w:spacing w:line="500" w:lineRule="exact"/>
              <w:jc w:val="both"/>
              <w:rPr>
                <w:rFonts w:hint="eastAsia" w:ascii="宋体" w:hAnsi="宋体" w:eastAsia="宋体" w:cs="宋体"/>
              </w:rPr>
            </w:pPr>
            <w:r>
              <w:rPr>
                <w:rFonts w:hint="eastAsia" w:ascii="宋体" w:hAnsi="宋体" w:eastAsia="宋体" w:cs="宋体"/>
              </w:rPr>
              <w:t>回复：2023年1-9月，煤炭销售总量2,288.99万吨，同比增长19.29%。其中疆外煤炭销量1931.77万吨，销售区域分布在全国近20个省份，其中，煤炭通过铁路外销</w:t>
            </w:r>
            <w:r>
              <w:rPr>
                <w:rFonts w:hint="eastAsia" w:ascii="宋体" w:hAnsi="宋体" w:eastAsia="宋体" w:cs="宋体"/>
                <w:lang w:val="en-US" w:eastAsia="zh-CN"/>
              </w:rPr>
              <w:t>所辐射</w:t>
            </w:r>
            <w:r>
              <w:rPr>
                <w:rFonts w:hint="eastAsia" w:ascii="宋体" w:hAnsi="宋体" w:eastAsia="宋体" w:cs="宋体"/>
              </w:rPr>
              <w:t>主要区域为：甘肃地区，占总销量的50.65%；宁夏地区，占总销量的12.21%；四川区域，占总销量的6.03%，重庆地区，占总销量的6.99%。</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lang w:val="en-US" w:eastAsia="zh-CN"/>
              </w:rPr>
              <w:t>10</w:t>
            </w:r>
            <w:r>
              <w:rPr>
                <w:rFonts w:hint="eastAsia" w:ascii="宋体" w:hAnsi="宋体" w:eastAsia="宋体" w:cs="宋体"/>
                <w:b/>
                <w:bCs/>
              </w:rPr>
              <w:t>.公司启东码头LNG准备什么时候销售？</w:t>
            </w:r>
          </w:p>
          <w:p>
            <w:pPr>
              <w:pStyle w:val="13"/>
              <w:spacing w:line="500" w:lineRule="exact"/>
              <w:jc w:val="both"/>
              <w:rPr>
                <w:rFonts w:hint="eastAsia" w:ascii="宋体" w:hAnsi="宋体" w:eastAsia="宋体" w:cs="宋体"/>
              </w:rPr>
            </w:pPr>
            <w:r>
              <w:rPr>
                <w:rFonts w:hint="eastAsia" w:ascii="宋体" w:hAnsi="宋体" w:eastAsia="宋体" w:cs="宋体"/>
              </w:rPr>
              <w:t>回复：公司依托启东码头罐容优势开展淡储旺销的业务，截至2023年11月30日，启东LNG接收站自有库存量14.85万吨。目前公司正在逐步小批量出库销售，后续公司将结合市场情况以利润最大化为原则适时做好出库销售工作。</w:t>
            </w:r>
          </w:p>
          <w:p>
            <w:pPr>
              <w:pStyle w:val="13"/>
              <w:spacing w:line="500" w:lineRule="exact"/>
              <w:jc w:val="both"/>
              <w:rPr>
                <w:rFonts w:hint="eastAsia" w:ascii="宋体" w:hAnsi="宋体" w:eastAsia="宋体" w:cs="宋体"/>
              </w:rPr>
            </w:pPr>
          </w:p>
          <w:p>
            <w:pPr>
              <w:pStyle w:val="13"/>
              <w:spacing w:line="500" w:lineRule="exact"/>
              <w:jc w:val="both"/>
              <w:rPr>
                <w:rFonts w:ascii="宋体" w:hAnsi="宋体" w:eastAsia="宋体" w:cs="宋体"/>
                <w:b/>
                <w:bCs/>
              </w:rPr>
            </w:pPr>
            <w:r>
              <w:rPr>
                <w:rFonts w:hint="eastAsia" w:ascii="宋体" w:hAnsi="宋体" w:eastAsia="宋体" w:cs="宋体"/>
                <w:b/>
                <w:bCs/>
              </w:rPr>
              <w:t>1</w:t>
            </w:r>
            <w:r>
              <w:rPr>
                <w:rFonts w:hint="eastAsia" w:ascii="宋体" w:hAnsi="宋体" w:eastAsia="宋体" w:cs="宋体"/>
                <w:b/>
                <w:bCs/>
                <w:lang w:val="en-US" w:eastAsia="zh-CN"/>
              </w:rPr>
              <w:t>1</w:t>
            </w:r>
            <w:r>
              <w:rPr>
                <w:rFonts w:hint="eastAsia" w:ascii="宋体" w:hAnsi="宋体" w:eastAsia="宋体" w:cs="宋体"/>
                <w:b/>
                <w:bCs/>
              </w:rPr>
              <w:t>.公司是否考虑回购？</w:t>
            </w:r>
          </w:p>
          <w:p>
            <w:pPr>
              <w:pStyle w:val="13"/>
              <w:spacing w:line="500" w:lineRule="exact"/>
              <w:jc w:val="both"/>
              <w:rPr>
                <w:rFonts w:ascii="宋体" w:hAnsi="宋体" w:eastAsia="宋体" w:cs="宋体"/>
                <w:sz w:val="26"/>
              </w:rPr>
            </w:pPr>
            <w:r>
              <w:rPr>
                <w:rFonts w:hint="eastAsia" w:ascii="宋体" w:hAnsi="宋体" w:eastAsia="宋体" w:cs="宋体"/>
              </w:rPr>
              <w:t xml:space="preserve">回复：今年股价回调较大，在战略上公司坚定不移实施绿色能源发展战略，积极推进项目建设进度。基于业务实际需求，公司经审慎决策已分别于2019年、2022年启动实施了股份回购业务，回购股份数量合计3.16亿股，回购资金合计超15亿元。截至目前，根据回购股份方案用途设定，回购专户中仍留余6970.73万股已回购的股份待使用。公司一向秉承以经营利润为导向，稳中求进做大做强主营产业，持续提升自身经营能力，致力以优异的业绩回馈股东，与此同时，公司综合考量业务发展实际需求，将持续与时俱进汲取先进市值管理理念，不排除在适当时机采纳更高效、合理的市值提升方案予以最大化维护投资者利益。 </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919" w:type="dxa"/>
            <w:vAlign w:val="center"/>
          </w:tcPr>
          <w:p>
            <w:pPr>
              <w:pStyle w:val="13"/>
              <w:spacing w:line="500" w:lineRule="exact"/>
              <w:ind w:left="107"/>
              <w:rPr>
                <w:rFonts w:ascii="宋体" w:hAnsi="宋体" w:eastAsia="宋体" w:cs="宋体"/>
                <w:b/>
                <w:bCs/>
                <w:sz w:val="21"/>
              </w:rPr>
            </w:pPr>
            <w:r>
              <w:rPr>
                <w:rFonts w:hint="eastAsia" w:ascii="宋体" w:hAnsi="宋体" w:eastAsia="宋体" w:cs="宋体"/>
                <w:b/>
                <w:bCs/>
                <w:sz w:val="21"/>
              </w:rPr>
              <w:t>附件清单（如有）</w:t>
            </w:r>
          </w:p>
        </w:tc>
        <w:tc>
          <w:tcPr>
            <w:tcW w:w="6606" w:type="dxa"/>
            <w:vAlign w:val="center"/>
          </w:tcPr>
          <w:p>
            <w:pPr>
              <w:pStyle w:val="13"/>
              <w:spacing w:line="500" w:lineRule="exact"/>
              <w:rPr>
                <w:rFonts w:ascii="宋体" w:hAnsi="宋体" w:eastAsia="宋体" w:cs="宋体"/>
                <w:sz w:val="21"/>
                <w:szCs w:val="21"/>
              </w:rPr>
            </w:pPr>
            <w:r>
              <w:rPr>
                <w:rFonts w:hint="eastAsia" w:ascii="宋体" w:hAnsi="宋体" w:eastAsia="宋体" w:cs="宋体"/>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919" w:type="dxa"/>
            <w:vAlign w:val="center"/>
          </w:tcPr>
          <w:p>
            <w:pPr>
              <w:pStyle w:val="13"/>
              <w:spacing w:line="500" w:lineRule="exact"/>
              <w:ind w:left="107"/>
              <w:rPr>
                <w:rFonts w:ascii="宋体" w:hAnsi="宋体" w:eastAsia="宋体" w:cs="宋体"/>
                <w:b/>
                <w:bCs/>
                <w:sz w:val="21"/>
              </w:rPr>
            </w:pPr>
            <w:r>
              <w:rPr>
                <w:rFonts w:hint="eastAsia" w:ascii="宋体" w:hAnsi="宋体" w:eastAsia="宋体" w:cs="宋体"/>
                <w:b/>
                <w:bCs/>
                <w:sz w:val="21"/>
              </w:rPr>
              <w:t>日期</w:t>
            </w:r>
          </w:p>
        </w:tc>
        <w:tc>
          <w:tcPr>
            <w:tcW w:w="6606" w:type="dxa"/>
            <w:vAlign w:val="center"/>
          </w:tcPr>
          <w:p>
            <w:pPr>
              <w:pStyle w:val="13"/>
              <w:spacing w:line="500" w:lineRule="exact"/>
              <w:rPr>
                <w:rFonts w:ascii="宋体" w:hAnsi="宋体" w:eastAsia="宋体" w:cs="宋体"/>
                <w:sz w:val="21"/>
                <w:szCs w:val="21"/>
              </w:rPr>
            </w:pPr>
            <w:r>
              <w:rPr>
                <w:rFonts w:ascii="宋体" w:hAnsi="宋体" w:eastAsia="宋体" w:cs="宋体"/>
                <w:sz w:val="21"/>
                <w:szCs w:val="21"/>
              </w:rPr>
              <w:t>2023年</w:t>
            </w:r>
            <w:r>
              <w:rPr>
                <w:rFonts w:hint="eastAsia" w:ascii="宋体" w:hAnsi="宋体" w:eastAsia="宋体" w:cs="宋体"/>
                <w:sz w:val="21"/>
                <w:szCs w:val="21"/>
                <w:lang w:val="en-US" w:eastAsia="zh-CN"/>
              </w:rPr>
              <w:t>12</w:t>
            </w:r>
            <w:r>
              <w:rPr>
                <w:rFonts w:ascii="宋体" w:hAnsi="宋体" w:eastAsia="宋体" w:cs="宋体"/>
                <w:sz w:val="21"/>
                <w:szCs w:val="21"/>
              </w:rPr>
              <w:t>月</w:t>
            </w:r>
            <w:r>
              <w:rPr>
                <w:rFonts w:hint="eastAsia" w:ascii="宋体" w:hAnsi="宋体" w:eastAsia="宋体" w:cs="宋体"/>
                <w:sz w:val="21"/>
                <w:szCs w:val="21"/>
                <w:lang w:val="en-US" w:eastAsia="zh-CN"/>
              </w:rPr>
              <w:t>22</w:t>
            </w:r>
            <w:r>
              <w:rPr>
                <w:rFonts w:ascii="宋体" w:hAnsi="宋体" w:eastAsia="宋体" w:cs="宋体"/>
                <w:sz w:val="21"/>
                <w:szCs w:val="21"/>
              </w:rPr>
              <w:t>日</w:t>
            </w:r>
          </w:p>
        </w:tc>
      </w:tr>
    </w:tbl>
    <w:p>
      <w:pPr>
        <w:spacing w:line="500" w:lineRule="exact"/>
        <w:rPr>
          <w:rFonts w:ascii="宋体" w:hAnsi="宋体" w:eastAsia="宋体" w:cs="宋体"/>
          <w:sz w:val="28"/>
          <w:szCs w:val="36"/>
        </w:rPr>
      </w:pPr>
    </w:p>
    <w:sectPr>
      <w:type w:val="continuous"/>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20500000000000000"/>
    <w:charset w:val="88"/>
    <w:family w:val="roman"/>
    <w:pitch w:val="default"/>
    <w:sig w:usb0="00000000" w:usb1="00000000"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MDdiNDQyMTc0OTdmZTBhNDNlYzcxODI3YWVjM2UifQ=="/>
  </w:docVars>
  <w:rsids>
    <w:rsidRoot w:val="00301D32"/>
    <w:rsid w:val="00003FED"/>
    <w:rsid w:val="000161F5"/>
    <w:rsid w:val="00026CC3"/>
    <w:rsid w:val="00036089"/>
    <w:rsid w:val="00053CFA"/>
    <w:rsid w:val="000633EC"/>
    <w:rsid w:val="00063804"/>
    <w:rsid w:val="000665A2"/>
    <w:rsid w:val="000877AB"/>
    <w:rsid w:val="0009564A"/>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71638"/>
    <w:rsid w:val="004925E7"/>
    <w:rsid w:val="00495B11"/>
    <w:rsid w:val="004F0D7C"/>
    <w:rsid w:val="004F6FF3"/>
    <w:rsid w:val="00534833"/>
    <w:rsid w:val="00571B49"/>
    <w:rsid w:val="005743AE"/>
    <w:rsid w:val="0059577A"/>
    <w:rsid w:val="005D64CA"/>
    <w:rsid w:val="005E5717"/>
    <w:rsid w:val="005E6DB2"/>
    <w:rsid w:val="0061433E"/>
    <w:rsid w:val="0062751D"/>
    <w:rsid w:val="006354AA"/>
    <w:rsid w:val="00661AFA"/>
    <w:rsid w:val="006726BF"/>
    <w:rsid w:val="00677B77"/>
    <w:rsid w:val="0068718A"/>
    <w:rsid w:val="006A2739"/>
    <w:rsid w:val="006B5C95"/>
    <w:rsid w:val="006D2843"/>
    <w:rsid w:val="006E14B0"/>
    <w:rsid w:val="006F0108"/>
    <w:rsid w:val="00704AE6"/>
    <w:rsid w:val="007153A2"/>
    <w:rsid w:val="00724A68"/>
    <w:rsid w:val="007271BF"/>
    <w:rsid w:val="00730DD3"/>
    <w:rsid w:val="00733224"/>
    <w:rsid w:val="00764128"/>
    <w:rsid w:val="00770545"/>
    <w:rsid w:val="007824B8"/>
    <w:rsid w:val="007910DD"/>
    <w:rsid w:val="007A3EC1"/>
    <w:rsid w:val="007B3368"/>
    <w:rsid w:val="007D0A69"/>
    <w:rsid w:val="007D6DC4"/>
    <w:rsid w:val="007F67F6"/>
    <w:rsid w:val="00853463"/>
    <w:rsid w:val="00893F25"/>
    <w:rsid w:val="00895035"/>
    <w:rsid w:val="008B2B14"/>
    <w:rsid w:val="008C6AED"/>
    <w:rsid w:val="008C7604"/>
    <w:rsid w:val="008E1B27"/>
    <w:rsid w:val="00903379"/>
    <w:rsid w:val="00906975"/>
    <w:rsid w:val="00917F0B"/>
    <w:rsid w:val="00917F8B"/>
    <w:rsid w:val="00960964"/>
    <w:rsid w:val="00965E4D"/>
    <w:rsid w:val="00973294"/>
    <w:rsid w:val="009B1D5C"/>
    <w:rsid w:val="009C2E31"/>
    <w:rsid w:val="009E1955"/>
    <w:rsid w:val="00A527AA"/>
    <w:rsid w:val="00A5684D"/>
    <w:rsid w:val="00A632D1"/>
    <w:rsid w:val="00A75C61"/>
    <w:rsid w:val="00A905A0"/>
    <w:rsid w:val="00A9601B"/>
    <w:rsid w:val="00AA7E16"/>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0C3F"/>
    <w:rsid w:val="00CF5FB6"/>
    <w:rsid w:val="00D02518"/>
    <w:rsid w:val="00D17454"/>
    <w:rsid w:val="00D33FBC"/>
    <w:rsid w:val="00D561AF"/>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61984"/>
    <w:rsid w:val="00FB4A08"/>
    <w:rsid w:val="00FB6D6F"/>
    <w:rsid w:val="00FC0C2A"/>
    <w:rsid w:val="00FD7F8E"/>
    <w:rsid w:val="00FF11E4"/>
    <w:rsid w:val="02557DFA"/>
    <w:rsid w:val="034A3564"/>
    <w:rsid w:val="03D53320"/>
    <w:rsid w:val="04B072D4"/>
    <w:rsid w:val="05461B09"/>
    <w:rsid w:val="05F575D4"/>
    <w:rsid w:val="064249C6"/>
    <w:rsid w:val="08641132"/>
    <w:rsid w:val="09186774"/>
    <w:rsid w:val="0945438F"/>
    <w:rsid w:val="0A71587A"/>
    <w:rsid w:val="0B792C38"/>
    <w:rsid w:val="0C28640C"/>
    <w:rsid w:val="0E90599A"/>
    <w:rsid w:val="0EAE7F1E"/>
    <w:rsid w:val="0ED720CD"/>
    <w:rsid w:val="0FF6268B"/>
    <w:rsid w:val="12070CAE"/>
    <w:rsid w:val="145F688C"/>
    <w:rsid w:val="14F12304"/>
    <w:rsid w:val="15DD2205"/>
    <w:rsid w:val="16A3167D"/>
    <w:rsid w:val="17A67110"/>
    <w:rsid w:val="1864189B"/>
    <w:rsid w:val="186A3B94"/>
    <w:rsid w:val="18D73A7D"/>
    <w:rsid w:val="19557370"/>
    <w:rsid w:val="1BD06B6A"/>
    <w:rsid w:val="1E035F83"/>
    <w:rsid w:val="1F782BDE"/>
    <w:rsid w:val="206375BB"/>
    <w:rsid w:val="21AB2FC8"/>
    <w:rsid w:val="23317869"/>
    <w:rsid w:val="241E6171"/>
    <w:rsid w:val="254C4AC2"/>
    <w:rsid w:val="25650CAE"/>
    <w:rsid w:val="26406598"/>
    <w:rsid w:val="2698203F"/>
    <w:rsid w:val="28080056"/>
    <w:rsid w:val="284348C7"/>
    <w:rsid w:val="28734C1A"/>
    <w:rsid w:val="28C72DDD"/>
    <w:rsid w:val="29EE0E64"/>
    <w:rsid w:val="2A065CCF"/>
    <w:rsid w:val="2A9B5B62"/>
    <w:rsid w:val="2D45416F"/>
    <w:rsid w:val="2EF90F16"/>
    <w:rsid w:val="2F125C63"/>
    <w:rsid w:val="302C3D0A"/>
    <w:rsid w:val="31CD2AE7"/>
    <w:rsid w:val="33DE31BB"/>
    <w:rsid w:val="34160775"/>
    <w:rsid w:val="374A77CB"/>
    <w:rsid w:val="389C49C0"/>
    <w:rsid w:val="38DB333D"/>
    <w:rsid w:val="39BC78F4"/>
    <w:rsid w:val="3EF1250A"/>
    <w:rsid w:val="40567DB0"/>
    <w:rsid w:val="40FF5CD2"/>
    <w:rsid w:val="416C222A"/>
    <w:rsid w:val="423821FE"/>
    <w:rsid w:val="42DB40B0"/>
    <w:rsid w:val="43B71B0A"/>
    <w:rsid w:val="4439195B"/>
    <w:rsid w:val="44FA0589"/>
    <w:rsid w:val="45A663E3"/>
    <w:rsid w:val="469F09AF"/>
    <w:rsid w:val="47354F5E"/>
    <w:rsid w:val="4B756271"/>
    <w:rsid w:val="4C194E4E"/>
    <w:rsid w:val="4C7A49DA"/>
    <w:rsid w:val="4C8E1CA8"/>
    <w:rsid w:val="4D6D36A4"/>
    <w:rsid w:val="4E1900F5"/>
    <w:rsid w:val="4E375A60"/>
    <w:rsid w:val="4EE871CB"/>
    <w:rsid w:val="4F634EC7"/>
    <w:rsid w:val="510903EF"/>
    <w:rsid w:val="52DB4C0C"/>
    <w:rsid w:val="53F137F4"/>
    <w:rsid w:val="543A6906"/>
    <w:rsid w:val="54EF0E42"/>
    <w:rsid w:val="56690780"/>
    <w:rsid w:val="56850CBB"/>
    <w:rsid w:val="56C67981"/>
    <w:rsid w:val="57125802"/>
    <w:rsid w:val="57342B3C"/>
    <w:rsid w:val="5A666D76"/>
    <w:rsid w:val="5B2253C2"/>
    <w:rsid w:val="5F0B0627"/>
    <w:rsid w:val="5F0D0F44"/>
    <w:rsid w:val="603269D2"/>
    <w:rsid w:val="60E455D3"/>
    <w:rsid w:val="61730705"/>
    <w:rsid w:val="61A52BCA"/>
    <w:rsid w:val="639A3D54"/>
    <w:rsid w:val="64B10789"/>
    <w:rsid w:val="64FB2EEB"/>
    <w:rsid w:val="65921AA2"/>
    <w:rsid w:val="669929BC"/>
    <w:rsid w:val="67095496"/>
    <w:rsid w:val="67ED7463"/>
    <w:rsid w:val="681A546A"/>
    <w:rsid w:val="69CB37D4"/>
    <w:rsid w:val="69FA5E67"/>
    <w:rsid w:val="6A0D5B9B"/>
    <w:rsid w:val="6A3B23B1"/>
    <w:rsid w:val="6AEA32DC"/>
    <w:rsid w:val="6C557385"/>
    <w:rsid w:val="6CC24AB5"/>
    <w:rsid w:val="6CCF5389"/>
    <w:rsid w:val="6D837F22"/>
    <w:rsid w:val="6D9271B2"/>
    <w:rsid w:val="6E0A0682"/>
    <w:rsid w:val="6EC95E08"/>
    <w:rsid w:val="6F134790"/>
    <w:rsid w:val="71B2772B"/>
    <w:rsid w:val="72446028"/>
    <w:rsid w:val="72A67D13"/>
    <w:rsid w:val="73076EC0"/>
    <w:rsid w:val="73571C35"/>
    <w:rsid w:val="73FB6A64"/>
    <w:rsid w:val="74210CA6"/>
    <w:rsid w:val="76F748BE"/>
    <w:rsid w:val="788C25F5"/>
    <w:rsid w:val="79F72AA9"/>
    <w:rsid w:val="7B2A7C2F"/>
    <w:rsid w:val="7B6C56C6"/>
    <w:rsid w:val="7D3134F6"/>
    <w:rsid w:val="7DD37FAE"/>
    <w:rsid w:val="7E0230E5"/>
    <w:rsid w:val="7F25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outlineLvl w:val="0"/>
    </w:pPr>
    <w:rPr>
      <w:rFonts w:ascii="PMingLiU" w:hAnsi="PMingLiU" w:eastAsia="PMingLiU" w:cs="PMingLiU"/>
      <w:sz w:val="44"/>
      <w:szCs w:val="44"/>
    </w:rPr>
  </w:style>
  <w:style w:type="paragraph" w:styleId="3">
    <w:name w:val="heading 4"/>
    <w:basedOn w:val="1"/>
    <w:next w:val="1"/>
    <w:semiHidden/>
    <w:unhideWhenUsed/>
    <w:qFormat/>
    <w:uiPriority w:val="0"/>
    <w:pPr>
      <w:spacing w:beforeAutospacing="1" w:afterAutospacing="1"/>
      <w:outlineLvl w:val="3"/>
    </w:pPr>
    <w:rPr>
      <w:rFonts w:hint="eastAsia" w:ascii="宋体" w:hAnsi="宋体" w:eastAsia="宋体" w:cs="Times New Roman"/>
      <w:b/>
      <w:bCs/>
      <w:sz w:val="24"/>
      <w:szCs w:val="24"/>
      <w:lang w:val="en-US"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style>
  <w:style w:type="paragraph" w:styleId="5">
    <w:name w:val="Body Text"/>
    <w:basedOn w:val="1"/>
    <w:qFormat/>
    <w:uiPriority w:val="1"/>
    <w:pPr>
      <w:ind w:left="220"/>
    </w:pPr>
    <w:rPr>
      <w:sz w:val="32"/>
      <w:szCs w:val="32"/>
    </w:rPr>
  </w:style>
  <w:style w:type="paragraph" w:styleId="6">
    <w:name w:val="Balloon Text"/>
    <w:basedOn w:val="1"/>
    <w:link w:val="18"/>
    <w:qFormat/>
    <w:uiPriority w:val="0"/>
    <w:rPr>
      <w:sz w:val="18"/>
      <w:szCs w:val="18"/>
    </w:rPr>
  </w:style>
  <w:style w:type="paragraph" w:styleId="7">
    <w:name w:val="footer"/>
    <w:basedOn w:val="1"/>
    <w:link w:val="15"/>
    <w:qFormat/>
    <w:uiPriority w:val="0"/>
    <w:pPr>
      <w:tabs>
        <w:tab w:val="center" w:pos="4153"/>
        <w:tab w:val="right" w:pos="8306"/>
      </w:tabs>
      <w:snapToGrid w:val="0"/>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7"/>
    <w:qFormat/>
    <w:uiPriority w:val="0"/>
    <w:rPr>
      <w:b/>
      <w:bCs/>
    </w:rPr>
  </w:style>
  <w:style w:type="character" w:styleId="12">
    <w:name w:val="annotation reference"/>
    <w:basedOn w:val="11"/>
    <w:qFormat/>
    <w:uiPriority w:val="0"/>
    <w:rPr>
      <w:sz w:val="21"/>
      <w:szCs w:val="21"/>
    </w:rPr>
  </w:style>
  <w:style w:type="paragraph" w:customStyle="1" w:styleId="13">
    <w:name w:val="Table Paragraph"/>
    <w:basedOn w:val="1"/>
    <w:qFormat/>
    <w:uiPriority w:val="1"/>
  </w:style>
  <w:style w:type="character" w:customStyle="1" w:styleId="14">
    <w:name w:val="页眉 字符"/>
    <w:basedOn w:val="11"/>
    <w:link w:val="8"/>
    <w:qFormat/>
    <w:uiPriority w:val="0"/>
    <w:rPr>
      <w:rFonts w:ascii="仿宋" w:hAnsi="仿宋" w:eastAsia="仿宋" w:cs="仿宋"/>
      <w:sz w:val="18"/>
      <w:szCs w:val="18"/>
      <w:lang w:val="zh-CN" w:bidi="zh-CN"/>
    </w:rPr>
  </w:style>
  <w:style w:type="character" w:customStyle="1" w:styleId="15">
    <w:name w:val="页脚 字符"/>
    <w:basedOn w:val="11"/>
    <w:link w:val="7"/>
    <w:qFormat/>
    <w:uiPriority w:val="0"/>
    <w:rPr>
      <w:rFonts w:ascii="仿宋" w:hAnsi="仿宋" w:eastAsia="仿宋" w:cs="仿宋"/>
      <w:sz w:val="18"/>
      <w:szCs w:val="18"/>
      <w:lang w:val="zh-CN" w:bidi="zh-CN"/>
    </w:rPr>
  </w:style>
  <w:style w:type="character" w:customStyle="1" w:styleId="16">
    <w:name w:val="批注文字 字符"/>
    <w:basedOn w:val="11"/>
    <w:link w:val="4"/>
    <w:qFormat/>
    <w:uiPriority w:val="0"/>
    <w:rPr>
      <w:rFonts w:ascii="仿宋" w:hAnsi="仿宋" w:eastAsia="仿宋" w:cs="仿宋"/>
      <w:sz w:val="22"/>
      <w:szCs w:val="22"/>
      <w:lang w:val="zh-CN" w:bidi="zh-CN"/>
    </w:rPr>
  </w:style>
  <w:style w:type="character" w:customStyle="1" w:styleId="17">
    <w:name w:val="批注主题 字符"/>
    <w:basedOn w:val="16"/>
    <w:link w:val="9"/>
    <w:qFormat/>
    <w:uiPriority w:val="0"/>
    <w:rPr>
      <w:rFonts w:ascii="仿宋" w:hAnsi="仿宋" w:eastAsia="仿宋" w:cs="仿宋"/>
      <w:b/>
      <w:bCs/>
      <w:sz w:val="22"/>
      <w:szCs w:val="22"/>
      <w:lang w:val="zh-CN" w:bidi="zh-CN"/>
    </w:rPr>
  </w:style>
  <w:style w:type="character" w:customStyle="1" w:styleId="18">
    <w:name w:val="批注框文本 字符"/>
    <w:basedOn w:val="11"/>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CEEA-182D-4C6F-8EAA-CDA0D47143F0}">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3932</Words>
  <Characters>4232</Characters>
  <Lines>31</Lines>
  <Paragraphs>8</Paragraphs>
  <TotalTime>4</TotalTime>
  <ScaleCrop>false</ScaleCrop>
  <LinksUpToDate>false</LinksUpToDate>
  <CharactersWithSpaces>4363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2023-04-24T04:57:00Z</dcterms:created>
  <dc:creator>jie.huang</dc:creator>
  <cp:lastModifiedBy>Leah_麗</cp:lastModifiedBy>
  <cp:lastPrinted>2023-05-25T08:20:00Z</cp:lastPrinted>
  <dcterms:modified xsi:type="dcterms:W3CDTF">2023-12-22T10:54:58Z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57D148DF2F764966BF4E1C38A6255FA2</vt:lpwstr>
  </property>
</Properties>
</file>