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 xml:space="preserve">600332                                     </w:t>
      </w:r>
      <w:r>
        <w:rPr>
          <w:rFonts w:hint="eastAsia" w:ascii="宋体" w:hAnsi="宋体" w:eastAsia="宋体"/>
          <w:sz w:val="24"/>
          <w:szCs w:val="24"/>
        </w:rPr>
        <w:t>证券简称：白云山</w:t>
      </w:r>
    </w:p>
    <w:p>
      <w:pPr>
        <w:rPr>
          <w:rFonts w:ascii="宋体" w:hAnsi="宋体" w:eastAsia="宋体"/>
          <w:sz w:val="24"/>
          <w:szCs w:val="24"/>
        </w:rPr>
      </w:pPr>
    </w:p>
    <w:p>
      <w:pPr>
        <w:jc w:val="center"/>
        <w:rPr>
          <w:rFonts w:ascii="宋体" w:hAnsi="宋体" w:eastAsia="宋体"/>
          <w:b/>
          <w:sz w:val="28"/>
          <w:szCs w:val="24"/>
        </w:rPr>
      </w:pPr>
      <w:r>
        <w:rPr>
          <w:rFonts w:hint="eastAsia" w:ascii="宋体" w:hAnsi="宋体" w:eastAsia="宋体"/>
          <w:b/>
          <w:sz w:val="28"/>
          <w:szCs w:val="24"/>
        </w:rPr>
        <w:t>广州白云山医药集团股份有限公司</w:t>
      </w:r>
    </w:p>
    <w:p>
      <w:pPr>
        <w:jc w:val="center"/>
        <w:rPr>
          <w:rFonts w:ascii="宋体" w:hAnsi="宋体" w:eastAsia="宋体"/>
          <w:b/>
          <w:sz w:val="28"/>
          <w:szCs w:val="24"/>
        </w:rPr>
      </w:pPr>
      <w:r>
        <w:rPr>
          <w:rFonts w:hint="eastAsia" w:ascii="宋体" w:hAnsi="宋体" w:eastAsia="宋体"/>
          <w:b/>
          <w:sz w:val="28"/>
          <w:szCs w:val="24"/>
        </w:rPr>
        <w:t>投资者关系活动记录表</w:t>
      </w:r>
    </w:p>
    <w:p>
      <w:pPr>
        <w:rPr>
          <w:rFonts w:ascii="宋体" w:hAnsi="宋体" w:eastAsia="宋体"/>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投资者关系活动类别</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eastAsia" w:ascii="宋体" w:hAnsi="宋体" w:eastAsia="宋体" w:cs="Times New Roman"/>
                <w:sz w:val="24"/>
                <w:szCs w:val="24"/>
              </w:rPr>
              <w:t>■</w:t>
            </w:r>
            <w:r>
              <w:rPr>
                <w:rFonts w:hint="default" w:ascii="宋体" w:hAnsi="宋体" w:eastAsia="宋体" w:cs="Times New Roman"/>
                <w:sz w:val="24"/>
                <w:szCs w:val="24"/>
              </w:rPr>
              <w:t xml:space="preserve">特定对象调研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分析师会议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媒体采访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业绩说明会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 xml:space="preserve">□新闻发布会路演活动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□现场参观</w:t>
            </w:r>
            <w:r>
              <w:rPr>
                <w:rFonts w:hint="eastAsia" w:ascii="宋体" w:hAnsi="宋体" w:eastAsia="宋体" w:cs="Times New Roman"/>
                <w:sz w:val="24"/>
                <w:szCs w:val="24"/>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召开方式</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eastAsia" w:ascii="宋体" w:hAnsi="宋体" w:eastAsia="宋体" w:cs="Times New Roman"/>
                <w:sz w:val="24"/>
                <w:szCs w:val="24"/>
                <w:lang w:eastAsia="zh-Hans"/>
              </w:rPr>
              <w:t>线上会议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时间</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default" w:ascii="宋体" w:hAnsi="宋体" w:eastAsia="宋体" w:cs="Times New Roman"/>
                <w:sz w:val="24"/>
                <w:szCs w:val="24"/>
              </w:rPr>
              <w:t>2023年</w:t>
            </w:r>
            <w:r>
              <w:rPr>
                <w:rFonts w:hint="eastAsia" w:ascii="宋体" w:hAnsi="宋体" w:eastAsia="宋体" w:cs="Times New Roman"/>
                <w:sz w:val="24"/>
                <w:szCs w:val="24"/>
                <w:lang w:val="en-US" w:eastAsia="zh-CN"/>
              </w:rPr>
              <w:t>12</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日</w:t>
            </w:r>
            <w:r>
              <w:rPr>
                <w:rFonts w:hint="eastAsia" w:ascii="宋体" w:hAnsi="宋体" w:eastAsia="宋体" w:cs="Times New Roman"/>
                <w:sz w:val="24"/>
                <w:szCs w:val="24"/>
                <w:lang w:val="en-US" w:eastAsia="zh-CN"/>
              </w:rPr>
              <w:t>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地点</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eastAsia="zh-Hans"/>
              </w:rPr>
            </w:pPr>
            <w:r>
              <w:rPr>
                <w:rFonts w:hint="eastAsia" w:ascii="宋体" w:hAnsi="宋体" w:eastAsia="宋体" w:cs="Times New Roman"/>
                <w:sz w:val="24"/>
                <w:szCs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公司参与人员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董事会秘书黄雪贞女士、董事会秘书室经理李春瑶女士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4"/>
                <w:szCs w:val="24"/>
                <w:lang w:eastAsia="zh-Hans"/>
              </w:rPr>
            </w:pPr>
            <w:r>
              <w:rPr>
                <w:rFonts w:hint="eastAsia" w:ascii="宋体" w:hAnsi="宋体" w:eastAsia="宋体" w:cs="Times New Roman"/>
                <w:sz w:val="24"/>
                <w:szCs w:val="24"/>
                <w:lang w:eastAsia="zh-Hans"/>
              </w:rPr>
              <w:t>接待人员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12月13日：中金公司、Greenwoods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投资者关系活动主要内容介绍</w:t>
            </w:r>
          </w:p>
        </w:tc>
        <w:tc>
          <w:tcPr>
            <w:tcW w:w="6600" w:type="dxa"/>
            <w:noWrap w:val="0"/>
            <w:vAlign w:val="top"/>
          </w:tcPr>
          <w:p>
            <w:pPr>
              <w:keepNext w:val="0"/>
              <w:keepLines w:val="0"/>
              <w:widowControl/>
              <w:suppressLineNumbers w:val="0"/>
              <w:spacing w:before="0" w:beforeAutospacing="0" w:after="0" w:afterAutospacing="0" w:line="500" w:lineRule="exact"/>
              <w:ind w:left="0" w:right="0"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主要内容包括：</w:t>
            </w:r>
          </w:p>
          <w:p>
            <w:pPr>
              <w:keepNext w:val="0"/>
              <w:keepLines w:val="0"/>
              <w:widowControl/>
              <w:numPr>
                <w:ilvl w:val="0"/>
                <w:numId w:val="1"/>
              </w:numPr>
              <w:suppressLineNumbers w:val="0"/>
              <w:spacing w:before="0" w:beforeAutospacing="0" w:after="0" w:afterAutospacing="0" w:line="500" w:lineRule="exact"/>
              <w:ind w:left="148" w:leftChars="0" w:right="0" w:firstLine="482" w:firstLineChars="0"/>
              <w:jc w:val="left"/>
              <w:rPr>
                <w:rFonts w:hint="eastAsia" w:ascii="Calibri" w:hAnsi="Calibri" w:eastAsia="宋体" w:cs="Times New Roman"/>
                <w:b/>
                <w:bCs/>
                <w:kern w:val="0"/>
                <w:sz w:val="24"/>
                <w:szCs w:val="24"/>
                <w:lang w:val="en-US" w:eastAsia="zh-CN" w:bidi="ar"/>
              </w:rPr>
            </w:pPr>
            <w:r>
              <w:rPr>
                <w:rFonts w:hint="eastAsia" w:ascii="Calibri" w:hAnsi="Calibri" w:eastAsia="宋体" w:cs="Times New Roman"/>
                <w:b/>
                <w:bCs/>
                <w:kern w:val="0"/>
                <w:sz w:val="24"/>
                <w:szCs w:val="24"/>
                <w:lang w:val="en-US" w:eastAsia="zh-CN" w:bidi="ar"/>
              </w:rPr>
              <w:t>公司大南药板块独家产品情况如何？</w:t>
            </w:r>
          </w:p>
          <w:p>
            <w:pPr>
              <w:keepNext w:val="0"/>
              <w:keepLines w:val="0"/>
              <w:widowControl/>
              <w:numPr>
                <w:ilvl w:val="0"/>
                <w:numId w:val="0"/>
              </w:numPr>
              <w:suppressLineNumbers w:val="0"/>
              <w:spacing w:before="0" w:beforeAutospacing="0" w:after="0" w:afterAutospacing="0" w:line="500" w:lineRule="exact"/>
              <w:ind w:left="0" w:right="0" w:firstLine="480"/>
              <w:jc w:val="left"/>
              <w:rPr>
                <w:rFonts w:hint="default" w:ascii="宋体" w:hAnsi="宋体" w:eastAsia="宋体" w:cs="Times New Roman"/>
                <w:sz w:val="24"/>
                <w:szCs w:val="24"/>
                <w:lang w:val="en-US" w:eastAsia="zh-CN" w:bidi="ar"/>
              </w:rPr>
            </w:pPr>
            <w:r>
              <w:rPr>
                <w:rFonts w:hint="eastAsia" w:ascii="宋体" w:hAnsi="宋体" w:eastAsia="宋体" w:cs="Times New Roman"/>
                <w:sz w:val="24"/>
                <w:szCs w:val="24"/>
                <w:lang w:val="en-US" w:eastAsia="zh-CN" w:bidi="ar"/>
              </w:rPr>
              <w:t>答：目前，公司大南药板块有滋肾育胎丸、华佗再造丸等90多个独家品种。</w:t>
            </w:r>
          </w:p>
          <w:p>
            <w:pPr>
              <w:keepNext w:val="0"/>
              <w:keepLines w:val="0"/>
              <w:widowControl/>
              <w:numPr>
                <w:ilvl w:val="0"/>
                <w:numId w:val="1"/>
              </w:numPr>
              <w:suppressLineNumbers w:val="0"/>
              <w:spacing w:before="0" w:beforeAutospacing="0" w:after="0" w:afterAutospacing="0" w:line="500" w:lineRule="exact"/>
              <w:ind w:left="148" w:leftChars="0" w:right="0" w:rightChars="0" w:firstLine="482" w:firstLineChars="0"/>
              <w:jc w:val="left"/>
              <w:rPr>
                <w:rFonts w:hint="eastAsia" w:ascii="Calibri" w:hAnsi="Calibri" w:eastAsia="宋体" w:cs="Times New Roman"/>
                <w:b/>
                <w:bCs/>
                <w:kern w:val="0"/>
                <w:sz w:val="24"/>
                <w:szCs w:val="24"/>
                <w:lang w:val="en-US" w:eastAsia="zh-CN" w:bidi="ar"/>
              </w:rPr>
            </w:pPr>
            <w:r>
              <w:rPr>
                <w:rFonts w:hint="eastAsia" w:ascii="Calibri" w:hAnsi="Calibri" w:eastAsia="宋体" w:cs="Times New Roman"/>
                <w:b/>
                <w:bCs/>
                <w:kern w:val="0"/>
                <w:sz w:val="24"/>
                <w:szCs w:val="24"/>
                <w:lang w:val="en-US" w:eastAsia="zh-CN" w:bidi="ar"/>
              </w:rPr>
              <w:t>进入秋冬季以来，市场对四类药品需求增加，请问这对公司产品有什么影响吗？</w:t>
            </w:r>
          </w:p>
          <w:p>
            <w:pPr>
              <w:keepNext w:val="0"/>
              <w:keepLines w:val="0"/>
              <w:widowControl/>
              <w:numPr>
                <w:ilvl w:val="0"/>
                <w:numId w:val="0"/>
              </w:numPr>
              <w:suppressLineNumbers w:val="0"/>
              <w:spacing w:before="0" w:beforeAutospacing="0" w:after="0" w:afterAutospacing="0" w:line="500" w:lineRule="exact"/>
              <w:ind w:left="0" w:right="0" w:firstLine="480"/>
              <w:jc w:val="left"/>
              <w:rPr>
                <w:rFonts w:hint="eastAsia" w:ascii="宋体" w:hAnsi="宋体" w:eastAsia="宋体" w:cs="Times New Roman"/>
                <w:sz w:val="24"/>
                <w:szCs w:val="24"/>
                <w:lang w:val="en-US" w:eastAsia="zh-CN" w:bidi="ar"/>
              </w:rPr>
            </w:pPr>
            <w:r>
              <w:rPr>
                <w:rFonts w:hint="eastAsia" w:ascii="宋体" w:hAnsi="宋体" w:eastAsia="宋体" w:cs="Times New Roman"/>
                <w:sz w:val="24"/>
                <w:szCs w:val="24"/>
                <w:lang w:val="en-US" w:eastAsia="zh-CN" w:bidi="ar"/>
              </w:rPr>
              <w:t>答：每年入秋之后均为流感等呼吸道疾病的高发期，市场对于四类药品需求增加。公司紧抓四类药品热销的市场机遇，全力保障生产供应，部分药品销售收入呈现增长趋势。</w:t>
            </w:r>
          </w:p>
          <w:p>
            <w:pPr>
              <w:keepNext w:val="0"/>
              <w:keepLines w:val="0"/>
              <w:widowControl/>
              <w:suppressLineNumbers w:val="0"/>
              <w:spacing w:before="0" w:beforeAutospacing="0" w:after="0" w:afterAutospacing="0" w:line="500" w:lineRule="exact"/>
              <w:ind w:left="0" w:right="0" w:firstLine="482" w:firstLineChars="200"/>
              <w:jc w:val="left"/>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lang w:val="en-US" w:eastAsia="zh-CN"/>
              </w:rPr>
              <w:t>（三）公司对王老吉凉茶未来发展有何看法？</w:t>
            </w:r>
          </w:p>
          <w:p>
            <w:pPr>
              <w:keepNext w:val="0"/>
              <w:keepLines w:val="0"/>
              <w:widowControl/>
              <w:numPr>
                <w:ilvl w:val="0"/>
                <w:numId w:val="0"/>
              </w:numPr>
              <w:suppressLineNumbers w:val="0"/>
              <w:spacing w:before="0" w:beforeAutospacing="0" w:after="0" w:afterAutospacing="0" w:line="500" w:lineRule="exact"/>
              <w:ind w:left="0" w:right="0" w:firstLine="480"/>
              <w:jc w:val="left"/>
              <w:rPr>
                <w:rFonts w:hint="default" w:ascii="宋体" w:hAnsi="宋体" w:eastAsia="宋体" w:cs="Times New Roman"/>
                <w:sz w:val="24"/>
                <w:szCs w:val="24"/>
                <w:lang w:val="en-US" w:eastAsia="zh-CN" w:bidi="ar"/>
              </w:rPr>
            </w:pPr>
            <w:r>
              <w:rPr>
                <w:rFonts w:hint="eastAsia" w:ascii="宋体" w:hAnsi="宋体" w:eastAsia="宋体" w:cs="Times New Roman"/>
                <w:sz w:val="24"/>
                <w:szCs w:val="24"/>
                <w:lang w:val="en-US" w:eastAsia="zh-CN"/>
              </w:rPr>
              <w:t>答：</w:t>
            </w:r>
            <w:r>
              <w:rPr>
                <w:rFonts w:hint="eastAsia" w:ascii="宋体" w:hAnsi="宋体" w:eastAsia="宋体" w:cs="Times New Roman"/>
                <w:sz w:val="24"/>
                <w:szCs w:val="24"/>
                <w:lang w:eastAsia="zh-Hans"/>
              </w:rPr>
              <w:t>考虑到消费升级、国际化发展以及市场的拓展空间等因素，公司认为凉茶行业仍有继续发展的空间。未来，公司一方面将根据消费者需求持续推进凉茶产品的升级，推出更具年轻化、时尚化的产品；另一方面，也将持续强化新品培育，不断推动公司大健康板块饮料品种与产品口味进一步丰富。</w:t>
            </w:r>
          </w:p>
          <w:p>
            <w:pPr>
              <w:pStyle w:val="2"/>
              <w:keepNext w:val="0"/>
              <w:keepLines w:val="0"/>
              <w:pageBreakBefore w:val="0"/>
              <w:widowControl w:val="0"/>
              <w:numPr>
                <w:ilvl w:val="-1"/>
                <w:numId w:val="0"/>
              </w:numPr>
              <w:suppressLineNumbers w:val="0"/>
              <w:kinsoku/>
              <w:wordWrap/>
              <w:overflowPunct/>
              <w:topLinePunct w:val="0"/>
              <w:autoSpaceDE/>
              <w:autoSpaceDN/>
              <w:bidi w:val="0"/>
              <w:snapToGrid/>
              <w:spacing w:before="0" w:beforeAutospacing="0" w:after="0" w:afterLines="0" w:afterAutospacing="0" w:line="500" w:lineRule="exact"/>
              <w:ind w:left="0" w:leftChars="0" w:right="0" w:firstLine="482"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（四）近期国家对医药行业反腐败力度不断加大，对公司医药相关业务是否有影响？</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Lines="0" w:afterAutospacing="0" w:line="500" w:lineRule="exact"/>
              <w:ind w:left="0" w:right="0" w:firstLine="480" w:firstLineChars="200"/>
              <w:rPr>
                <w:rFonts w:hint="eastAsia" w:ascii="Calibri" w:hAnsi="Calibri" w:cstheme="minorBidi"/>
                <w:kern w:val="2"/>
                <w:sz w:val="28"/>
                <w:szCs w:val="28"/>
                <w:lang w:val="en-US" w:eastAsia="zh-CN" w:bidi="ar-SA"/>
              </w:rPr>
            </w:pPr>
            <w:r>
              <w:rPr>
                <w:rFonts w:hint="eastAsia" w:ascii="宋体" w:hAnsi="宋体" w:eastAsia="宋体" w:cs="Times New Roman"/>
                <w:kern w:val="2"/>
                <w:sz w:val="24"/>
                <w:szCs w:val="24"/>
                <w:lang w:val="en-US" w:eastAsia="zh-CN" w:bidi="ar-SA"/>
              </w:rPr>
              <w:t>答：今年5月，国家卫健委等 14部委联合下发了《2023 年纠正医药购销领域和医疗服务中不正之风工作要点》，公布今年医药购销、医疗纠风重点。从中长期看，行业严格监管有利于优质龙头企业的发展，公司将坚决贯彻落实国家关于医药卫生体制的政策要求，坚持以合规为经营底线，推动公司持续健康发展。</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textAlignment w:val="baseline"/>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lang w:eastAsia="zh-CN"/>
              </w:rPr>
              <w:t>（</w:t>
            </w:r>
            <w:r>
              <w:rPr>
                <w:rFonts w:hint="eastAsia" w:ascii="宋体" w:hAnsi="宋体" w:eastAsia="宋体" w:cs="Times New Roman"/>
                <w:b/>
                <w:bCs/>
                <w:sz w:val="24"/>
                <w:szCs w:val="24"/>
                <w:lang w:val="en-US" w:eastAsia="zh-CN"/>
              </w:rPr>
              <w:t>五</w:t>
            </w:r>
            <w:r>
              <w:rPr>
                <w:rFonts w:hint="eastAsia" w:ascii="宋体" w:hAnsi="宋体" w:eastAsia="宋体" w:cs="Times New Roman"/>
                <w:b/>
                <w:bCs/>
                <w:sz w:val="24"/>
                <w:szCs w:val="24"/>
                <w:lang w:eastAsia="zh-CN"/>
              </w:rPr>
              <w:t>）</w:t>
            </w:r>
            <w:r>
              <w:rPr>
                <w:rFonts w:hint="eastAsia" w:ascii="宋体" w:hAnsi="宋体" w:eastAsia="宋体" w:cs="Times New Roman"/>
                <w:b/>
                <w:bCs/>
                <w:sz w:val="24"/>
                <w:szCs w:val="24"/>
                <w:lang w:val="en-US" w:eastAsia="zh-CN"/>
              </w:rPr>
              <w:t>公司大商业板块广州医药是否还有分拆上市的计划？</w:t>
            </w:r>
          </w:p>
          <w:p>
            <w:pPr>
              <w:keepNext w:val="0"/>
              <w:keepLines w:val="0"/>
              <w:suppressLineNumbers w:val="0"/>
              <w:adjustRightInd w:val="0"/>
              <w:spacing w:before="0" w:beforeAutospacing="0" w:after="0" w:afterAutospacing="0" w:line="360" w:lineRule="auto"/>
              <w:ind w:left="0" w:right="0" w:firstLine="480" w:firstLineChars="200"/>
              <w:textAlignment w:val="baseline"/>
              <w:rPr>
                <w:rFonts w:hint="eastAsia" w:ascii="宋体" w:hAnsi="宋体" w:eastAsia="宋体" w:cs="Times New Roman"/>
                <w:kern w:val="2"/>
                <w:sz w:val="24"/>
                <w:szCs w:val="24"/>
                <w:lang w:val="en-US" w:eastAsia="zh-CN" w:bidi="ar"/>
              </w:rPr>
            </w:pPr>
            <w:r>
              <w:rPr>
                <w:rFonts w:hint="eastAsia" w:ascii="宋体" w:hAnsi="宋体" w:eastAsia="宋体" w:cs="Times New Roman"/>
                <w:sz w:val="24"/>
                <w:szCs w:val="24"/>
                <w:lang w:val="en-US" w:eastAsia="zh-CN"/>
              </w:rPr>
              <w:t>答：</w:t>
            </w:r>
            <w:r>
              <w:rPr>
                <w:rFonts w:hint="eastAsia" w:ascii="宋体" w:hAnsi="宋体" w:eastAsia="宋体" w:cs="Times New Roman"/>
                <w:kern w:val="2"/>
                <w:sz w:val="24"/>
                <w:szCs w:val="24"/>
                <w:lang w:val="en-US" w:eastAsia="zh-CN" w:bidi="ar"/>
              </w:rPr>
              <w:t>公司2019年公布了广州医药分拆上市的方案，公司一直积极推进各项工作。但考虑到由于中国证监会出具的核准批复已过有效期，结合公司及广州医药的发展规划及香港资本市场的变化，经审慎研究，公司及广州医药已暂时中止推进广州医药发行境外上市外资股（H股）并上市相关工作。后续，公司不排除会根据未来的市场环境及业务发展需要，在适当时候考虑重新启动推进相关工作。</w:t>
            </w:r>
          </w:p>
          <w:p>
            <w:pPr>
              <w:keepNext w:val="0"/>
              <w:keepLines w:val="0"/>
              <w:suppressLineNumbers w:val="0"/>
              <w:spacing w:before="0" w:beforeAutospacing="0" w:after="0" w:afterAutospacing="0" w:line="360" w:lineRule="auto"/>
              <w:ind w:left="0" w:right="0" w:firstLine="482" w:firstLineChars="200"/>
              <w:rPr>
                <w:rFonts w:hint="default" w:ascii="宋体" w:hAnsi="宋体" w:eastAsia="宋体"/>
                <w:sz w:val="24"/>
                <w:szCs w:val="24"/>
                <w:lang w:eastAsia="zh-Hans"/>
              </w:rPr>
            </w:pPr>
            <w:r>
              <w:rPr>
                <w:rFonts w:hint="eastAsia" w:ascii="宋体" w:hAnsi="宋体" w:eastAsia="宋体"/>
                <w:b/>
                <w:bCs/>
                <w:sz w:val="24"/>
                <w:szCs w:val="24"/>
                <w:lang w:eastAsia="zh-CN"/>
              </w:rPr>
              <w:t>（</w:t>
            </w:r>
            <w:r>
              <w:rPr>
                <w:rFonts w:hint="eastAsia" w:ascii="宋体" w:hAnsi="宋体" w:eastAsia="宋体"/>
                <w:b/>
                <w:bCs/>
                <w:sz w:val="24"/>
                <w:szCs w:val="24"/>
                <w:lang w:val="en-US" w:eastAsia="zh-CN"/>
              </w:rPr>
              <w:t>六</w:t>
            </w:r>
            <w:r>
              <w:rPr>
                <w:rFonts w:hint="eastAsia" w:ascii="宋体" w:hAnsi="宋体" w:eastAsia="宋体"/>
                <w:b/>
                <w:bCs/>
                <w:sz w:val="24"/>
                <w:szCs w:val="24"/>
                <w:lang w:eastAsia="zh-CN"/>
              </w:rPr>
              <w:t>）</w:t>
            </w:r>
            <w:r>
              <w:rPr>
                <w:rFonts w:hint="eastAsia" w:ascii="宋体" w:hAnsi="宋体" w:eastAsia="宋体"/>
                <w:b/>
                <w:bCs/>
                <w:sz w:val="24"/>
                <w:szCs w:val="24"/>
              </w:rPr>
              <w:t>公司</w:t>
            </w:r>
            <w:r>
              <w:rPr>
                <w:rFonts w:hint="eastAsia" w:ascii="宋体" w:hAnsi="宋体" w:eastAsia="宋体"/>
                <w:b/>
                <w:bCs/>
                <w:sz w:val="24"/>
                <w:szCs w:val="24"/>
                <w:lang w:eastAsia="zh-Hans"/>
              </w:rPr>
              <w:t>大商业板块</w:t>
            </w:r>
            <w:r>
              <w:rPr>
                <w:rFonts w:hint="eastAsia" w:ascii="宋体" w:hAnsi="宋体" w:eastAsia="宋体"/>
                <w:b/>
                <w:bCs/>
                <w:sz w:val="24"/>
                <w:szCs w:val="24"/>
                <w:lang w:val="en-US" w:eastAsia="zh-CN"/>
              </w:rPr>
              <w:t>未来有何发展计划</w:t>
            </w:r>
            <w:r>
              <w:rPr>
                <w:rFonts w:hint="default" w:ascii="宋体" w:hAnsi="宋体" w:eastAsia="宋体"/>
                <w:b/>
                <w:bCs/>
                <w:sz w:val="24"/>
                <w:szCs w:val="24"/>
                <w:lang w:eastAsia="zh-Hans"/>
              </w:rPr>
              <w:t>？</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sz w:val="24"/>
                <w:szCs w:val="24"/>
              </w:rPr>
            </w:pPr>
            <w:r>
              <w:rPr>
                <w:rFonts w:hint="eastAsia" w:ascii="宋体" w:hAnsi="宋体" w:eastAsia="宋体"/>
                <w:sz w:val="24"/>
                <w:szCs w:val="24"/>
                <w:lang w:val="en-US" w:eastAsia="zh-CN"/>
              </w:rPr>
              <w:t>答</w:t>
            </w:r>
            <w:r>
              <w:rPr>
                <w:rFonts w:hint="eastAsia" w:ascii="宋体" w:hAnsi="宋体" w:eastAsia="宋体"/>
                <w:sz w:val="24"/>
                <w:szCs w:val="24"/>
              </w:rPr>
              <w:t>：</w:t>
            </w:r>
            <w:r>
              <w:rPr>
                <w:rFonts w:hint="eastAsia" w:ascii="宋体" w:hAnsi="宋体" w:eastAsia="宋体"/>
                <w:sz w:val="24"/>
                <w:szCs w:val="24"/>
                <w:lang w:eastAsia="zh-Hans"/>
              </w:rPr>
              <w:t>未来</w:t>
            </w:r>
            <w:r>
              <w:rPr>
                <w:rFonts w:hint="default" w:ascii="宋体" w:hAnsi="宋体" w:eastAsia="宋体"/>
                <w:sz w:val="24"/>
                <w:szCs w:val="24"/>
                <w:lang w:eastAsia="zh-Hans"/>
              </w:rPr>
              <w:t>，</w:t>
            </w:r>
            <w:r>
              <w:rPr>
                <w:rFonts w:hint="eastAsia" w:ascii="宋体" w:hAnsi="宋体" w:eastAsia="宋体"/>
                <w:sz w:val="24"/>
                <w:szCs w:val="24"/>
              </w:rPr>
              <w:t>公司将进一步促进广州医药聚焦主营业务，提升</w:t>
            </w:r>
            <w:r>
              <w:rPr>
                <w:rFonts w:hint="eastAsia" w:ascii="宋体" w:hAnsi="宋体" w:eastAsia="宋体"/>
                <w:sz w:val="24"/>
                <w:szCs w:val="24"/>
                <w:lang w:eastAsia="zh-Hans"/>
              </w:rPr>
              <w:t>其</w:t>
            </w:r>
            <w:r>
              <w:rPr>
                <w:rFonts w:hint="eastAsia" w:ascii="宋体" w:hAnsi="宋体" w:eastAsia="宋体"/>
                <w:sz w:val="24"/>
                <w:szCs w:val="24"/>
              </w:rPr>
              <w:t>融资能力</w:t>
            </w:r>
            <w:r>
              <w:rPr>
                <w:rFonts w:hint="default" w:ascii="宋体" w:hAnsi="宋体" w:eastAsia="宋体"/>
                <w:sz w:val="24"/>
                <w:szCs w:val="24"/>
              </w:rPr>
              <w:t>，</w:t>
            </w:r>
            <w:r>
              <w:rPr>
                <w:rFonts w:hint="eastAsia" w:ascii="宋体" w:hAnsi="宋体" w:eastAsia="宋体"/>
                <w:sz w:val="24"/>
                <w:szCs w:val="24"/>
              </w:rPr>
              <w:t>加强品类拓展和渠道整合，增强购销联动；</w:t>
            </w:r>
            <w:r>
              <w:rPr>
                <w:rFonts w:hint="eastAsia" w:ascii="宋体" w:hAnsi="宋体" w:eastAsia="宋体"/>
                <w:sz w:val="24"/>
                <w:szCs w:val="24"/>
                <w:lang w:eastAsia="zh-Hans"/>
              </w:rPr>
              <w:t>继续依托广州医药在医药流通行业的业务优势，积极拓展零售药房业务，扎实稳妥推进DTP药房有序发展与布局</w:t>
            </w:r>
            <w:r>
              <w:rPr>
                <w:rFonts w:hint="default" w:ascii="宋体" w:hAnsi="宋体" w:eastAsia="宋体"/>
                <w:sz w:val="24"/>
                <w:szCs w:val="24"/>
              </w:rPr>
              <w:t>，</w:t>
            </w:r>
            <w:r>
              <w:rPr>
                <w:rFonts w:hint="eastAsia" w:ascii="宋体" w:hAnsi="宋体" w:eastAsia="宋体"/>
                <w:sz w:val="24"/>
                <w:szCs w:val="24"/>
              </w:rPr>
              <w:t>巩固其医药流通企业地位，持续推动公司医药流通业务发展。</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jc w:val="left"/>
              <w:textAlignment w:val="baseline"/>
              <w:rPr>
                <w:rFonts w:hint="eastAsia" w:ascii="宋体" w:hAnsi="宋体" w:eastAsia="宋体"/>
                <w:b/>
                <w:bCs/>
                <w:sz w:val="24"/>
                <w:szCs w:val="24"/>
              </w:rPr>
            </w:pPr>
            <w:r>
              <w:rPr>
                <w:rFonts w:hint="eastAsia" w:ascii="宋体" w:hAnsi="宋体" w:eastAsia="宋体"/>
                <w:b/>
                <w:bCs/>
                <w:sz w:val="24"/>
                <w:szCs w:val="24"/>
              </w:rPr>
              <w:t>（</w:t>
            </w:r>
            <w:r>
              <w:rPr>
                <w:rFonts w:hint="eastAsia" w:ascii="宋体" w:hAnsi="宋体" w:eastAsia="宋体"/>
                <w:b/>
                <w:bCs/>
                <w:sz w:val="24"/>
                <w:szCs w:val="24"/>
                <w:lang w:val="en-US" w:eastAsia="zh-CN"/>
              </w:rPr>
              <w:t>七</w:t>
            </w:r>
            <w:r>
              <w:rPr>
                <w:rFonts w:hint="eastAsia" w:ascii="宋体" w:hAnsi="宋体" w:eastAsia="宋体"/>
                <w:b/>
                <w:bCs/>
                <w:sz w:val="24"/>
                <w:szCs w:val="24"/>
              </w:rPr>
              <w:t>）公司并购方面有什么计划？</w:t>
            </w:r>
          </w:p>
          <w:p>
            <w:pPr>
              <w:keepNext w:val="0"/>
              <w:keepLines w:val="0"/>
              <w:suppressLineNumbers w:val="0"/>
              <w:adjustRightInd w:val="0"/>
              <w:spacing w:before="0" w:beforeAutospacing="0" w:after="0" w:afterAutospacing="0" w:line="360" w:lineRule="auto"/>
              <w:ind w:left="0" w:right="0" w:firstLine="480" w:firstLineChars="200"/>
              <w:textAlignment w:val="baseline"/>
              <w:rPr>
                <w:rFonts w:hint="default" w:ascii="宋体" w:hAnsi="宋体" w:eastAsia="宋体" w:cs="Times New Roman"/>
                <w:kern w:val="2"/>
                <w:sz w:val="24"/>
                <w:szCs w:val="24"/>
                <w:lang w:val="en-US" w:eastAsia="zh-CN" w:bidi="ar"/>
              </w:rPr>
            </w:pPr>
            <w:r>
              <w:rPr>
                <w:rFonts w:hint="eastAsia" w:ascii="宋体" w:hAnsi="宋体" w:eastAsia="宋体"/>
                <w:sz w:val="24"/>
                <w:szCs w:val="24"/>
                <w:lang w:val="en-US" w:eastAsia="zh-CN"/>
              </w:rPr>
              <w:t>答</w:t>
            </w:r>
            <w:r>
              <w:rPr>
                <w:rFonts w:hint="eastAsia" w:ascii="宋体" w:hAnsi="宋体" w:eastAsia="宋体"/>
                <w:sz w:val="24"/>
                <w:szCs w:val="24"/>
              </w:rPr>
              <w:t>：公司持续物色符合公司发展战略的并购标的，如拥有高质量仿制药、创新药、生物药等产品批文或其他优质科研项目的企业。</w:t>
            </w:r>
          </w:p>
          <w:p>
            <w:pPr>
              <w:keepNext w:val="0"/>
              <w:keepLines w:val="0"/>
              <w:widowControl/>
              <w:suppressLineNumbers w:val="0"/>
              <w:spacing w:before="0" w:beforeAutospacing="0" w:after="0" w:afterAutospacing="0" w:line="500" w:lineRule="exact"/>
              <w:ind w:left="0" w:right="0" w:firstLine="482" w:firstLineChars="200"/>
              <w:jc w:val="left"/>
              <w:rPr>
                <w:rFonts w:hint="default" w:ascii="宋体" w:hAnsi="宋体" w:eastAsia="宋体" w:cs="Times New Roman"/>
                <w:b/>
                <w:bCs/>
                <w:sz w:val="24"/>
                <w:szCs w:val="24"/>
                <w:lang w:eastAsia="zh-Hans" w:bidi="ar"/>
              </w:rPr>
            </w:pPr>
            <w:r>
              <w:rPr>
                <w:rFonts w:hint="eastAsia" w:ascii="宋体" w:hAnsi="宋体" w:eastAsia="宋体" w:cs="Times New Roman"/>
                <w:b/>
                <w:bCs/>
                <w:sz w:val="24"/>
                <w:szCs w:val="24"/>
                <w:lang w:eastAsia="zh-CN" w:bidi="ar"/>
              </w:rPr>
              <w:t>（</w:t>
            </w:r>
            <w:r>
              <w:rPr>
                <w:rFonts w:hint="eastAsia" w:ascii="宋体" w:hAnsi="宋体" w:eastAsia="宋体" w:cs="Times New Roman"/>
                <w:b/>
                <w:bCs/>
                <w:sz w:val="24"/>
                <w:szCs w:val="24"/>
                <w:lang w:val="en-US" w:eastAsia="zh-CN" w:bidi="ar"/>
              </w:rPr>
              <w:t>八</w:t>
            </w:r>
            <w:r>
              <w:rPr>
                <w:rFonts w:hint="eastAsia" w:ascii="宋体" w:hAnsi="宋体" w:eastAsia="宋体" w:cs="Times New Roman"/>
                <w:b/>
                <w:bCs/>
                <w:sz w:val="24"/>
                <w:szCs w:val="24"/>
                <w:lang w:eastAsia="zh-CN" w:bidi="ar"/>
              </w:rPr>
              <w:t>）</w:t>
            </w:r>
            <w:r>
              <w:rPr>
                <w:rFonts w:hint="default" w:ascii="宋体" w:hAnsi="宋体" w:eastAsia="宋体" w:cs="Times New Roman"/>
                <w:b/>
                <w:bCs/>
                <w:sz w:val="24"/>
                <w:szCs w:val="24"/>
                <w:lang w:eastAsia="zh-Hans" w:bidi="ar"/>
              </w:rPr>
              <w:t>公司有考虑提高分红比例吗？</w:t>
            </w:r>
          </w:p>
          <w:p>
            <w:pPr>
              <w:keepNext w:val="0"/>
              <w:keepLines w:val="0"/>
              <w:widowControl/>
              <w:suppressLineNumbers w:val="0"/>
              <w:spacing w:before="0" w:beforeAutospacing="0" w:after="0" w:afterAutospacing="0" w:line="500" w:lineRule="exact"/>
              <w:ind w:left="0" w:right="0" w:firstLine="480" w:firstLineChars="200"/>
              <w:jc w:val="left"/>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bidi="ar"/>
              </w:rPr>
              <w:t>答</w:t>
            </w:r>
            <w:bookmarkStart w:id="0" w:name="_GoBack"/>
            <w:bookmarkEnd w:id="0"/>
            <w:r>
              <w:rPr>
                <w:rFonts w:hint="eastAsia" w:ascii="宋体" w:hAnsi="宋体" w:eastAsia="宋体" w:cs="Times New Roman"/>
                <w:sz w:val="24"/>
                <w:szCs w:val="24"/>
                <w:lang w:val="en-US" w:eastAsia="zh-CN" w:bidi="ar"/>
              </w:rPr>
              <w:t>：</w:t>
            </w:r>
            <w:r>
              <w:rPr>
                <w:rFonts w:hint="eastAsia" w:ascii="宋体" w:hAnsi="宋体" w:eastAsia="宋体" w:cs="Times New Roman"/>
                <w:sz w:val="24"/>
                <w:szCs w:val="24"/>
                <w:lang w:eastAsia="zh-Hans" w:bidi="ar"/>
              </w:rPr>
              <w:t>公司始终重视对投资者的合理投资回报，制定并发布了未来三年（2021-2023年）股东回报规划，公司章程中也对分红政策进行了明确规定，以保证利润分配政策的连续性和稳定性。因此，若无特殊情况，公司将按计划进行分红，预计现金方式分配的股利总额（包括中期已分配的现金红利）不低于当年实现的归属母公司的净利润的30%；而且最近三年以现金方式累计分配的利润不少于最近三年实现的年均可分配利润的30%。</w:t>
            </w:r>
          </w:p>
        </w:tc>
      </w:tr>
    </w:tbl>
    <w:p>
      <w:pPr>
        <w:rPr>
          <w:rFonts w:ascii="宋体" w:hAnsi="宋体" w:eastAsia="宋体"/>
          <w:sz w:val="24"/>
          <w:szCs w:val="24"/>
        </w:rPr>
      </w:pPr>
      <w:r>
        <w:rPr>
          <w:rFonts w:ascii="宋体" w:hAnsi="宋体" w:eastAsia="宋体"/>
          <w:sz w:val="24"/>
          <w:szCs w:val="24"/>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5688D5"/>
    <w:multiLevelType w:val="singleLevel"/>
    <w:tmpl w:val="765688D5"/>
    <w:lvl w:ilvl="0" w:tentative="0">
      <w:start w:val="1"/>
      <w:numFmt w:val="chineseCounting"/>
      <w:suff w:val="nothing"/>
      <w:lvlText w:val="（%1）"/>
      <w:lvlJc w:val="left"/>
      <w:pPr>
        <w:ind w:left="14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mVlNzFjNDI0ZTliMTBjN2NmZDYxODZkZGVmMDcifQ=="/>
  </w:docVars>
  <w:rsids>
    <w:rsidRoot w:val="00172A27"/>
    <w:rsid w:val="00025CB0"/>
    <w:rsid w:val="00026AD9"/>
    <w:rsid w:val="00032329"/>
    <w:rsid w:val="000423CF"/>
    <w:rsid w:val="00044D1C"/>
    <w:rsid w:val="00050DF4"/>
    <w:rsid w:val="0005752C"/>
    <w:rsid w:val="00061C18"/>
    <w:rsid w:val="0008758C"/>
    <w:rsid w:val="000C455F"/>
    <w:rsid w:val="00150AE8"/>
    <w:rsid w:val="001512EA"/>
    <w:rsid w:val="00172A27"/>
    <w:rsid w:val="00181A29"/>
    <w:rsid w:val="00190A5F"/>
    <w:rsid w:val="0019375C"/>
    <w:rsid w:val="001A7C3F"/>
    <w:rsid w:val="001B2FA5"/>
    <w:rsid w:val="001D5B13"/>
    <w:rsid w:val="001D6CF4"/>
    <w:rsid w:val="001E2434"/>
    <w:rsid w:val="001E2B27"/>
    <w:rsid w:val="001E5849"/>
    <w:rsid w:val="001F0D8E"/>
    <w:rsid w:val="002030C7"/>
    <w:rsid w:val="00227682"/>
    <w:rsid w:val="00234F62"/>
    <w:rsid w:val="0023523C"/>
    <w:rsid w:val="00237154"/>
    <w:rsid w:val="0023740A"/>
    <w:rsid w:val="00244BDD"/>
    <w:rsid w:val="002A55F9"/>
    <w:rsid w:val="002D34CA"/>
    <w:rsid w:val="002F071F"/>
    <w:rsid w:val="0031151B"/>
    <w:rsid w:val="00333576"/>
    <w:rsid w:val="00372AEC"/>
    <w:rsid w:val="00372E22"/>
    <w:rsid w:val="003843DA"/>
    <w:rsid w:val="00393833"/>
    <w:rsid w:val="003B20EB"/>
    <w:rsid w:val="003D4A24"/>
    <w:rsid w:val="003E2611"/>
    <w:rsid w:val="00416276"/>
    <w:rsid w:val="00417D16"/>
    <w:rsid w:val="00426DE7"/>
    <w:rsid w:val="00430C9F"/>
    <w:rsid w:val="00440515"/>
    <w:rsid w:val="00444319"/>
    <w:rsid w:val="004508A9"/>
    <w:rsid w:val="00454DB9"/>
    <w:rsid w:val="004575B0"/>
    <w:rsid w:val="004629A5"/>
    <w:rsid w:val="00464276"/>
    <w:rsid w:val="004830A0"/>
    <w:rsid w:val="004A0494"/>
    <w:rsid w:val="004D0DC3"/>
    <w:rsid w:val="004D7C37"/>
    <w:rsid w:val="00535815"/>
    <w:rsid w:val="005666FB"/>
    <w:rsid w:val="0058744F"/>
    <w:rsid w:val="005A0C6A"/>
    <w:rsid w:val="005A6D48"/>
    <w:rsid w:val="005D695F"/>
    <w:rsid w:val="005E6EA6"/>
    <w:rsid w:val="005F2058"/>
    <w:rsid w:val="005F2987"/>
    <w:rsid w:val="005F4FCF"/>
    <w:rsid w:val="00624602"/>
    <w:rsid w:val="00631DD3"/>
    <w:rsid w:val="006366B1"/>
    <w:rsid w:val="00641E4D"/>
    <w:rsid w:val="00643621"/>
    <w:rsid w:val="00653716"/>
    <w:rsid w:val="00672B6C"/>
    <w:rsid w:val="00676F1A"/>
    <w:rsid w:val="0068760B"/>
    <w:rsid w:val="00690627"/>
    <w:rsid w:val="00694DCE"/>
    <w:rsid w:val="006A31C5"/>
    <w:rsid w:val="006B399C"/>
    <w:rsid w:val="006C7988"/>
    <w:rsid w:val="006D3077"/>
    <w:rsid w:val="006E36C1"/>
    <w:rsid w:val="006F0129"/>
    <w:rsid w:val="006F78C2"/>
    <w:rsid w:val="007118FE"/>
    <w:rsid w:val="00711D0F"/>
    <w:rsid w:val="00711D80"/>
    <w:rsid w:val="007137B8"/>
    <w:rsid w:val="00716CD9"/>
    <w:rsid w:val="007616A5"/>
    <w:rsid w:val="007636A3"/>
    <w:rsid w:val="007802B8"/>
    <w:rsid w:val="007A2E2D"/>
    <w:rsid w:val="007C124C"/>
    <w:rsid w:val="007E76DC"/>
    <w:rsid w:val="00806304"/>
    <w:rsid w:val="00816522"/>
    <w:rsid w:val="008534FA"/>
    <w:rsid w:val="00861A58"/>
    <w:rsid w:val="008F5BDD"/>
    <w:rsid w:val="00900532"/>
    <w:rsid w:val="0092138B"/>
    <w:rsid w:val="00941BE8"/>
    <w:rsid w:val="00954ADF"/>
    <w:rsid w:val="00965600"/>
    <w:rsid w:val="00981F53"/>
    <w:rsid w:val="009846E6"/>
    <w:rsid w:val="009917D2"/>
    <w:rsid w:val="009A2F93"/>
    <w:rsid w:val="009B2D59"/>
    <w:rsid w:val="009D1231"/>
    <w:rsid w:val="009E4068"/>
    <w:rsid w:val="00A04B95"/>
    <w:rsid w:val="00A27FC2"/>
    <w:rsid w:val="00A42E7E"/>
    <w:rsid w:val="00A838B1"/>
    <w:rsid w:val="00AB16B9"/>
    <w:rsid w:val="00AB2E37"/>
    <w:rsid w:val="00AB78DB"/>
    <w:rsid w:val="00AD1DDC"/>
    <w:rsid w:val="00AE3836"/>
    <w:rsid w:val="00AF4F8E"/>
    <w:rsid w:val="00B10F38"/>
    <w:rsid w:val="00B2542A"/>
    <w:rsid w:val="00B34BCA"/>
    <w:rsid w:val="00B409FC"/>
    <w:rsid w:val="00B4791A"/>
    <w:rsid w:val="00B47DA0"/>
    <w:rsid w:val="00B85224"/>
    <w:rsid w:val="00B85BF3"/>
    <w:rsid w:val="00B86058"/>
    <w:rsid w:val="00BA4FAB"/>
    <w:rsid w:val="00BE71DD"/>
    <w:rsid w:val="00BF53F3"/>
    <w:rsid w:val="00BF6490"/>
    <w:rsid w:val="00C17FFD"/>
    <w:rsid w:val="00C30AEE"/>
    <w:rsid w:val="00C419EA"/>
    <w:rsid w:val="00C52639"/>
    <w:rsid w:val="00C618C3"/>
    <w:rsid w:val="00C6785D"/>
    <w:rsid w:val="00C67F92"/>
    <w:rsid w:val="00C74C1A"/>
    <w:rsid w:val="00C84386"/>
    <w:rsid w:val="00C90242"/>
    <w:rsid w:val="00CC5714"/>
    <w:rsid w:val="00CE6791"/>
    <w:rsid w:val="00CF047B"/>
    <w:rsid w:val="00CF4DDB"/>
    <w:rsid w:val="00D075FA"/>
    <w:rsid w:val="00D15514"/>
    <w:rsid w:val="00D25777"/>
    <w:rsid w:val="00D32B0B"/>
    <w:rsid w:val="00D4320B"/>
    <w:rsid w:val="00DA63E6"/>
    <w:rsid w:val="00DB1D0E"/>
    <w:rsid w:val="00DC5CB4"/>
    <w:rsid w:val="00DD7901"/>
    <w:rsid w:val="00DE1A21"/>
    <w:rsid w:val="00E00758"/>
    <w:rsid w:val="00E10DEB"/>
    <w:rsid w:val="00E265BD"/>
    <w:rsid w:val="00E4048D"/>
    <w:rsid w:val="00E735D9"/>
    <w:rsid w:val="00E7643E"/>
    <w:rsid w:val="00E863F3"/>
    <w:rsid w:val="00EA7ED8"/>
    <w:rsid w:val="00EC4BF3"/>
    <w:rsid w:val="00EC7D58"/>
    <w:rsid w:val="00F01C36"/>
    <w:rsid w:val="00F06EDA"/>
    <w:rsid w:val="00F22A2A"/>
    <w:rsid w:val="00F269D3"/>
    <w:rsid w:val="00F609E2"/>
    <w:rsid w:val="00FB5649"/>
    <w:rsid w:val="00FC6C8E"/>
    <w:rsid w:val="00FC7316"/>
    <w:rsid w:val="00FE79E5"/>
    <w:rsid w:val="01201F55"/>
    <w:rsid w:val="03920A67"/>
    <w:rsid w:val="03C9092D"/>
    <w:rsid w:val="04212517"/>
    <w:rsid w:val="04917185"/>
    <w:rsid w:val="07452CE3"/>
    <w:rsid w:val="074B4461"/>
    <w:rsid w:val="07852DBD"/>
    <w:rsid w:val="079E79DA"/>
    <w:rsid w:val="07A836F4"/>
    <w:rsid w:val="07B03875"/>
    <w:rsid w:val="0882554E"/>
    <w:rsid w:val="09EB2C7F"/>
    <w:rsid w:val="0A2F6341"/>
    <w:rsid w:val="0A8344B4"/>
    <w:rsid w:val="0AA7304A"/>
    <w:rsid w:val="0ADD5073"/>
    <w:rsid w:val="0AEC3153"/>
    <w:rsid w:val="0B801AF3"/>
    <w:rsid w:val="0BCE214B"/>
    <w:rsid w:val="0C9B098C"/>
    <w:rsid w:val="0D9E5A0B"/>
    <w:rsid w:val="0E5928AD"/>
    <w:rsid w:val="0EE20AF5"/>
    <w:rsid w:val="0FBF0E36"/>
    <w:rsid w:val="0FE91A0F"/>
    <w:rsid w:val="11976A68"/>
    <w:rsid w:val="11B36F2A"/>
    <w:rsid w:val="11BD6E3E"/>
    <w:rsid w:val="11E91587"/>
    <w:rsid w:val="12170AB5"/>
    <w:rsid w:val="124C4FD5"/>
    <w:rsid w:val="128D521B"/>
    <w:rsid w:val="130152C1"/>
    <w:rsid w:val="13482EF0"/>
    <w:rsid w:val="1363595C"/>
    <w:rsid w:val="14123C2A"/>
    <w:rsid w:val="142D0E0E"/>
    <w:rsid w:val="15507A24"/>
    <w:rsid w:val="16055DDA"/>
    <w:rsid w:val="16806CB1"/>
    <w:rsid w:val="16CA07EC"/>
    <w:rsid w:val="16DC407B"/>
    <w:rsid w:val="179E3A27"/>
    <w:rsid w:val="17CA65CA"/>
    <w:rsid w:val="17E54BD3"/>
    <w:rsid w:val="17F0126D"/>
    <w:rsid w:val="18090EA0"/>
    <w:rsid w:val="18545F68"/>
    <w:rsid w:val="18EE0096"/>
    <w:rsid w:val="19A215B9"/>
    <w:rsid w:val="19FC104D"/>
    <w:rsid w:val="1A0E09F0"/>
    <w:rsid w:val="1A8707A2"/>
    <w:rsid w:val="1AB7210B"/>
    <w:rsid w:val="1B8515C8"/>
    <w:rsid w:val="1BAB4AC5"/>
    <w:rsid w:val="1C3861F8"/>
    <w:rsid w:val="1C4A1A87"/>
    <w:rsid w:val="1C4B4A0F"/>
    <w:rsid w:val="1C5B5A42"/>
    <w:rsid w:val="1CA94A00"/>
    <w:rsid w:val="1D7B7E7D"/>
    <w:rsid w:val="1D8944E9"/>
    <w:rsid w:val="1DD333DB"/>
    <w:rsid w:val="1E3C42D4"/>
    <w:rsid w:val="1F3638AE"/>
    <w:rsid w:val="1F594E5D"/>
    <w:rsid w:val="202D1DEC"/>
    <w:rsid w:val="210743EB"/>
    <w:rsid w:val="21303941"/>
    <w:rsid w:val="217D46AD"/>
    <w:rsid w:val="218F236A"/>
    <w:rsid w:val="22121D98"/>
    <w:rsid w:val="222F1E4B"/>
    <w:rsid w:val="2265586D"/>
    <w:rsid w:val="23361B69"/>
    <w:rsid w:val="234B1C36"/>
    <w:rsid w:val="23563407"/>
    <w:rsid w:val="23CF4182"/>
    <w:rsid w:val="25C83F87"/>
    <w:rsid w:val="25DB0FD9"/>
    <w:rsid w:val="262275D1"/>
    <w:rsid w:val="266876DA"/>
    <w:rsid w:val="2758774E"/>
    <w:rsid w:val="278E4F1E"/>
    <w:rsid w:val="280D4603"/>
    <w:rsid w:val="287C121A"/>
    <w:rsid w:val="29B535B1"/>
    <w:rsid w:val="2A1A2444"/>
    <w:rsid w:val="2A715156"/>
    <w:rsid w:val="2A790107"/>
    <w:rsid w:val="2A86447F"/>
    <w:rsid w:val="2ADF2513"/>
    <w:rsid w:val="2B075C65"/>
    <w:rsid w:val="2B591E08"/>
    <w:rsid w:val="2BCF10A6"/>
    <w:rsid w:val="2C1300E8"/>
    <w:rsid w:val="2C8B5ED0"/>
    <w:rsid w:val="2D4521E4"/>
    <w:rsid w:val="2DF81343"/>
    <w:rsid w:val="2EE47B19"/>
    <w:rsid w:val="30896480"/>
    <w:rsid w:val="30963095"/>
    <w:rsid w:val="30A07565"/>
    <w:rsid w:val="31363720"/>
    <w:rsid w:val="314E47F2"/>
    <w:rsid w:val="31B118FD"/>
    <w:rsid w:val="32A7158A"/>
    <w:rsid w:val="32AE46C6"/>
    <w:rsid w:val="343230D5"/>
    <w:rsid w:val="346C48F4"/>
    <w:rsid w:val="34F9186F"/>
    <w:rsid w:val="354D54A9"/>
    <w:rsid w:val="359679D1"/>
    <w:rsid w:val="372C6E7F"/>
    <w:rsid w:val="376D1E36"/>
    <w:rsid w:val="37DA313A"/>
    <w:rsid w:val="3824770E"/>
    <w:rsid w:val="38C43E25"/>
    <w:rsid w:val="3A1F4445"/>
    <w:rsid w:val="3A3815D3"/>
    <w:rsid w:val="3A3E6C77"/>
    <w:rsid w:val="3A591F82"/>
    <w:rsid w:val="3ACC7DDF"/>
    <w:rsid w:val="3B225C51"/>
    <w:rsid w:val="3C1852A6"/>
    <w:rsid w:val="3C7D054C"/>
    <w:rsid w:val="3D605157"/>
    <w:rsid w:val="3D7A3C99"/>
    <w:rsid w:val="3DC512D0"/>
    <w:rsid w:val="3F4C5993"/>
    <w:rsid w:val="3F8E5FAB"/>
    <w:rsid w:val="3FD10385"/>
    <w:rsid w:val="3FDB51DB"/>
    <w:rsid w:val="41990C37"/>
    <w:rsid w:val="41ED47FB"/>
    <w:rsid w:val="42537038"/>
    <w:rsid w:val="43190F58"/>
    <w:rsid w:val="450137F0"/>
    <w:rsid w:val="45053792"/>
    <w:rsid w:val="45BE5CA2"/>
    <w:rsid w:val="45FA1CE4"/>
    <w:rsid w:val="460C5E7C"/>
    <w:rsid w:val="46380A1F"/>
    <w:rsid w:val="467CFF17"/>
    <w:rsid w:val="46A351E1"/>
    <w:rsid w:val="46BA58D8"/>
    <w:rsid w:val="47022DDB"/>
    <w:rsid w:val="47327B17"/>
    <w:rsid w:val="47B440D5"/>
    <w:rsid w:val="47C841F6"/>
    <w:rsid w:val="47D77BA6"/>
    <w:rsid w:val="47E47B88"/>
    <w:rsid w:val="48166B3E"/>
    <w:rsid w:val="48742673"/>
    <w:rsid w:val="48DA5496"/>
    <w:rsid w:val="491F1A22"/>
    <w:rsid w:val="49C16F7D"/>
    <w:rsid w:val="4A34702F"/>
    <w:rsid w:val="4AEA31D4"/>
    <w:rsid w:val="4B4810FE"/>
    <w:rsid w:val="4B73153F"/>
    <w:rsid w:val="4B977597"/>
    <w:rsid w:val="4C066EC9"/>
    <w:rsid w:val="4C3752D5"/>
    <w:rsid w:val="4CBF7C75"/>
    <w:rsid w:val="4CD11285"/>
    <w:rsid w:val="4CE70AA9"/>
    <w:rsid w:val="4D0623E1"/>
    <w:rsid w:val="4D233AF8"/>
    <w:rsid w:val="4D3E1798"/>
    <w:rsid w:val="4D571ED4"/>
    <w:rsid w:val="4DD40C5E"/>
    <w:rsid w:val="4E121B55"/>
    <w:rsid w:val="4E30647F"/>
    <w:rsid w:val="4F6B3C13"/>
    <w:rsid w:val="502D0E36"/>
    <w:rsid w:val="50333DEC"/>
    <w:rsid w:val="50414974"/>
    <w:rsid w:val="508F56DF"/>
    <w:rsid w:val="50FB0FC7"/>
    <w:rsid w:val="51404C2B"/>
    <w:rsid w:val="52985AF9"/>
    <w:rsid w:val="53830F02"/>
    <w:rsid w:val="53FD9CDC"/>
    <w:rsid w:val="5560764A"/>
    <w:rsid w:val="55C86F8B"/>
    <w:rsid w:val="55D6790C"/>
    <w:rsid w:val="572C51A7"/>
    <w:rsid w:val="576C677A"/>
    <w:rsid w:val="587358E6"/>
    <w:rsid w:val="58AC2BA6"/>
    <w:rsid w:val="593D2E59"/>
    <w:rsid w:val="5A497EFA"/>
    <w:rsid w:val="5A8D3D2B"/>
    <w:rsid w:val="5B697EEF"/>
    <w:rsid w:val="5C1F32A6"/>
    <w:rsid w:val="5E024645"/>
    <w:rsid w:val="5E548B43"/>
    <w:rsid w:val="5E780AE1"/>
    <w:rsid w:val="5EB3CE55"/>
    <w:rsid w:val="5F2D68B1"/>
    <w:rsid w:val="5F8EA272"/>
    <w:rsid w:val="5FAE0644"/>
    <w:rsid w:val="5FF7D567"/>
    <w:rsid w:val="5FFD5AB9"/>
    <w:rsid w:val="60844B35"/>
    <w:rsid w:val="60B92AAF"/>
    <w:rsid w:val="610F1255"/>
    <w:rsid w:val="612A6E3D"/>
    <w:rsid w:val="61572249"/>
    <w:rsid w:val="61930DA7"/>
    <w:rsid w:val="62214605"/>
    <w:rsid w:val="6223212B"/>
    <w:rsid w:val="62B75CC2"/>
    <w:rsid w:val="63604CB9"/>
    <w:rsid w:val="636D7E27"/>
    <w:rsid w:val="63F447FA"/>
    <w:rsid w:val="65420882"/>
    <w:rsid w:val="6553506E"/>
    <w:rsid w:val="656C1155"/>
    <w:rsid w:val="65707DCC"/>
    <w:rsid w:val="658B309F"/>
    <w:rsid w:val="66727C84"/>
    <w:rsid w:val="66CD2666"/>
    <w:rsid w:val="67A27022"/>
    <w:rsid w:val="67E05496"/>
    <w:rsid w:val="68686BBC"/>
    <w:rsid w:val="69044022"/>
    <w:rsid w:val="696B304E"/>
    <w:rsid w:val="697838DF"/>
    <w:rsid w:val="6A293639"/>
    <w:rsid w:val="6A5777C2"/>
    <w:rsid w:val="6B7316A4"/>
    <w:rsid w:val="6B8B77E1"/>
    <w:rsid w:val="6BDA2AFA"/>
    <w:rsid w:val="6C6E055C"/>
    <w:rsid w:val="6C740B5E"/>
    <w:rsid w:val="6D1D1356"/>
    <w:rsid w:val="6DE8697B"/>
    <w:rsid w:val="6ED57945"/>
    <w:rsid w:val="6EF2710D"/>
    <w:rsid w:val="6F4E7113"/>
    <w:rsid w:val="6F541B76"/>
    <w:rsid w:val="6FAE28B9"/>
    <w:rsid w:val="70B12FF8"/>
    <w:rsid w:val="71F37B08"/>
    <w:rsid w:val="72127AC6"/>
    <w:rsid w:val="722F31E7"/>
    <w:rsid w:val="724F6669"/>
    <w:rsid w:val="73722F12"/>
    <w:rsid w:val="73B788E7"/>
    <w:rsid w:val="742C183A"/>
    <w:rsid w:val="743E1047"/>
    <w:rsid w:val="74566577"/>
    <w:rsid w:val="748E5089"/>
    <w:rsid w:val="74DB23BF"/>
    <w:rsid w:val="74FC2BFE"/>
    <w:rsid w:val="767E3A20"/>
    <w:rsid w:val="76AF7FDA"/>
    <w:rsid w:val="76F3B939"/>
    <w:rsid w:val="76FD4DCB"/>
    <w:rsid w:val="77664B3C"/>
    <w:rsid w:val="77C82386"/>
    <w:rsid w:val="790A14F7"/>
    <w:rsid w:val="790F2AC2"/>
    <w:rsid w:val="7A7237F8"/>
    <w:rsid w:val="7AA65250"/>
    <w:rsid w:val="7AFD1314"/>
    <w:rsid w:val="7B2F0256"/>
    <w:rsid w:val="7B926184"/>
    <w:rsid w:val="7C023D81"/>
    <w:rsid w:val="7C7F7042"/>
    <w:rsid w:val="7D2637C1"/>
    <w:rsid w:val="7E325778"/>
    <w:rsid w:val="7FB6280C"/>
    <w:rsid w:val="7FFF0A28"/>
    <w:rsid w:val="7FFF3A7E"/>
    <w:rsid w:val="8FFF3353"/>
    <w:rsid w:val="9CBF896A"/>
    <w:rsid w:val="A33D4B8B"/>
    <w:rsid w:val="A75F56E0"/>
    <w:rsid w:val="BFFA55A4"/>
    <w:rsid w:val="BFFBAC19"/>
    <w:rsid w:val="CFF5705B"/>
    <w:rsid w:val="DC5ED6EA"/>
    <w:rsid w:val="E67FB003"/>
    <w:rsid w:val="EB7F9EED"/>
    <w:rsid w:val="EC6FF248"/>
    <w:rsid w:val="EEFF9DCC"/>
    <w:rsid w:val="EF3E74E9"/>
    <w:rsid w:val="F6BEE215"/>
    <w:rsid w:val="F97B3386"/>
    <w:rsid w:val="FD7D69D4"/>
    <w:rsid w:val="FF2EA5B3"/>
    <w:rsid w:val="FFBF2C72"/>
    <w:rsid w:val="FFFFCD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character" w:styleId="11">
    <w:name w:val="annotation reference"/>
    <w:unhideWhenUsed/>
    <w:qFormat/>
    <w:uiPriority w:val="99"/>
    <w:rPr>
      <w:sz w:val="21"/>
      <w:szCs w:val="21"/>
    </w:rPr>
  </w:style>
  <w:style w:type="character" w:customStyle="1" w:styleId="12">
    <w:name w:val="批注文字 字符"/>
    <w:link w:val="2"/>
    <w:qFormat/>
    <w:uiPriority w:val="99"/>
    <w:rPr>
      <w:rFonts w:ascii="等线" w:hAnsi="等线" w:eastAsia="等线"/>
      <w:kern w:val="2"/>
      <w:sz w:val="21"/>
      <w:szCs w:val="22"/>
    </w:rPr>
  </w:style>
  <w:style w:type="character" w:customStyle="1" w:styleId="13">
    <w:name w:val="批注框文本 字符"/>
    <w:link w:val="3"/>
    <w:semiHidden/>
    <w:qFormat/>
    <w:uiPriority w:val="99"/>
    <w:rPr>
      <w:sz w:val="18"/>
      <w:szCs w:val="18"/>
    </w:rPr>
  </w:style>
  <w:style w:type="character" w:customStyle="1" w:styleId="14">
    <w:name w:val="页脚 字符"/>
    <w:link w:val="4"/>
    <w:qFormat/>
    <w:uiPriority w:val="99"/>
    <w:rPr>
      <w:sz w:val="18"/>
      <w:szCs w:val="18"/>
    </w:rPr>
  </w:style>
  <w:style w:type="character" w:customStyle="1" w:styleId="15">
    <w:name w:val="页眉 字符"/>
    <w:link w:val="5"/>
    <w:qFormat/>
    <w:uiPriority w:val="99"/>
    <w:rPr>
      <w:sz w:val="18"/>
      <w:szCs w:val="18"/>
    </w:rPr>
  </w:style>
  <w:style w:type="character" w:customStyle="1" w:styleId="16">
    <w:name w:val="批注主题 字符"/>
    <w:link w:val="6"/>
    <w:semiHidden/>
    <w:qFormat/>
    <w:uiPriority w:val="99"/>
    <w:rPr>
      <w:rFonts w:ascii="等线" w:hAnsi="等线" w:eastAsia="等线"/>
      <w:b/>
      <w:bCs/>
      <w:kern w:val="2"/>
      <w:sz w:val="21"/>
      <w:szCs w:val="22"/>
    </w:rPr>
  </w:style>
  <w:style w:type="paragraph" w:styleId="17">
    <w:name w:val="List Paragraph"/>
    <w:basedOn w:val="1"/>
    <w:qFormat/>
    <w:uiPriority w:val="34"/>
    <w:pPr>
      <w:ind w:firstLine="420" w:firstLineChars="200"/>
    </w:pPr>
  </w:style>
  <w:style w:type="paragraph" w:customStyle="1" w:styleId="18">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GYBYS</Company>
  <Pages>6</Pages>
  <Words>3238</Words>
  <Characters>3609</Characters>
  <Lines>28</Lines>
  <Paragraphs>7</Paragraphs>
  <TotalTime>13</TotalTime>
  <ScaleCrop>false</ScaleCrop>
  <LinksUpToDate>false</LinksUpToDate>
  <CharactersWithSpaces>3714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2023-09-13T06:13:00Z</dcterms:created>
  <dc:creator>Licy</dc:creator>
  <cp:lastModifiedBy>瑶</cp:lastModifiedBy>
  <cp:lastPrinted>2023-09-13T06:24:00Z</cp:lastPrinted>
  <dcterms:modified xsi:type="dcterms:W3CDTF">2023-12-29T06:08:52Z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0611EDA4A408427DAC53DA29415C10FA_13</vt:lpwstr>
  </property>
</Properties>
</file>