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1600" w14:textId="77777777" w:rsidR="001D29E9" w:rsidRDefault="001D29E9" w:rsidP="00BF6DE3">
      <w:pPr>
        <w:spacing w:line="360" w:lineRule="auto"/>
        <w:rPr>
          <w:rFonts w:ascii="宋体" w:eastAsia="宋体" w:hAnsi="宋体"/>
          <w:sz w:val="24"/>
          <w:szCs w:val="24"/>
        </w:rPr>
      </w:pPr>
      <w:r w:rsidRPr="009B567B">
        <w:rPr>
          <w:rFonts w:ascii="宋体" w:eastAsia="宋体" w:hAnsi="宋体"/>
          <w:sz w:val="24"/>
          <w:szCs w:val="24"/>
        </w:rPr>
        <w:t xml:space="preserve">证券代码：603883                                    </w:t>
      </w:r>
      <w:r>
        <w:rPr>
          <w:rFonts w:ascii="宋体" w:eastAsia="宋体" w:hAnsi="宋体"/>
          <w:sz w:val="24"/>
          <w:szCs w:val="24"/>
        </w:rPr>
        <w:t xml:space="preserve"> </w:t>
      </w:r>
      <w:r w:rsidRPr="009B567B">
        <w:rPr>
          <w:rFonts w:ascii="宋体" w:eastAsia="宋体" w:hAnsi="宋体"/>
          <w:sz w:val="24"/>
          <w:szCs w:val="24"/>
        </w:rPr>
        <w:t>证券简称：老百姓</w:t>
      </w:r>
    </w:p>
    <w:p w14:paraId="09B3E6C1" w14:textId="77777777" w:rsidR="001D29E9" w:rsidRDefault="001D29E9" w:rsidP="00BF6DE3">
      <w:pPr>
        <w:spacing w:line="360" w:lineRule="auto"/>
        <w:rPr>
          <w:rFonts w:ascii="宋体" w:eastAsia="宋体" w:hAnsi="宋体"/>
          <w:sz w:val="24"/>
          <w:szCs w:val="24"/>
        </w:rPr>
      </w:pPr>
    </w:p>
    <w:p w14:paraId="11D7C327" w14:textId="7BF28FE2" w:rsidR="001D29E9" w:rsidRDefault="005C382F" w:rsidP="00BF6DE3">
      <w:pPr>
        <w:spacing w:line="360" w:lineRule="auto"/>
        <w:jc w:val="center"/>
        <w:rPr>
          <w:rFonts w:ascii="宋体" w:eastAsia="宋体" w:hAnsi="宋体"/>
          <w:b/>
          <w:bCs/>
          <w:sz w:val="28"/>
          <w:szCs w:val="32"/>
        </w:rPr>
      </w:pPr>
      <w:r w:rsidRPr="005C382F">
        <w:rPr>
          <w:rFonts w:ascii="宋体" w:eastAsia="宋体" w:hAnsi="宋体" w:hint="eastAsia"/>
          <w:b/>
          <w:bCs/>
          <w:sz w:val="28"/>
          <w:szCs w:val="32"/>
        </w:rPr>
        <w:t>老百姓大药房连锁股份有限公司</w:t>
      </w:r>
    </w:p>
    <w:p w14:paraId="062C8E42" w14:textId="07344ABA" w:rsidR="00BF5DE6" w:rsidRDefault="00BF5DE6" w:rsidP="00BF6DE3">
      <w:pPr>
        <w:spacing w:line="360" w:lineRule="auto"/>
        <w:jc w:val="center"/>
        <w:rPr>
          <w:rFonts w:ascii="宋体" w:eastAsia="宋体" w:hAnsi="宋体"/>
          <w:b/>
          <w:bCs/>
          <w:sz w:val="28"/>
          <w:szCs w:val="32"/>
        </w:rPr>
      </w:pPr>
      <w:r>
        <w:rPr>
          <w:rFonts w:ascii="宋体" w:eastAsia="宋体" w:hAnsi="宋体" w:hint="eastAsia"/>
          <w:b/>
          <w:bCs/>
          <w:sz w:val="28"/>
          <w:szCs w:val="32"/>
        </w:rPr>
        <w:t>机构投资者交流活动会议纪要（2</w:t>
      </w:r>
      <w:r>
        <w:rPr>
          <w:rFonts w:ascii="宋体" w:eastAsia="宋体" w:hAnsi="宋体"/>
          <w:b/>
          <w:bCs/>
          <w:sz w:val="28"/>
          <w:szCs w:val="32"/>
        </w:rPr>
        <w:t>023.</w:t>
      </w:r>
      <w:r w:rsidR="00967BF0">
        <w:rPr>
          <w:rFonts w:ascii="宋体" w:eastAsia="宋体" w:hAnsi="宋体"/>
          <w:b/>
          <w:bCs/>
          <w:sz w:val="28"/>
          <w:szCs w:val="32"/>
        </w:rPr>
        <w:t>1</w:t>
      </w:r>
      <w:r w:rsidR="004D72C2">
        <w:rPr>
          <w:rFonts w:ascii="宋体" w:eastAsia="宋体" w:hAnsi="宋体"/>
          <w:b/>
          <w:bCs/>
          <w:sz w:val="28"/>
          <w:szCs w:val="32"/>
        </w:rPr>
        <w:t>2</w:t>
      </w:r>
      <w:r>
        <w:rPr>
          <w:rFonts w:ascii="宋体" w:eastAsia="宋体" w:hAnsi="宋体" w:hint="eastAsia"/>
          <w:b/>
          <w:bCs/>
          <w:sz w:val="28"/>
          <w:szCs w:val="32"/>
        </w:rPr>
        <w:t>）</w:t>
      </w:r>
    </w:p>
    <w:p w14:paraId="1D6670A8" w14:textId="77777777" w:rsidR="001D29E9" w:rsidRPr="00FD493D" w:rsidRDefault="001D29E9" w:rsidP="00BF6DE3">
      <w:pPr>
        <w:spacing w:line="360" w:lineRule="auto"/>
        <w:rPr>
          <w:rFonts w:ascii="宋体" w:eastAsia="宋体" w:hAnsi="宋体"/>
          <w:b/>
          <w:bCs/>
          <w:sz w:val="28"/>
          <w:szCs w:val="28"/>
        </w:rPr>
      </w:pPr>
      <w:r w:rsidRPr="00FD493D">
        <w:rPr>
          <w:rFonts w:ascii="宋体" w:eastAsia="宋体" w:hAnsi="宋体" w:hint="eastAsia"/>
          <w:b/>
          <w:bCs/>
          <w:sz w:val="28"/>
          <w:szCs w:val="28"/>
        </w:rPr>
        <w:t>一、会议情况</w:t>
      </w:r>
      <w:r w:rsidRPr="00FD493D">
        <w:rPr>
          <w:rFonts w:ascii="宋体" w:eastAsia="宋体" w:hAnsi="宋体"/>
          <w:b/>
          <w:bCs/>
          <w:sz w:val="28"/>
          <w:szCs w:val="28"/>
        </w:rPr>
        <w:t xml:space="preserve"> </w:t>
      </w:r>
    </w:p>
    <w:p w14:paraId="61962AFA" w14:textId="79732654" w:rsidR="001D29E9" w:rsidRPr="00FD493D" w:rsidRDefault="001D29E9" w:rsidP="00BF6DE3">
      <w:pPr>
        <w:spacing w:line="360" w:lineRule="auto"/>
        <w:rPr>
          <w:rFonts w:ascii="宋体" w:eastAsia="宋体" w:hAnsi="宋体"/>
          <w:sz w:val="24"/>
          <w:szCs w:val="24"/>
        </w:rPr>
      </w:pPr>
      <w:r w:rsidRPr="00FD493D">
        <w:rPr>
          <w:rFonts w:ascii="宋体" w:eastAsia="宋体" w:hAnsi="宋体" w:hint="eastAsia"/>
          <w:b/>
          <w:bCs/>
          <w:sz w:val="24"/>
          <w:szCs w:val="24"/>
        </w:rPr>
        <w:t>（</w:t>
      </w:r>
      <w:r w:rsidR="00C9419C">
        <w:rPr>
          <w:rFonts w:ascii="宋体" w:eastAsia="宋体" w:hAnsi="宋体" w:hint="eastAsia"/>
          <w:b/>
          <w:bCs/>
          <w:sz w:val="24"/>
          <w:szCs w:val="24"/>
        </w:rPr>
        <w:t>一</w:t>
      </w:r>
      <w:r w:rsidRPr="00FD493D">
        <w:rPr>
          <w:rFonts w:ascii="宋体" w:eastAsia="宋体" w:hAnsi="宋体" w:hint="eastAsia"/>
          <w:b/>
          <w:bCs/>
          <w:sz w:val="24"/>
          <w:szCs w:val="24"/>
        </w:rPr>
        <w:t>）会议时间：</w:t>
      </w:r>
      <w:r w:rsidR="00061099" w:rsidRPr="00FD493D">
        <w:rPr>
          <w:rFonts w:ascii="宋体" w:eastAsia="宋体" w:hAnsi="宋体"/>
          <w:sz w:val="24"/>
          <w:szCs w:val="24"/>
        </w:rPr>
        <w:t>202</w:t>
      </w:r>
      <w:r w:rsidR="00061099">
        <w:rPr>
          <w:rFonts w:ascii="宋体" w:eastAsia="宋体" w:hAnsi="宋体"/>
          <w:sz w:val="24"/>
          <w:szCs w:val="24"/>
        </w:rPr>
        <w:t>3</w:t>
      </w:r>
      <w:r w:rsidRPr="00FD493D">
        <w:rPr>
          <w:rFonts w:ascii="宋体" w:eastAsia="宋体" w:hAnsi="宋体"/>
          <w:sz w:val="24"/>
          <w:szCs w:val="24"/>
        </w:rPr>
        <w:t>年</w:t>
      </w:r>
      <w:r w:rsidR="00967BF0">
        <w:rPr>
          <w:rFonts w:ascii="宋体" w:eastAsia="宋体" w:hAnsi="宋体"/>
          <w:sz w:val="24"/>
          <w:szCs w:val="24"/>
        </w:rPr>
        <w:t>1</w:t>
      </w:r>
      <w:r w:rsidR="004D72C2">
        <w:rPr>
          <w:rFonts w:ascii="宋体" w:eastAsia="宋体" w:hAnsi="宋体"/>
          <w:sz w:val="24"/>
          <w:szCs w:val="24"/>
        </w:rPr>
        <w:t>2</w:t>
      </w:r>
      <w:r w:rsidRPr="00FD493D">
        <w:rPr>
          <w:rFonts w:ascii="宋体" w:eastAsia="宋体" w:hAnsi="宋体"/>
          <w:sz w:val="24"/>
          <w:szCs w:val="24"/>
        </w:rPr>
        <w:t>月</w:t>
      </w:r>
      <w:r w:rsidR="00BF5DE6">
        <w:rPr>
          <w:rFonts w:ascii="宋体" w:eastAsia="宋体" w:hAnsi="宋体" w:hint="eastAsia"/>
          <w:sz w:val="24"/>
          <w:szCs w:val="24"/>
        </w:rPr>
        <w:t>份</w:t>
      </w:r>
    </w:p>
    <w:p w14:paraId="4290B456" w14:textId="689C0C15" w:rsidR="00F34AA8" w:rsidRDefault="001D29E9" w:rsidP="00BF6DE3">
      <w:pPr>
        <w:spacing w:line="360" w:lineRule="auto"/>
        <w:rPr>
          <w:rFonts w:ascii="宋体" w:eastAsia="宋体" w:hAnsi="宋体"/>
          <w:sz w:val="24"/>
          <w:szCs w:val="24"/>
        </w:rPr>
      </w:pPr>
      <w:r w:rsidRPr="00FD493D">
        <w:rPr>
          <w:rFonts w:ascii="宋体" w:eastAsia="宋体" w:hAnsi="宋体" w:hint="eastAsia"/>
          <w:b/>
          <w:bCs/>
          <w:sz w:val="24"/>
          <w:szCs w:val="24"/>
        </w:rPr>
        <w:t>（</w:t>
      </w:r>
      <w:r w:rsidR="0019779E">
        <w:rPr>
          <w:rFonts w:ascii="宋体" w:eastAsia="宋体" w:hAnsi="宋体" w:hint="eastAsia"/>
          <w:b/>
          <w:bCs/>
          <w:sz w:val="24"/>
          <w:szCs w:val="24"/>
        </w:rPr>
        <w:t>二</w:t>
      </w:r>
      <w:r w:rsidRPr="00FD493D">
        <w:rPr>
          <w:rFonts w:ascii="宋体" w:eastAsia="宋体" w:hAnsi="宋体" w:hint="eastAsia"/>
          <w:b/>
          <w:bCs/>
          <w:sz w:val="24"/>
          <w:szCs w:val="24"/>
        </w:rPr>
        <w:t>）会议形式：</w:t>
      </w:r>
      <w:r w:rsidR="00F34AA8">
        <w:rPr>
          <w:rFonts w:ascii="宋体" w:eastAsia="宋体" w:hAnsi="宋体" w:hint="eastAsia"/>
          <w:sz w:val="24"/>
          <w:szCs w:val="24"/>
        </w:rPr>
        <w:t>现场</w:t>
      </w:r>
      <w:r w:rsidR="00967BF0">
        <w:rPr>
          <w:rFonts w:ascii="宋体" w:eastAsia="宋体" w:hAnsi="宋体" w:hint="eastAsia"/>
          <w:sz w:val="24"/>
          <w:szCs w:val="24"/>
        </w:rPr>
        <w:t>/线上</w:t>
      </w:r>
      <w:r w:rsidRPr="00FD493D">
        <w:rPr>
          <w:rFonts w:ascii="宋体" w:eastAsia="宋体" w:hAnsi="宋体" w:hint="eastAsia"/>
          <w:sz w:val="24"/>
          <w:szCs w:val="24"/>
        </w:rPr>
        <w:t>会议</w:t>
      </w:r>
    </w:p>
    <w:p w14:paraId="5E366216" w14:textId="34BE8570" w:rsidR="00F34AA8" w:rsidRPr="00F34AA8" w:rsidRDefault="00F34AA8" w:rsidP="00BF6DE3">
      <w:pPr>
        <w:spacing w:line="360" w:lineRule="auto"/>
        <w:rPr>
          <w:rFonts w:ascii="宋体" w:eastAsia="宋体" w:hAnsi="宋体"/>
          <w:b/>
          <w:bCs/>
          <w:sz w:val="24"/>
          <w:szCs w:val="24"/>
        </w:rPr>
      </w:pPr>
      <w:r w:rsidRPr="00F34AA8">
        <w:rPr>
          <w:rFonts w:ascii="宋体" w:eastAsia="宋体" w:hAnsi="宋体" w:hint="eastAsia"/>
          <w:b/>
          <w:bCs/>
          <w:sz w:val="24"/>
          <w:szCs w:val="24"/>
        </w:rPr>
        <w:t>（三）会议地点：</w:t>
      </w:r>
      <w:r w:rsidRPr="004D72C2">
        <w:rPr>
          <w:rFonts w:ascii="宋体" w:eastAsia="宋体" w:hAnsi="宋体" w:hint="eastAsia"/>
          <w:sz w:val="24"/>
          <w:szCs w:val="24"/>
        </w:rPr>
        <w:t>公司会议室</w:t>
      </w:r>
      <w:r w:rsidR="004D72C2">
        <w:rPr>
          <w:rFonts w:ascii="宋体" w:eastAsia="宋体" w:hAnsi="宋体" w:hint="eastAsia"/>
          <w:sz w:val="24"/>
          <w:szCs w:val="24"/>
        </w:rPr>
        <w:t>/券商策略会</w:t>
      </w:r>
      <w:r w:rsidR="00043451" w:rsidRPr="004D72C2">
        <w:rPr>
          <w:rFonts w:ascii="宋体" w:eastAsia="宋体" w:hAnsi="宋体" w:hint="eastAsia"/>
          <w:sz w:val="24"/>
          <w:szCs w:val="24"/>
        </w:rPr>
        <w:t>/线上会议</w:t>
      </w:r>
      <w:r w:rsidR="004D72C2">
        <w:rPr>
          <w:rFonts w:ascii="宋体" w:eastAsia="宋体" w:hAnsi="宋体" w:hint="eastAsia"/>
          <w:sz w:val="24"/>
          <w:szCs w:val="24"/>
        </w:rPr>
        <w:t>等</w:t>
      </w:r>
    </w:p>
    <w:p w14:paraId="196F5344" w14:textId="2FF68283" w:rsidR="001D29E9" w:rsidRPr="00FD493D" w:rsidRDefault="001D29E9" w:rsidP="00BF6DE3">
      <w:pPr>
        <w:spacing w:line="360" w:lineRule="auto"/>
        <w:rPr>
          <w:rFonts w:ascii="宋体" w:eastAsia="宋体" w:hAnsi="宋体"/>
          <w:b/>
          <w:bCs/>
          <w:sz w:val="24"/>
          <w:szCs w:val="24"/>
        </w:rPr>
      </w:pPr>
      <w:r w:rsidRPr="00FD493D">
        <w:rPr>
          <w:rFonts w:ascii="宋体" w:eastAsia="宋体" w:hAnsi="宋体" w:hint="eastAsia"/>
          <w:b/>
          <w:bCs/>
          <w:sz w:val="24"/>
          <w:szCs w:val="24"/>
        </w:rPr>
        <w:t>（</w:t>
      </w:r>
      <w:r w:rsidR="00F34AA8">
        <w:rPr>
          <w:rFonts w:ascii="宋体" w:eastAsia="宋体" w:hAnsi="宋体" w:hint="eastAsia"/>
          <w:b/>
          <w:bCs/>
          <w:sz w:val="24"/>
          <w:szCs w:val="24"/>
        </w:rPr>
        <w:t>四</w:t>
      </w:r>
      <w:r w:rsidRPr="00FD493D">
        <w:rPr>
          <w:rFonts w:ascii="宋体" w:eastAsia="宋体" w:hAnsi="宋体" w:hint="eastAsia"/>
          <w:b/>
          <w:bCs/>
          <w:sz w:val="24"/>
          <w:szCs w:val="24"/>
        </w:rPr>
        <w:t>）参会人员：</w:t>
      </w:r>
      <w:r w:rsidRPr="00FD493D">
        <w:rPr>
          <w:rFonts w:ascii="宋体" w:eastAsia="宋体" w:hAnsi="宋体"/>
          <w:b/>
          <w:bCs/>
          <w:sz w:val="24"/>
          <w:szCs w:val="24"/>
        </w:rPr>
        <w:t xml:space="preserve"> </w:t>
      </w:r>
    </w:p>
    <w:p w14:paraId="5EDA173E" w14:textId="77777777" w:rsidR="001D29E9" w:rsidRPr="00FD493D" w:rsidRDefault="001D29E9" w:rsidP="00BF6DE3">
      <w:pPr>
        <w:spacing w:line="360" w:lineRule="auto"/>
        <w:rPr>
          <w:rFonts w:ascii="宋体" w:eastAsia="宋体" w:hAnsi="宋体"/>
          <w:b/>
          <w:bCs/>
          <w:sz w:val="24"/>
          <w:szCs w:val="24"/>
        </w:rPr>
      </w:pPr>
      <w:r w:rsidRPr="00FD493D">
        <w:rPr>
          <w:rFonts w:ascii="宋体" w:eastAsia="宋体" w:hAnsi="宋体"/>
          <w:b/>
          <w:bCs/>
          <w:sz w:val="24"/>
          <w:szCs w:val="24"/>
        </w:rPr>
        <w:t xml:space="preserve">1.公司参会人员： </w:t>
      </w:r>
    </w:p>
    <w:p w14:paraId="69F4FB55" w14:textId="3140F994" w:rsidR="004D72C2" w:rsidRDefault="004D72C2" w:rsidP="00BF6DE3">
      <w:pPr>
        <w:spacing w:line="360" w:lineRule="auto"/>
        <w:rPr>
          <w:rFonts w:ascii="宋体" w:eastAsia="宋体" w:hAnsi="宋体"/>
          <w:sz w:val="24"/>
          <w:szCs w:val="24"/>
        </w:rPr>
      </w:pPr>
      <w:r>
        <w:rPr>
          <w:rFonts w:ascii="宋体" w:eastAsia="宋体" w:hAnsi="宋体" w:hint="eastAsia"/>
          <w:sz w:val="24"/>
          <w:szCs w:val="24"/>
        </w:rPr>
        <w:t>总裁 王黎</w:t>
      </w:r>
    </w:p>
    <w:p w14:paraId="5A8F768F" w14:textId="0ADA0B6D" w:rsidR="00CA3823" w:rsidRDefault="00C9419C" w:rsidP="00BF6DE3">
      <w:pPr>
        <w:spacing w:line="360" w:lineRule="auto"/>
        <w:rPr>
          <w:rFonts w:ascii="宋体" w:eastAsia="宋体" w:hAnsi="宋体"/>
          <w:sz w:val="24"/>
          <w:szCs w:val="24"/>
        </w:rPr>
      </w:pPr>
      <w:r>
        <w:rPr>
          <w:rFonts w:ascii="宋体" w:eastAsia="宋体" w:hAnsi="宋体" w:hint="eastAsia"/>
          <w:sz w:val="24"/>
          <w:szCs w:val="24"/>
        </w:rPr>
        <w:t>董事会秘书</w:t>
      </w:r>
      <w:r w:rsidR="001D29E9" w:rsidRPr="00FD493D">
        <w:rPr>
          <w:rFonts w:ascii="宋体" w:eastAsia="宋体" w:hAnsi="宋体"/>
          <w:sz w:val="24"/>
          <w:szCs w:val="24"/>
        </w:rPr>
        <w:t xml:space="preserve"> 冯诗倪</w:t>
      </w:r>
    </w:p>
    <w:p w14:paraId="69513CE9" w14:textId="5E6C0A9A" w:rsidR="00800AEE" w:rsidRDefault="00800AEE" w:rsidP="00BF6DE3">
      <w:pPr>
        <w:spacing w:line="360" w:lineRule="auto"/>
        <w:rPr>
          <w:rFonts w:ascii="宋体" w:eastAsia="宋体" w:hAnsi="宋体"/>
          <w:sz w:val="24"/>
          <w:szCs w:val="24"/>
        </w:rPr>
      </w:pPr>
      <w:r>
        <w:rPr>
          <w:rFonts w:ascii="宋体" w:eastAsia="宋体" w:hAnsi="宋体" w:hint="eastAsia"/>
          <w:sz w:val="24"/>
          <w:szCs w:val="24"/>
        </w:rPr>
        <w:t>证券事务代表 刘</w:t>
      </w:r>
      <w:r w:rsidR="00AD5EF2">
        <w:rPr>
          <w:rFonts w:ascii="宋体" w:eastAsia="宋体" w:hAnsi="宋体" w:hint="eastAsia"/>
          <w:sz w:val="24"/>
          <w:szCs w:val="24"/>
        </w:rPr>
        <w:t>遐迩</w:t>
      </w:r>
    </w:p>
    <w:p w14:paraId="688A7E7B" w14:textId="40997FAE" w:rsidR="00F34AA8" w:rsidRDefault="00F34AA8" w:rsidP="00BF6DE3">
      <w:pPr>
        <w:spacing w:line="360" w:lineRule="auto"/>
        <w:rPr>
          <w:rFonts w:ascii="宋体" w:eastAsia="宋体" w:hAnsi="宋体"/>
          <w:sz w:val="24"/>
          <w:szCs w:val="24"/>
        </w:rPr>
      </w:pPr>
      <w:r>
        <w:rPr>
          <w:rFonts w:ascii="宋体" w:eastAsia="宋体" w:hAnsi="宋体" w:hint="eastAsia"/>
          <w:sz w:val="24"/>
          <w:szCs w:val="24"/>
        </w:rPr>
        <w:t>投资者关系经理 何林峄</w:t>
      </w:r>
    </w:p>
    <w:p w14:paraId="798EFE75" w14:textId="7BCE6A45" w:rsidR="001D29E9" w:rsidRDefault="001D29E9" w:rsidP="00BF6DE3">
      <w:pPr>
        <w:spacing w:line="360" w:lineRule="auto"/>
        <w:rPr>
          <w:rFonts w:ascii="宋体" w:eastAsia="宋体" w:hAnsi="宋体"/>
          <w:b/>
          <w:bCs/>
          <w:sz w:val="24"/>
          <w:szCs w:val="24"/>
        </w:rPr>
      </w:pPr>
      <w:r w:rsidRPr="00FD493D">
        <w:rPr>
          <w:rFonts w:ascii="宋体" w:eastAsia="宋体" w:hAnsi="宋体"/>
          <w:b/>
          <w:bCs/>
          <w:sz w:val="24"/>
          <w:szCs w:val="24"/>
        </w:rPr>
        <w:t xml:space="preserve">2.机构参会人员： </w:t>
      </w:r>
    </w:p>
    <w:p w14:paraId="124DE0E0" w14:textId="37FC40E1" w:rsidR="008E157E" w:rsidRPr="003220B0" w:rsidRDefault="009B5762" w:rsidP="00967BF0">
      <w:pPr>
        <w:spacing w:line="360" w:lineRule="auto"/>
        <w:ind w:firstLine="39"/>
        <w:rPr>
          <w:rFonts w:ascii="宋体" w:eastAsia="宋体" w:hAnsi="宋体"/>
          <w:sz w:val="24"/>
          <w:szCs w:val="24"/>
        </w:rPr>
      </w:pPr>
      <w:r w:rsidRPr="009B5762">
        <w:rPr>
          <w:rFonts w:ascii="宋体" w:eastAsia="宋体" w:hAnsi="宋体" w:hint="eastAsia"/>
          <w:sz w:val="24"/>
          <w:szCs w:val="24"/>
        </w:rPr>
        <w:t>海通证券、中信建投</w:t>
      </w:r>
      <w:r>
        <w:rPr>
          <w:rFonts w:ascii="宋体" w:eastAsia="宋体" w:hAnsi="宋体" w:hint="eastAsia"/>
          <w:sz w:val="24"/>
          <w:szCs w:val="24"/>
        </w:rPr>
        <w:t>证券</w:t>
      </w:r>
      <w:r w:rsidRPr="009B5762">
        <w:rPr>
          <w:rFonts w:ascii="宋体" w:eastAsia="宋体" w:hAnsi="宋体" w:hint="eastAsia"/>
          <w:sz w:val="24"/>
          <w:szCs w:val="24"/>
        </w:rPr>
        <w:t>、国金证券、招商证券、</w:t>
      </w:r>
      <w:r w:rsidR="0064348A">
        <w:rPr>
          <w:rFonts w:ascii="宋体" w:eastAsia="宋体" w:hAnsi="宋体" w:hint="eastAsia"/>
          <w:sz w:val="24"/>
          <w:szCs w:val="24"/>
        </w:rPr>
        <w:t>国泰君安、</w:t>
      </w:r>
      <w:r w:rsidRPr="009B5762">
        <w:rPr>
          <w:rFonts w:ascii="宋体" w:eastAsia="宋体" w:hAnsi="宋体" w:hint="eastAsia"/>
          <w:sz w:val="24"/>
          <w:szCs w:val="24"/>
        </w:rPr>
        <w:t>东北证券、华创证券、安信证券、华安证券、太平洋证券、</w:t>
      </w:r>
      <w:r w:rsidR="0064348A">
        <w:rPr>
          <w:rFonts w:ascii="宋体" w:eastAsia="宋体" w:hAnsi="宋体" w:hint="eastAsia"/>
          <w:sz w:val="24"/>
          <w:szCs w:val="24"/>
        </w:rPr>
        <w:t>东方证券、中银国际证券、山西证券、华龙证券、长江证券、</w:t>
      </w:r>
      <w:r w:rsidR="00224C8F">
        <w:rPr>
          <w:rFonts w:ascii="宋体" w:eastAsia="宋体" w:hAnsi="宋体" w:hint="eastAsia"/>
          <w:sz w:val="24"/>
          <w:szCs w:val="24"/>
        </w:rPr>
        <w:t>林芝</w:t>
      </w:r>
      <w:r w:rsidRPr="009B5762">
        <w:rPr>
          <w:rFonts w:ascii="宋体" w:eastAsia="宋体" w:hAnsi="宋体" w:hint="eastAsia"/>
          <w:sz w:val="24"/>
          <w:szCs w:val="24"/>
        </w:rPr>
        <w:t>腾讯、淡水泉、中信资管、华泰保鑫、君和资本、景顺长城基金、财通资管、远信资本、中欧基金、</w:t>
      </w:r>
      <w:r w:rsidR="008D435E" w:rsidRPr="009B5762">
        <w:rPr>
          <w:rFonts w:ascii="宋体" w:eastAsia="宋体" w:hAnsi="宋体" w:hint="eastAsia"/>
          <w:sz w:val="24"/>
          <w:szCs w:val="24"/>
        </w:rPr>
        <w:t>博时基金、</w:t>
      </w:r>
      <w:r w:rsidRPr="009B5762">
        <w:rPr>
          <w:rFonts w:ascii="宋体" w:eastAsia="宋体" w:hAnsi="宋体" w:hint="eastAsia"/>
          <w:sz w:val="24"/>
          <w:szCs w:val="24"/>
        </w:rPr>
        <w:t>万家基金、南方基金、中信建投基金、泰康基金、泰康资管、</w:t>
      </w:r>
      <w:r w:rsidR="008D435E" w:rsidRPr="009B5762">
        <w:rPr>
          <w:rFonts w:ascii="宋体" w:eastAsia="宋体" w:hAnsi="宋体" w:hint="eastAsia"/>
          <w:sz w:val="24"/>
          <w:szCs w:val="24"/>
        </w:rPr>
        <w:t>奶酪基金、</w:t>
      </w:r>
      <w:r w:rsidR="0064348A" w:rsidRPr="0064348A">
        <w:rPr>
          <w:rFonts w:ascii="宋体" w:eastAsia="宋体" w:hAnsi="宋体" w:hint="eastAsia"/>
          <w:sz w:val="24"/>
          <w:szCs w:val="24"/>
        </w:rPr>
        <w:t>农银人寿</w:t>
      </w:r>
      <w:r w:rsidR="0064348A">
        <w:rPr>
          <w:rFonts w:ascii="宋体" w:eastAsia="宋体" w:hAnsi="宋体" w:hint="eastAsia"/>
          <w:sz w:val="24"/>
          <w:szCs w:val="24"/>
        </w:rPr>
        <w:t>、</w:t>
      </w:r>
      <w:r w:rsidR="0064348A" w:rsidRPr="0064348A">
        <w:rPr>
          <w:rFonts w:ascii="宋体" w:eastAsia="宋体" w:hAnsi="宋体" w:hint="eastAsia"/>
          <w:sz w:val="24"/>
          <w:szCs w:val="24"/>
        </w:rPr>
        <w:t>红杉医药</w:t>
      </w:r>
      <w:r w:rsidR="0064348A">
        <w:rPr>
          <w:rFonts w:ascii="宋体" w:eastAsia="宋体" w:hAnsi="宋体" w:hint="eastAsia"/>
          <w:sz w:val="24"/>
          <w:szCs w:val="24"/>
        </w:rPr>
        <w:t>、</w:t>
      </w:r>
      <w:r w:rsidRPr="009B5762">
        <w:rPr>
          <w:rFonts w:ascii="宋体" w:eastAsia="宋体" w:hAnsi="宋体" w:hint="eastAsia"/>
          <w:sz w:val="24"/>
          <w:szCs w:val="24"/>
        </w:rPr>
        <w:t>建安实业、雪石资产、华宝基金、</w:t>
      </w:r>
      <w:r w:rsidR="0064348A">
        <w:rPr>
          <w:rFonts w:ascii="宋体" w:eastAsia="宋体" w:hAnsi="宋体" w:hint="eastAsia"/>
          <w:sz w:val="24"/>
          <w:szCs w:val="24"/>
        </w:rPr>
        <w:t>嘉实基金、富国基金、</w:t>
      </w:r>
      <w:r w:rsidR="004C1EC6">
        <w:rPr>
          <w:rFonts w:ascii="宋体" w:eastAsia="宋体" w:hAnsi="宋体" w:hint="eastAsia"/>
          <w:sz w:val="24"/>
          <w:szCs w:val="24"/>
        </w:rPr>
        <w:t>太平洋资产、</w:t>
      </w:r>
      <w:r w:rsidR="00581DBB">
        <w:rPr>
          <w:rFonts w:ascii="宋体" w:eastAsia="宋体" w:hAnsi="宋体" w:hint="eastAsia"/>
          <w:sz w:val="24"/>
          <w:szCs w:val="24"/>
        </w:rPr>
        <w:t>中银国际资管、</w:t>
      </w:r>
      <w:r w:rsidRPr="009B5762">
        <w:rPr>
          <w:rFonts w:ascii="宋体" w:eastAsia="宋体" w:hAnsi="宋体" w:hint="eastAsia"/>
          <w:sz w:val="24"/>
          <w:szCs w:val="24"/>
        </w:rPr>
        <w:t>东方红资管、德邦基金、汇丰晋信、信诚基金、金信基金、长江养老、太平资产、招银理财、兴业基金、中信建管、</w:t>
      </w:r>
      <w:r w:rsidR="0064348A" w:rsidRPr="0064348A">
        <w:rPr>
          <w:rFonts w:ascii="宋体" w:eastAsia="宋体" w:hAnsi="宋体" w:hint="eastAsia"/>
          <w:sz w:val="24"/>
          <w:szCs w:val="24"/>
        </w:rPr>
        <w:t>中国人保</w:t>
      </w:r>
      <w:r w:rsidR="0064348A">
        <w:rPr>
          <w:rFonts w:ascii="宋体" w:eastAsia="宋体" w:hAnsi="宋体" w:hint="eastAsia"/>
          <w:sz w:val="24"/>
          <w:szCs w:val="24"/>
        </w:rPr>
        <w:t>、</w:t>
      </w:r>
      <w:r w:rsidRPr="009B5762">
        <w:rPr>
          <w:rFonts w:ascii="宋体" w:eastAsia="宋体" w:hAnsi="宋体" w:hint="eastAsia"/>
          <w:sz w:val="24"/>
          <w:szCs w:val="24"/>
        </w:rPr>
        <w:t>中信保诚、农银</w:t>
      </w:r>
      <w:r w:rsidR="008F4545" w:rsidRPr="008F4545">
        <w:rPr>
          <w:rFonts w:ascii="宋体" w:eastAsia="宋体" w:hAnsi="宋体" w:hint="eastAsia"/>
          <w:sz w:val="24"/>
          <w:szCs w:val="24"/>
        </w:rPr>
        <w:t>汇理</w:t>
      </w:r>
      <w:r w:rsidRPr="009B5762">
        <w:rPr>
          <w:rFonts w:ascii="宋体" w:eastAsia="宋体" w:hAnsi="宋体" w:hint="eastAsia"/>
          <w:sz w:val="24"/>
          <w:szCs w:val="24"/>
        </w:rPr>
        <w:t>、宁银理财、</w:t>
      </w:r>
      <w:r w:rsidR="008F4545">
        <w:rPr>
          <w:rFonts w:ascii="宋体" w:eastAsia="宋体" w:hAnsi="宋体" w:hint="eastAsia"/>
          <w:sz w:val="24"/>
          <w:szCs w:val="24"/>
        </w:rPr>
        <w:t>东海基金、</w:t>
      </w:r>
      <w:r w:rsidRPr="009B5762">
        <w:rPr>
          <w:rFonts w:ascii="宋体" w:eastAsia="宋体" w:hAnsi="宋体" w:hint="eastAsia"/>
          <w:sz w:val="24"/>
          <w:szCs w:val="24"/>
        </w:rPr>
        <w:t>大华信安、恒昇基金、红土创新基金、新华基金、华创自营、东方马拉松、安信资管、凯丰投资、信宁投资、翎展投资、景泰利丰、玄元投资、</w:t>
      </w:r>
      <w:r w:rsidR="0064348A" w:rsidRPr="0064348A">
        <w:rPr>
          <w:rFonts w:ascii="宋体" w:eastAsia="宋体" w:hAnsi="宋体" w:hint="eastAsia"/>
          <w:sz w:val="24"/>
          <w:szCs w:val="24"/>
        </w:rPr>
        <w:t>上汽颀臻</w:t>
      </w:r>
      <w:r w:rsidR="0064348A">
        <w:rPr>
          <w:rFonts w:ascii="宋体" w:eastAsia="宋体" w:hAnsi="宋体" w:hint="eastAsia"/>
          <w:sz w:val="24"/>
          <w:szCs w:val="24"/>
        </w:rPr>
        <w:t>、</w:t>
      </w:r>
      <w:r w:rsidRPr="009B5762">
        <w:rPr>
          <w:rFonts w:ascii="宋体" w:eastAsia="宋体" w:hAnsi="宋体" w:hint="eastAsia"/>
          <w:sz w:val="24"/>
          <w:szCs w:val="24"/>
        </w:rPr>
        <w:t>圆石投资、中科招商集团、信持力、瑞业资管、茂典资产、</w:t>
      </w:r>
      <w:r w:rsidR="0064348A" w:rsidRPr="0064348A">
        <w:rPr>
          <w:rFonts w:ascii="宋体" w:eastAsia="宋体" w:hAnsi="宋体" w:hint="eastAsia"/>
          <w:sz w:val="24"/>
          <w:szCs w:val="24"/>
        </w:rPr>
        <w:t>金元顺安</w:t>
      </w:r>
      <w:r w:rsidR="0064348A">
        <w:rPr>
          <w:rFonts w:ascii="宋体" w:eastAsia="宋体" w:hAnsi="宋体" w:hint="eastAsia"/>
          <w:sz w:val="24"/>
          <w:szCs w:val="24"/>
        </w:rPr>
        <w:t>、</w:t>
      </w:r>
      <w:r w:rsidR="0064348A" w:rsidRPr="0064348A">
        <w:rPr>
          <w:rFonts w:ascii="宋体" w:eastAsia="宋体" w:hAnsi="宋体" w:hint="eastAsia"/>
          <w:sz w:val="24"/>
          <w:szCs w:val="24"/>
        </w:rPr>
        <w:t>峰岚资产</w:t>
      </w:r>
      <w:r w:rsidR="0064348A">
        <w:rPr>
          <w:rFonts w:ascii="宋体" w:eastAsia="宋体" w:hAnsi="宋体" w:hint="eastAsia"/>
          <w:sz w:val="24"/>
          <w:szCs w:val="24"/>
        </w:rPr>
        <w:t>、</w:t>
      </w:r>
      <w:r w:rsidR="0064348A" w:rsidRPr="0064348A">
        <w:rPr>
          <w:rFonts w:ascii="宋体" w:eastAsia="宋体" w:hAnsi="宋体" w:hint="eastAsia"/>
          <w:sz w:val="24"/>
          <w:szCs w:val="24"/>
        </w:rPr>
        <w:t>东方阿尔法</w:t>
      </w:r>
      <w:r w:rsidR="0064348A">
        <w:rPr>
          <w:rFonts w:ascii="宋体" w:eastAsia="宋体" w:hAnsi="宋体" w:hint="eastAsia"/>
          <w:sz w:val="24"/>
          <w:szCs w:val="24"/>
        </w:rPr>
        <w:t>、</w:t>
      </w:r>
      <w:r w:rsidRPr="009B5762">
        <w:rPr>
          <w:rFonts w:ascii="宋体" w:eastAsia="宋体" w:hAnsi="宋体" w:hint="eastAsia"/>
          <w:sz w:val="24"/>
          <w:szCs w:val="24"/>
        </w:rPr>
        <w:t>惠通基金、深圳茂源、磐鑫资本、远望角投资、</w:t>
      </w:r>
      <w:r w:rsidR="0064348A" w:rsidRPr="0064348A">
        <w:rPr>
          <w:rFonts w:ascii="宋体" w:eastAsia="宋体" w:hAnsi="宋体" w:hint="eastAsia"/>
          <w:sz w:val="24"/>
          <w:szCs w:val="24"/>
        </w:rPr>
        <w:t>瀚川投资</w:t>
      </w:r>
      <w:r w:rsidR="0064348A">
        <w:rPr>
          <w:rFonts w:ascii="宋体" w:eastAsia="宋体" w:hAnsi="宋体" w:hint="eastAsia"/>
          <w:sz w:val="24"/>
          <w:szCs w:val="24"/>
        </w:rPr>
        <w:t>、</w:t>
      </w:r>
      <w:r w:rsidRPr="009B5762">
        <w:rPr>
          <w:rFonts w:ascii="宋体" w:eastAsia="宋体" w:hAnsi="宋体" w:hint="eastAsia"/>
          <w:sz w:val="24"/>
          <w:szCs w:val="24"/>
        </w:rPr>
        <w:t>泾溪投资、澳门国际银行、前海云溪</w:t>
      </w:r>
      <w:r w:rsidR="0064348A">
        <w:rPr>
          <w:rFonts w:ascii="宋体" w:eastAsia="宋体" w:hAnsi="宋体" w:hint="eastAsia"/>
          <w:sz w:val="24"/>
          <w:szCs w:val="24"/>
        </w:rPr>
        <w:t>、</w:t>
      </w:r>
      <w:proofErr w:type="spellStart"/>
      <w:r w:rsidR="0064348A" w:rsidRPr="0064348A">
        <w:rPr>
          <w:rFonts w:ascii="宋体" w:eastAsia="宋体" w:hAnsi="宋体"/>
          <w:sz w:val="24"/>
          <w:szCs w:val="24"/>
        </w:rPr>
        <w:t>Aihc</w:t>
      </w:r>
      <w:proofErr w:type="spellEnd"/>
      <w:r w:rsidR="0064348A" w:rsidRPr="0064348A">
        <w:rPr>
          <w:rFonts w:ascii="宋体" w:eastAsia="宋体" w:hAnsi="宋体"/>
          <w:sz w:val="24"/>
          <w:szCs w:val="24"/>
        </w:rPr>
        <w:t>资本</w:t>
      </w:r>
      <w:r w:rsidR="0064348A">
        <w:rPr>
          <w:rFonts w:ascii="宋体" w:eastAsia="宋体" w:hAnsi="宋体" w:hint="eastAsia"/>
          <w:sz w:val="24"/>
          <w:szCs w:val="24"/>
        </w:rPr>
        <w:t>、</w:t>
      </w:r>
      <w:r w:rsidR="0064348A" w:rsidRPr="0064348A">
        <w:rPr>
          <w:rFonts w:ascii="宋体" w:eastAsia="宋体" w:hAnsi="宋体" w:hint="eastAsia"/>
          <w:sz w:val="24"/>
          <w:szCs w:val="24"/>
        </w:rPr>
        <w:t>荷宝投资</w:t>
      </w:r>
      <w:proofErr w:type="spellStart"/>
      <w:r w:rsidR="0064348A" w:rsidRPr="0064348A">
        <w:rPr>
          <w:rFonts w:ascii="宋体" w:eastAsia="宋体" w:hAnsi="宋体"/>
          <w:sz w:val="24"/>
          <w:szCs w:val="24"/>
        </w:rPr>
        <w:t>Robeco</w:t>
      </w:r>
      <w:proofErr w:type="spellEnd"/>
      <w:r w:rsidR="0064348A">
        <w:rPr>
          <w:rFonts w:ascii="宋体" w:eastAsia="宋体" w:hAnsi="宋体" w:hint="eastAsia"/>
          <w:sz w:val="24"/>
          <w:szCs w:val="24"/>
        </w:rPr>
        <w:t>、</w:t>
      </w:r>
      <w:r w:rsidR="0064348A" w:rsidRPr="0064348A">
        <w:rPr>
          <w:rFonts w:ascii="宋体" w:eastAsia="宋体" w:hAnsi="宋体"/>
          <w:sz w:val="24"/>
          <w:szCs w:val="24"/>
        </w:rPr>
        <w:t xml:space="preserve">Loyal Valley </w:t>
      </w:r>
      <w:r w:rsidR="0064348A" w:rsidRPr="0064348A">
        <w:rPr>
          <w:rFonts w:ascii="宋体" w:eastAsia="宋体" w:hAnsi="宋体"/>
          <w:sz w:val="24"/>
          <w:szCs w:val="24"/>
        </w:rPr>
        <w:lastRenderedPageBreak/>
        <w:t>Capital Group</w:t>
      </w:r>
      <w:r w:rsidR="0064348A">
        <w:rPr>
          <w:rFonts w:ascii="宋体" w:eastAsia="宋体" w:hAnsi="宋体" w:hint="eastAsia"/>
          <w:sz w:val="24"/>
          <w:szCs w:val="24"/>
        </w:rPr>
        <w:t>、</w:t>
      </w:r>
      <w:proofErr w:type="spellStart"/>
      <w:r w:rsidR="0064348A" w:rsidRPr="0064348A">
        <w:rPr>
          <w:rFonts w:ascii="宋体" w:eastAsia="宋体" w:hAnsi="宋体"/>
          <w:sz w:val="24"/>
          <w:szCs w:val="24"/>
        </w:rPr>
        <w:t>PinPoint</w:t>
      </w:r>
      <w:proofErr w:type="spellEnd"/>
      <w:r w:rsidR="0064348A" w:rsidRPr="0064348A">
        <w:rPr>
          <w:rFonts w:ascii="宋体" w:eastAsia="宋体" w:hAnsi="宋体"/>
          <w:sz w:val="24"/>
          <w:szCs w:val="24"/>
        </w:rPr>
        <w:t xml:space="preserve"> Group</w:t>
      </w:r>
      <w:r w:rsidR="0064348A">
        <w:rPr>
          <w:rFonts w:ascii="宋体" w:eastAsia="宋体" w:hAnsi="宋体" w:hint="eastAsia"/>
          <w:sz w:val="24"/>
          <w:szCs w:val="24"/>
        </w:rPr>
        <w:t>、</w:t>
      </w:r>
      <w:r w:rsidR="0064348A" w:rsidRPr="0064348A">
        <w:rPr>
          <w:rFonts w:ascii="宋体" w:eastAsia="宋体" w:hAnsi="宋体"/>
          <w:sz w:val="24"/>
          <w:szCs w:val="24"/>
        </w:rPr>
        <w:t>Value Partners Group</w:t>
      </w:r>
      <w:r w:rsidR="0064348A">
        <w:rPr>
          <w:rFonts w:ascii="宋体" w:eastAsia="宋体" w:hAnsi="宋体" w:hint="eastAsia"/>
          <w:sz w:val="24"/>
          <w:szCs w:val="24"/>
        </w:rPr>
        <w:t>、</w:t>
      </w:r>
      <w:r w:rsidR="0064348A" w:rsidRPr="0064348A">
        <w:rPr>
          <w:rFonts w:ascii="宋体" w:eastAsia="宋体" w:hAnsi="宋体"/>
          <w:sz w:val="24"/>
          <w:szCs w:val="24"/>
        </w:rPr>
        <w:t>Power Sustainable</w:t>
      </w:r>
      <w:r w:rsidR="0064348A">
        <w:rPr>
          <w:rFonts w:ascii="宋体" w:eastAsia="宋体" w:hAnsi="宋体" w:hint="eastAsia"/>
          <w:sz w:val="24"/>
          <w:szCs w:val="24"/>
        </w:rPr>
        <w:t>、</w:t>
      </w:r>
      <w:r w:rsidR="0064348A" w:rsidRPr="0064348A">
        <w:rPr>
          <w:rFonts w:ascii="宋体" w:eastAsia="宋体" w:hAnsi="宋体"/>
          <w:sz w:val="24"/>
          <w:szCs w:val="24"/>
        </w:rPr>
        <w:t>Lake Bleu Capital</w:t>
      </w:r>
      <w:r w:rsidR="00217511" w:rsidRPr="009B5762">
        <w:rPr>
          <w:rFonts w:ascii="宋体" w:eastAsia="宋体" w:hAnsi="宋体"/>
          <w:sz w:val="24"/>
          <w:szCs w:val="24"/>
        </w:rPr>
        <w:t>等机构的</w:t>
      </w:r>
      <w:r w:rsidR="006658C3">
        <w:rPr>
          <w:rFonts w:ascii="宋体" w:eastAsia="宋体" w:hAnsi="宋体"/>
          <w:sz w:val="24"/>
          <w:szCs w:val="24"/>
        </w:rPr>
        <w:t>115</w:t>
      </w:r>
      <w:r w:rsidR="00217511" w:rsidRPr="009B5762">
        <w:rPr>
          <w:rFonts w:ascii="宋体" w:eastAsia="宋体" w:hAnsi="宋体"/>
          <w:sz w:val="24"/>
          <w:szCs w:val="24"/>
        </w:rPr>
        <w:t>位投资者。</w:t>
      </w:r>
    </w:p>
    <w:p w14:paraId="739C2005" w14:textId="386EEB83" w:rsidR="00CA3823" w:rsidRDefault="00CA3823" w:rsidP="00BF6DE3">
      <w:pPr>
        <w:spacing w:line="360" w:lineRule="auto"/>
        <w:ind w:firstLine="39"/>
        <w:rPr>
          <w:rFonts w:ascii="宋体" w:eastAsia="宋体" w:hAnsi="宋体"/>
          <w:b/>
          <w:bCs/>
          <w:sz w:val="28"/>
          <w:szCs w:val="28"/>
        </w:rPr>
      </w:pPr>
      <w:r w:rsidRPr="0096461A">
        <w:rPr>
          <w:rFonts w:ascii="宋体" w:eastAsia="宋体" w:hAnsi="宋体"/>
          <w:b/>
          <w:bCs/>
          <w:sz w:val="28"/>
          <w:szCs w:val="28"/>
        </w:rPr>
        <w:t xml:space="preserve">二、主要内容 </w:t>
      </w:r>
    </w:p>
    <w:p w14:paraId="6B44E968" w14:textId="626884B9" w:rsidR="00CD2E53" w:rsidRDefault="00F34AA8" w:rsidP="00BF6DE3">
      <w:pPr>
        <w:spacing w:line="360" w:lineRule="auto"/>
        <w:rPr>
          <w:rFonts w:ascii="宋体" w:eastAsia="宋体" w:hAnsi="宋体"/>
          <w:b/>
          <w:bCs/>
          <w:sz w:val="24"/>
          <w:szCs w:val="24"/>
        </w:rPr>
      </w:pPr>
      <w:r>
        <w:rPr>
          <w:rFonts w:ascii="宋体" w:eastAsia="宋体" w:hAnsi="宋体" w:hint="eastAsia"/>
          <w:b/>
          <w:bCs/>
          <w:sz w:val="24"/>
          <w:szCs w:val="24"/>
        </w:rPr>
        <w:t>投资者提问</w:t>
      </w:r>
    </w:p>
    <w:p w14:paraId="7B5332DF" w14:textId="34E8C379" w:rsidR="00E80E4D" w:rsidRPr="00E80E4D" w:rsidRDefault="00E80E4D" w:rsidP="00E80E4D">
      <w:pPr>
        <w:spacing w:line="360" w:lineRule="auto"/>
        <w:ind w:firstLineChars="200" w:firstLine="482"/>
        <w:rPr>
          <w:rFonts w:ascii="宋体" w:eastAsia="宋体" w:hAnsi="宋体"/>
          <w:sz w:val="24"/>
          <w:szCs w:val="24"/>
        </w:rPr>
      </w:pPr>
      <w:r w:rsidRPr="009B5D87">
        <w:rPr>
          <w:rFonts w:ascii="宋体" w:eastAsia="宋体" w:hAnsi="宋体" w:hint="eastAsia"/>
          <w:b/>
          <w:bCs/>
          <w:sz w:val="24"/>
          <w:szCs w:val="24"/>
        </w:rPr>
        <w:t>问题</w:t>
      </w:r>
      <w:r>
        <w:rPr>
          <w:rFonts w:ascii="宋体" w:eastAsia="宋体" w:hAnsi="宋体"/>
          <w:b/>
          <w:bCs/>
          <w:sz w:val="24"/>
          <w:szCs w:val="24"/>
        </w:rPr>
        <w:t>1</w:t>
      </w:r>
      <w:r w:rsidRPr="009B5D87">
        <w:rPr>
          <w:rFonts w:ascii="宋体" w:eastAsia="宋体" w:hAnsi="宋体" w:hint="eastAsia"/>
          <w:b/>
          <w:bCs/>
          <w:sz w:val="24"/>
          <w:szCs w:val="24"/>
        </w:rPr>
        <w:t>：</w:t>
      </w:r>
      <w:r w:rsidRPr="00E80E4D">
        <w:rPr>
          <w:rFonts w:ascii="宋体" w:eastAsia="宋体" w:hAnsi="宋体"/>
          <w:sz w:val="24"/>
          <w:szCs w:val="24"/>
        </w:rPr>
        <w:t>门诊统筹政策的落地进度如何?对公司经营情况有何影响？</w:t>
      </w:r>
    </w:p>
    <w:p w14:paraId="41D39DAE" w14:textId="6AFA8CBE" w:rsidR="00E80E4D" w:rsidRPr="00E80E4D" w:rsidRDefault="00E80E4D" w:rsidP="00E80E4D">
      <w:pPr>
        <w:spacing w:line="360" w:lineRule="auto"/>
        <w:ind w:firstLineChars="200" w:firstLine="480"/>
        <w:rPr>
          <w:rFonts w:ascii="宋体" w:eastAsia="宋体" w:hAnsi="宋体"/>
          <w:sz w:val="24"/>
          <w:szCs w:val="24"/>
        </w:rPr>
      </w:pPr>
      <w:r w:rsidRPr="0097469D">
        <w:rPr>
          <w:rFonts w:ascii="宋体" w:eastAsia="宋体" w:hAnsi="宋体" w:hint="eastAsia"/>
          <w:sz w:val="24"/>
          <w:szCs w:val="24"/>
        </w:rPr>
        <w:t>回答</w:t>
      </w:r>
      <w:r w:rsidRPr="00E80E4D">
        <w:rPr>
          <w:rFonts w:ascii="宋体" w:eastAsia="宋体" w:hAnsi="宋体" w:hint="eastAsia"/>
          <w:sz w:val="24"/>
          <w:szCs w:val="24"/>
        </w:rPr>
        <w:t>：截至</w:t>
      </w:r>
      <w:r w:rsidRPr="00E80E4D">
        <w:rPr>
          <w:rFonts w:ascii="宋体" w:eastAsia="宋体" w:hAnsi="宋体"/>
          <w:sz w:val="24"/>
          <w:szCs w:val="24"/>
        </w:rPr>
        <w:t>2023年9月30日，公司覆盖的20个省份中，公司门诊统筹政策已落地14个省份，全国</w:t>
      </w:r>
      <w:r w:rsidR="00C4150F">
        <w:rPr>
          <w:rFonts w:ascii="宋体" w:eastAsia="宋体" w:hAnsi="宋体" w:hint="eastAsia"/>
          <w:sz w:val="24"/>
          <w:szCs w:val="24"/>
        </w:rPr>
        <w:t>纳入门诊统且可使用互联网处方的</w:t>
      </w:r>
      <w:r w:rsidRPr="00E80E4D">
        <w:rPr>
          <w:rFonts w:ascii="宋体" w:eastAsia="宋体" w:hAnsi="宋体"/>
          <w:sz w:val="24"/>
          <w:szCs w:val="24"/>
        </w:rPr>
        <w:t>门店数总计2,893家，占公司总门店数的22.14%，门诊统筹政策对药房的放开主要有以下几个方面的影响:</w:t>
      </w:r>
    </w:p>
    <w:p w14:paraId="6E550209" w14:textId="61A2E65E" w:rsidR="00E80E4D" w:rsidRPr="00E80E4D" w:rsidRDefault="00E80E4D" w:rsidP="00E80E4D">
      <w:pPr>
        <w:spacing w:line="360" w:lineRule="auto"/>
        <w:ind w:firstLineChars="200" w:firstLine="480"/>
        <w:rPr>
          <w:rFonts w:ascii="宋体" w:eastAsia="宋体" w:hAnsi="宋体"/>
          <w:sz w:val="24"/>
          <w:szCs w:val="24"/>
        </w:rPr>
      </w:pPr>
      <w:r w:rsidRPr="00E80E4D">
        <w:rPr>
          <w:rFonts w:ascii="宋体" w:eastAsia="宋体" w:hAnsi="宋体" w:hint="eastAsia"/>
          <w:sz w:val="24"/>
          <w:szCs w:val="24"/>
        </w:rPr>
        <w:t>第一，从目前公司落地统筹门店数据来看</w:t>
      </w:r>
      <w:r w:rsidRPr="00E80E4D">
        <w:rPr>
          <w:rFonts w:ascii="宋体" w:eastAsia="宋体" w:hAnsi="宋体"/>
          <w:sz w:val="24"/>
          <w:szCs w:val="24"/>
        </w:rPr>
        <w:t>,</w:t>
      </w:r>
      <w:r w:rsidR="00196FD3">
        <w:rPr>
          <w:rFonts w:ascii="宋体" w:eastAsia="宋体" w:hAnsi="宋体" w:hint="eastAsia"/>
          <w:sz w:val="24"/>
          <w:szCs w:val="24"/>
        </w:rPr>
        <w:t>上述</w:t>
      </w:r>
      <w:r w:rsidRPr="00E80E4D">
        <w:rPr>
          <w:rFonts w:ascii="宋体" w:eastAsia="宋体" w:hAnsi="宋体"/>
          <w:sz w:val="24"/>
          <w:szCs w:val="24"/>
        </w:rPr>
        <w:t>已纳入门诊统筹管理的零售药店在来客数和销售额方面均有较为明显的提升。</w:t>
      </w:r>
    </w:p>
    <w:p w14:paraId="4E3C0DB4" w14:textId="77777777" w:rsidR="00E80E4D" w:rsidRPr="00E80E4D" w:rsidRDefault="00E80E4D" w:rsidP="00E80E4D">
      <w:pPr>
        <w:spacing w:line="360" w:lineRule="auto"/>
        <w:ind w:firstLineChars="200" w:firstLine="480"/>
        <w:rPr>
          <w:rFonts w:ascii="宋体" w:eastAsia="宋体" w:hAnsi="宋体"/>
          <w:sz w:val="24"/>
          <w:szCs w:val="24"/>
        </w:rPr>
      </w:pPr>
      <w:r w:rsidRPr="00E80E4D">
        <w:rPr>
          <w:rFonts w:ascii="宋体" w:eastAsia="宋体" w:hAnsi="宋体" w:hint="eastAsia"/>
          <w:sz w:val="24"/>
          <w:szCs w:val="24"/>
        </w:rPr>
        <w:t>第二，长期来看门诊统筹落地有助于推动处方外流。政策积极支持定点零售药店开通门诊统筹服务、完善定点药店门诊统筹支付政策、明确定点零售药店纳入门诊统筹的配套政策，这是对处方流转、医药分业实质性的推动。</w:t>
      </w:r>
    </w:p>
    <w:p w14:paraId="1504C215" w14:textId="01913AC0" w:rsidR="00E80E4D" w:rsidRPr="00566B0E" w:rsidRDefault="00E80E4D" w:rsidP="00E80E4D">
      <w:pPr>
        <w:spacing w:line="360" w:lineRule="auto"/>
        <w:ind w:firstLineChars="200" w:firstLine="480"/>
        <w:rPr>
          <w:rFonts w:ascii="宋体" w:eastAsia="宋体" w:hAnsi="宋体"/>
          <w:sz w:val="24"/>
          <w:szCs w:val="24"/>
        </w:rPr>
      </w:pPr>
      <w:r w:rsidRPr="00E80E4D">
        <w:rPr>
          <w:rFonts w:ascii="宋体" w:eastAsia="宋体" w:hAnsi="宋体" w:hint="eastAsia"/>
          <w:sz w:val="24"/>
          <w:szCs w:val="24"/>
        </w:rPr>
        <w:t>第三，门诊统筹要求药房在流程和服务上的合规将更加严格，提高了进入门槛，利好规范程度更高、合规能力更强的龙头药房。</w:t>
      </w:r>
      <w:r w:rsidRPr="00566B0E">
        <w:rPr>
          <w:rFonts w:ascii="宋体" w:eastAsia="宋体" w:hAnsi="宋体"/>
          <w:sz w:val="24"/>
          <w:szCs w:val="24"/>
        </w:rPr>
        <w:t xml:space="preserve"> </w:t>
      </w:r>
    </w:p>
    <w:p w14:paraId="1B4AB0C0" w14:textId="3E129B78" w:rsidR="009B5D87" w:rsidRDefault="009B5D87" w:rsidP="00BF6DE3">
      <w:pPr>
        <w:spacing w:line="360" w:lineRule="auto"/>
        <w:ind w:firstLineChars="200" w:firstLine="482"/>
        <w:rPr>
          <w:rFonts w:ascii="宋体" w:eastAsia="宋体" w:hAnsi="宋体"/>
          <w:sz w:val="24"/>
          <w:szCs w:val="24"/>
        </w:rPr>
      </w:pPr>
      <w:r w:rsidRPr="009B5D87">
        <w:rPr>
          <w:rFonts w:ascii="宋体" w:eastAsia="宋体" w:hAnsi="宋体" w:hint="eastAsia"/>
          <w:b/>
          <w:bCs/>
          <w:sz w:val="24"/>
          <w:szCs w:val="24"/>
        </w:rPr>
        <w:t>问题</w:t>
      </w:r>
      <w:r w:rsidR="00E80E4D">
        <w:rPr>
          <w:rFonts w:ascii="宋体" w:eastAsia="宋体" w:hAnsi="宋体"/>
          <w:b/>
          <w:bCs/>
          <w:sz w:val="24"/>
          <w:szCs w:val="24"/>
        </w:rPr>
        <w:t>2</w:t>
      </w:r>
      <w:r w:rsidRPr="009B5D87">
        <w:rPr>
          <w:rFonts w:ascii="宋体" w:eastAsia="宋体" w:hAnsi="宋体" w:hint="eastAsia"/>
          <w:b/>
          <w:bCs/>
          <w:sz w:val="24"/>
          <w:szCs w:val="24"/>
        </w:rPr>
        <w:t>：</w:t>
      </w:r>
      <w:r w:rsidR="00F904BB">
        <w:rPr>
          <w:rFonts w:ascii="宋体" w:eastAsia="宋体" w:hAnsi="宋体" w:hint="eastAsia"/>
          <w:sz w:val="24"/>
          <w:szCs w:val="24"/>
        </w:rPr>
        <w:t>公司</w:t>
      </w:r>
      <w:r w:rsidR="00E80E4D">
        <w:rPr>
          <w:rFonts w:ascii="宋体" w:eastAsia="宋体" w:hAnsi="宋体" w:hint="eastAsia"/>
          <w:sz w:val="24"/>
          <w:szCs w:val="24"/>
        </w:rPr>
        <w:t>2</w:t>
      </w:r>
      <w:r w:rsidR="00E80E4D">
        <w:rPr>
          <w:rFonts w:ascii="宋体" w:eastAsia="宋体" w:hAnsi="宋体"/>
          <w:sz w:val="24"/>
          <w:szCs w:val="24"/>
        </w:rPr>
        <w:t>023</w:t>
      </w:r>
      <w:r w:rsidR="00E80E4D">
        <w:rPr>
          <w:rFonts w:ascii="宋体" w:eastAsia="宋体" w:hAnsi="宋体" w:hint="eastAsia"/>
          <w:sz w:val="24"/>
          <w:szCs w:val="24"/>
        </w:rPr>
        <w:t>年</w:t>
      </w:r>
      <w:r w:rsidR="00F904BB">
        <w:rPr>
          <w:rFonts w:ascii="宋体" w:eastAsia="宋体" w:hAnsi="宋体" w:hint="eastAsia"/>
          <w:sz w:val="24"/>
          <w:szCs w:val="24"/>
        </w:rPr>
        <w:t>和</w:t>
      </w:r>
      <w:r w:rsidR="00E80E4D">
        <w:rPr>
          <w:rFonts w:ascii="宋体" w:eastAsia="宋体" w:hAnsi="宋体" w:hint="eastAsia"/>
          <w:sz w:val="24"/>
          <w:szCs w:val="24"/>
        </w:rPr>
        <w:t>2</w:t>
      </w:r>
      <w:r w:rsidR="00E80E4D">
        <w:rPr>
          <w:rFonts w:ascii="宋体" w:eastAsia="宋体" w:hAnsi="宋体"/>
          <w:sz w:val="24"/>
          <w:szCs w:val="24"/>
        </w:rPr>
        <w:t>024</w:t>
      </w:r>
      <w:r w:rsidR="00F904BB">
        <w:rPr>
          <w:rFonts w:ascii="宋体" w:eastAsia="宋体" w:hAnsi="宋体" w:hint="eastAsia"/>
          <w:sz w:val="24"/>
          <w:szCs w:val="24"/>
        </w:rPr>
        <w:t>年的开店计划如何</w:t>
      </w:r>
      <w:r w:rsidRPr="009B5D87">
        <w:rPr>
          <w:rFonts w:ascii="宋体" w:eastAsia="宋体" w:hAnsi="宋体" w:hint="eastAsia"/>
          <w:sz w:val="24"/>
          <w:szCs w:val="24"/>
        </w:rPr>
        <w:t>？</w:t>
      </w:r>
    </w:p>
    <w:p w14:paraId="4869E32A" w14:textId="691D02F2" w:rsidR="005C3844" w:rsidRPr="00566B0E" w:rsidRDefault="0097469D" w:rsidP="00F904BB">
      <w:pPr>
        <w:spacing w:line="360" w:lineRule="auto"/>
        <w:ind w:firstLineChars="200" w:firstLine="480"/>
        <w:rPr>
          <w:rFonts w:ascii="宋体" w:eastAsia="宋体" w:hAnsi="宋体"/>
          <w:sz w:val="24"/>
          <w:szCs w:val="24"/>
        </w:rPr>
      </w:pPr>
      <w:r w:rsidRPr="0097469D">
        <w:rPr>
          <w:rFonts w:ascii="宋体" w:eastAsia="宋体" w:hAnsi="宋体" w:hint="eastAsia"/>
          <w:sz w:val="24"/>
          <w:szCs w:val="24"/>
        </w:rPr>
        <w:t>回答：</w:t>
      </w:r>
      <w:r w:rsidR="00F904BB" w:rsidRPr="00566B0E">
        <w:rPr>
          <w:rFonts w:ascii="宋体" w:eastAsia="宋体" w:hAnsi="宋体"/>
          <w:sz w:val="24"/>
          <w:szCs w:val="24"/>
        </w:rPr>
        <w:t xml:space="preserve"> </w:t>
      </w:r>
      <w:r w:rsidR="00F904BB" w:rsidRPr="005C3844">
        <w:rPr>
          <w:rFonts w:ascii="宋体" w:eastAsia="宋体" w:hAnsi="宋体"/>
          <w:sz w:val="24"/>
          <w:szCs w:val="24"/>
        </w:rPr>
        <w:t>2023年</w:t>
      </w:r>
      <w:r w:rsidR="00F904BB">
        <w:rPr>
          <w:rFonts w:ascii="宋体" w:eastAsia="宋体" w:hAnsi="宋体" w:hint="eastAsia"/>
          <w:sz w:val="24"/>
          <w:szCs w:val="24"/>
        </w:rPr>
        <w:t>公司</w:t>
      </w:r>
      <w:r w:rsidR="00F904BB" w:rsidRPr="005C3844">
        <w:rPr>
          <w:rFonts w:ascii="宋体" w:eastAsia="宋体" w:hAnsi="宋体"/>
          <w:sz w:val="24"/>
          <w:szCs w:val="24"/>
        </w:rPr>
        <w:t>门店保持</w:t>
      </w:r>
      <w:r w:rsidR="00F904BB">
        <w:rPr>
          <w:rFonts w:ascii="宋体" w:eastAsia="宋体" w:hAnsi="宋体" w:hint="eastAsia"/>
          <w:sz w:val="24"/>
          <w:szCs w:val="24"/>
        </w:rPr>
        <w:t>稳步</w:t>
      </w:r>
      <w:r w:rsidR="00F904BB" w:rsidRPr="005C3844">
        <w:rPr>
          <w:rFonts w:ascii="宋体" w:eastAsia="宋体" w:hAnsi="宋体"/>
          <w:sz w:val="24"/>
          <w:szCs w:val="24"/>
        </w:rPr>
        <w:t>扩张，加快下沉市场布局</w:t>
      </w:r>
      <w:r w:rsidR="00F904BB">
        <w:rPr>
          <w:rFonts w:ascii="宋体" w:eastAsia="宋体" w:hAnsi="宋体" w:hint="eastAsia"/>
          <w:sz w:val="24"/>
          <w:szCs w:val="24"/>
        </w:rPr>
        <w:t>。</w:t>
      </w:r>
      <w:r w:rsidR="00F904BB" w:rsidRPr="005C3844">
        <w:rPr>
          <w:rFonts w:ascii="宋体" w:eastAsia="宋体" w:hAnsi="宋体"/>
          <w:sz w:val="24"/>
          <w:szCs w:val="24"/>
        </w:rPr>
        <w:t>2023年全年，公司计划新增门店3</w:t>
      </w:r>
      <w:r w:rsidR="00F904BB">
        <w:rPr>
          <w:rFonts w:ascii="宋体" w:eastAsia="宋体" w:hAnsi="宋体"/>
          <w:sz w:val="24"/>
          <w:szCs w:val="24"/>
        </w:rPr>
        <w:t>,</w:t>
      </w:r>
      <w:r w:rsidR="00F904BB" w:rsidRPr="005C3844">
        <w:rPr>
          <w:rFonts w:ascii="宋体" w:eastAsia="宋体" w:hAnsi="宋体"/>
          <w:sz w:val="24"/>
          <w:szCs w:val="24"/>
        </w:rPr>
        <w:t>000家，其中直营及并购1</w:t>
      </w:r>
      <w:r w:rsidR="00F904BB">
        <w:rPr>
          <w:rFonts w:ascii="宋体" w:eastAsia="宋体" w:hAnsi="宋体"/>
          <w:sz w:val="24"/>
          <w:szCs w:val="24"/>
        </w:rPr>
        <w:t>,</w:t>
      </w:r>
      <w:r w:rsidR="00F904BB" w:rsidRPr="005C3844">
        <w:rPr>
          <w:rFonts w:ascii="宋体" w:eastAsia="宋体" w:hAnsi="宋体"/>
          <w:sz w:val="24"/>
          <w:szCs w:val="24"/>
        </w:rPr>
        <w:t>500家，加盟1</w:t>
      </w:r>
      <w:r w:rsidR="00F904BB">
        <w:rPr>
          <w:rFonts w:ascii="宋体" w:eastAsia="宋体" w:hAnsi="宋体"/>
          <w:sz w:val="24"/>
          <w:szCs w:val="24"/>
        </w:rPr>
        <w:t>,</w:t>
      </w:r>
      <w:r w:rsidR="00F904BB" w:rsidRPr="005C3844">
        <w:rPr>
          <w:rFonts w:ascii="宋体" w:eastAsia="宋体" w:hAnsi="宋体"/>
          <w:sz w:val="24"/>
          <w:szCs w:val="24"/>
        </w:rPr>
        <w:t>500家。</w:t>
      </w:r>
      <w:r w:rsidR="00980EA8" w:rsidRPr="00980EA8">
        <w:rPr>
          <w:rFonts w:ascii="宋体" w:eastAsia="宋体" w:hAnsi="宋体"/>
          <w:sz w:val="24"/>
          <w:szCs w:val="24"/>
        </w:rPr>
        <w:t>2023年</w:t>
      </w:r>
      <w:r w:rsidR="00980EA8">
        <w:rPr>
          <w:rFonts w:ascii="宋体" w:eastAsia="宋体" w:hAnsi="宋体" w:hint="eastAsia"/>
          <w:sz w:val="24"/>
          <w:szCs w:val="24"/>
        </w:rPr>
        <w:t>前三季度公司</w:t>
      </w:r>
      <w:r w:rsidR="00980EA8" w:rsidRPr="00980EA8">
        <w:rPr>
          <w:rFonts w:ascii="宋体" w:eastAsia="宋体" w:hAnsi="宋体"/>
          <w:sz w:val="24"/>
          <w:szCs w:val="24"/>
        </w:rPr>
        <w:t>新增门店2,709家，其中直营新增门店1,479家、加盟新增门店1,230家。</w:t>
      </w:r>
      <w:r w:rsidR="00F904BB">
        <w:rPr>
          <w:rFonts w:ascii="宋体" w:eastAsia="宋体" w:hAnsi="宋体" w:hint="eastAsia"/>
          <w:sz w:val="24"/>
          <w:szCs w:val="24"/>
        </w:rPr>
        <w:t>2</w:t>
      </w:r>
      <w:r w:rsidR="00F904BB">
        <w:rPr>
          <w:rFonts w:ascii="宋体" w:eastAsia="宋体" w:hAnsi="宋体"/>
          <w:sz w:val="24"/>
          <w:szCs w:val="24"/>
        </w:rPr>
        <w:t>024</w:t>
      </w:r>
      <w:r w:rsidR="00F904BB">
        <w:rPr>
          <w:rFonts w:ascii="宋体" w:eastAsia="宋体" w:hAnsi="宋体" w:hint="eastAsia"/>
          <w:sz w:val="24"/>
          <w:szCs w:val="24"/>
        </w:rPr>
        <w:t>年公司</w:t>
      </w:r>
      <w:r w:rsidR="00980EA8">
        <w:rPr>
          <w:rFonts w:ascii="宋体" w:eastAsia="宋体" w:hAnsi="宋体" w:hint="eastAsia"/>
          <w:sz w:val="24"/>
          <w:szCs w:val="24"/>
        </w:rPr>
        <w:t>计划</w:t>
      </w:r>
      <w:r w:rsidR="00F904BB">
        <w:rPr>
          <w:rFonts w:ascii="宋体" w:eastAsia="宋体" w:hAnsi="宋体" w:hint="eastAsia"/>
          <w:sz w:val="24"/>
          <w:szCs w:val="24"/>
        </w:rPr>
        <w:t>开店3</w:t>
      </w:r>
      <w:r w:rsidR="00F904BB">
        <w:rPr>
          <w:rFonts w:ascii="宋体" w:eastAsia="宋体" w:hAnsi="宋体"/>
          <w:sz w:val="24"/>
          <w:szCs w:val="24"/>
        </w:rPr>
        <w:t>,500</w:t>
      </w:r>
      <w:r w:rsidR="00F904BB">
        <w:rPr>
          <w:rFonts w:ascii="宋体" w:eastAsia="宋体" w:hAnsi="宋体" w:hint="eastAsia"/>
          <w:sz w:val="24"/>
          <w:szCs w:val="24"/>
        </w:rPr>
        <w:t>家。</w:t>
      </w:r>
    </w:p>
    <w:p w14:paraId="42A70C7E" w14:textId="74A74C0E" w:rsidR="001B0F96" w:rsidRDefault="001B0F96" w:rsidP="00BF6DE3">
      <w:pPr>
        <w:spacing w:line="360" w:lineRule="auto"/>
        <w:ind w:firstLineChars="200" w:firstLine="482"/>
        <w:rPr>
          <w:rFonts w:ascii="宋体" w:eastAsia="宋体" w:hAnsi="宋体"/>
          <w:sz w:val="24"/>
          <w:szCs w:val="24"/>
        </w:rPr>
      </w:pPr>
      <w:r w:rsidRPr="00B82987">
        <w:rPr>
          <w:rFonts w:ascii="宋体" w:eastAsia="宋体" w:hAnsi="宋体" w:hint="eastAsia"/>
          <w:b/>
          <w:bCs/>
          <w:sz w:val="24"/>
          <w:szCs w:val="24"/>
        </w:rPr>
        <w:t>问题</w:t>
      </w:r>
      <w:r w:rsidR="008E10E8">
        <w:rPr>
          <w:rFonts w:ascii="宋体" w:eastAsia="宋体" w:hAnsi="宋体"/>
          <w:b/>
          <w:bCs/>
          <w:sz w:val="24"/>
          <w:szCs w:val="24"/>
        </w:rPr>
        <w:t>3</w:t>
      </w:r>
      <w:r w:rsidRPr="00B82987">
        <w:rPr>
          <w:rFonts w:ascii="宋体" w:eastAsia="宋体" w:hAnsi="宋体" w:hint="eastAsia"/>
          <w:b/>
          <w:bCs/>
          <w:sz w:val="24"/>
          <w:szCs w:val="24"/>
        </w:rPr>
        <w:t>：</w:t>
      </w:r>
      <w:r w:rsidR="00E80E4D" w:rsidRPr="00E80E4D">
        <w:rPr>
          <w:rFonts w:ascii="宋体" w:eastAsia="宋体" w:hAnsi="宋体" w:hint="eastAsia"/>
          <w:sz w:val="24"/>
          <w:szCs w:val="24"/>
        </w:rPr>
        <w:t>公司计划如何提升毛利率</w:t>
      </w:r>
      <w:r w:rsidR="008B1675">
        <w:rPr>
          <w:rFonts w:ascii="宋体" w:eastAsia="宋体" w:hAnsi="宋体" w:hint="eastAsia"/>
          <w:sz w:val="24"/>
          <w:szCs w:val="24"/>
        </w:rPr>
        <w:t>？</w:t>
      </w:r>
    </w:p>
    <w:p w14:paraId="4A79FC4C" w14:textId="1A505E65" w:rsidR="001B0F96" w:rsidRPr="00D82931" w:rsidRDefault="001B0F96" w:rsidP="00BF6DE3">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006040D3" w:rsidRPr="00670ADF">
        <w:rPr>
          <w:rFonts w:ascii="宋体" w:eastAsia="宋体" w:hAnsi="宋体"/>
          <w:sz w:val="24"/>
          <w:szCs w:val="24"/>
        </w:rPr>
        <w:t xml:space="preserve"> </w:t>
      </w:r>
      <w:r w:rsidR="00E80E4D" w:rsidRPr="00E80E4D">
        <w:rPr>
          <w:rFonts w:ascii="宋体" w:eastAsia="宋体" w:hAnsi="宋体" w:hint="eastAsia"/>
          <w:sz w:val="24"/>
          <w:szCs w:val="24"/>
        </w:rPr>
        <w:t>公司将通过提升统采占比，进而增强与上游厂家议价能力。同时，通过提升市占率，增强各项精细化运营能力，并积极发展中药、自有品牌等高毛利率板块，利用政策红利提升相关收入占比，带动公司整体毛利率提升</w:t>
      </w:r>
      <w:r w:rsidR="00043451" w:rsidRPr="00043451">
        <w:rPr>
          <w:rFonts w:ascii="宋体" w:eastAsia="宋体" w:hAnsi="宋体"/>
          <w:sz w:val="24"/>
          <w:szCs w:val="24"/>
        </w:rPr>
        <w:t>。</w:t>
      </w:r>
    </w:p>
    <w:p w14:paraId="10C7695F" w14:textId="241D457D" w:rsidR="00D82931" w:rsidRDefault="001B0F96" w:rsidP="00D82931">
      <w:pPr>
        <w:spacing w:line="360" w:lineRule="auto"/>
        <w:ind w:firstLineChars="200" w:firstLine="482"/>
        <w:rPr>
          <w:rFonts w:ascii="宋体" w:eastAsia="宋体" w:hAnsi="宋体"/>
          <w:sz w:val="24"/>
          <w:szCs w:val="24"/>
        </w:rPr>
      </w:pPr>
      <w:r w:rsidRPr="00B82987">
        <w:rPr>
          <w:rFonts w:ascii="宋体" w:eastAsia="宋体" w:hAnsi="宋体" w:hint="eastAsia"/>
          <w:b/>
          <w:bCs/>
          <w:sz w:val="24"/>
          <w:szCs w:val="24"/>
        </w:rPr>
        <w:t>问题</w:t>
      </w:r>
      <w:r w:rsidR="008E10E8">
        <w:rPr>
          <w:rFonts w:ascii="宋体" w:eastAsia="宋体" w:hAnsi="宋体"/>
          <w:b/>
          <w:bCs/>
          <w:sz w:val="24"/>
          <w:szCs w:val="24"/>
        </w:rPr>
        <w:t>4</w:t>
      </w:r>
      <w:r w:rsidRPr="00B82987">
        <w:rPr>
          <w:rFonts w:ascii="宋体" w:eastAsia="宋体" w:hAnsi="宋体" w:hint="eastAsia"/>
          <w:b/>
          <w:bCs/>
          <w:sz w:val="24"/>
          <w:szCs w:val="24"/>
        </w:rPr>
        <w:t>：</w:t>
      </w:r>
      <w:r w:rsidR="008E10E8" w:rsidRPr="008E10E8">
        <w:rPr>
          <w:rFonts w:ascii="宋体" w:eastAsia="宋体" w:hAnsi="宋体" w:hint="eastAsia"/>
          <w:sz w:val="24"/>
          <w:szCs w:val="24"/>
        </w:rPr>
        <w:t>公司数智化运营的发展情况如何</w:t>
      </w:r>
      <w:r w:rsidR="00D82931" w:rsidRPr="00BF6DE3">
        <w:rPr>
          <w:rFonts w:ascii="宋体" w:eastAsia="宋体" w:hAnsi="宋体"/>
          <w:sz w:val="24"/>
          <w:szCs w:val="24"/>
        </w:rPr>
        <w:t>?</w:t>
      </w:r>
    </w:p>
    <w:p w14:paraId="4F0B1580" w14:textId="7B581AF5" w:rsidR="00766D59" w:rsidRDefault="00D82931" w:rsidP="008E10E8">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008E10E8" w:rsidRPr="008E10E8">
        <w:rPr>
          <w:rFonts w:ascii="宋体" w:eastAsia="宋体" w:hAnsi="宋体" w:hint="eastAsia"/>
          <w:sz w:val="24"/>
          <w:szCs w:val="24"/>
        </w:rPr>
        <w:t>公司数智化进程稳步前行，持续围绕以下几方面发力：第一，供应链已基本完成“监控</w:t>
      </w:r>
      <w:r w:rsidR="008E10E8" w:rsidRPr="008E10E8">
        <w:rPr>
          <w:rFonts w:ascii="宋体" w:eastAsia="宋体" w:hAnsi="宋体"/>
          <w:sz w:val="24"/>
          <w:szCs w:val="24"/>
        </w:rPr>
        <w:t>-预警-分析-策略-执行”体系的建立，并在“分析体系”和“策略执行”双管齐下已基本做到自动定位业务原因，实现全面诊断业务现状，</w:t>
      </w:r>
      <w:r w:rsidR="008E10E8" w:rsidRPr="008E10E8">
        <w:rPr>
          <w:rFonts w:ascii="宋体" w:eastAsia="宋体" w:hAnsi="宋体"/>
          <w:sz w:val="24"/>
          <w:szCs w:val="24"/>
        </w:rPr>
        <w:lastRenderedPageBreak/>
        <w:t>提升供应链体系效率。第二，智能请货算法再度升级，通过断货率持续下降，带来店均毛利额的提升。第三，采购数字化持续实现多项里程碑式的产出，持续提升供应商精细化管理效能，基本实现在线闭环管控。第四，持续深化数据治理工作，开展重点难点专项治理，提高集团数据质量。除此之外，持续探索创新项目，助力公司打造科技驱动的健康服</w:t>
      </w:r>
      <w:r w:rsidR="008E10E8" w:rsidRPr="008E10E8">
        <w:rPr>
          <w:rFonts w:ascii="宋体" w:eastAsia="宋体" w:hAnsi="宋体" w:hint="eastAsia"/>
          <w:sz w:val="24"/>
          <w:szCs w:val="24"/>
        </w:rPr>
        <w:t>务平台</w:t>
      </w:r>
      <w:r w:rsidR="000818F6">
        <w:rPr>
          <w:rFonts w:ascii="宋体" w:eastAsia="宋体" w:hAnsi="宋体" w:hint="eastAsia"/>
          <w:sz w:val="24"/>
          <w:szCs w:val="24"/>
        </w:rPr>
        <w:t>。</w:t>
      </w:r>
    </w:p>
    <w:p w14:paraId="32019648" w14:textId="6316775A" w:rsidR="00BF6DE3" w:rsidRDefault="00BF6DE3" w:rsidP="00BF6DE3">
      <w:pPr>
        <w:spacing w:line="360" w:lineRule="auto"/>
        <w:ind w:firstLineChars="200" w:firstLine="482"/>
        <w:rPr>
          <w:rFonts w:ascii="宋体" w:eastAsia="宋体" w:hAnsi="宋体"/>
          <w:sz w:val="24"/>
          <w:szCs w:val="24"/>
        </w:rPr>
      </w:pPr>
      <w:r w:rsidRPr="00BF6DE3">
        <w:rPr>
          <w:rFonts w:ascii="宋体" w:eastAsia="宋体" w:hAnsi="宋体" w:hint="eastAsia"/>
          <w:b/>
          <w:bCs/>
          <w:sz w:val="24"/>
          <w:szCs w:val="24"/>
        </w:rPr>
        <w:t>问题</w:t>
      </w:r>
      <w:r w:rsidR="002E1E1B">
        <w:rPr>
          <w:rFonts w:ascii="宋体" w:eastAsia="宋体" w:hAnsi="宋体"/>
          <w:b/>
          <w:bCs/>
          <w:sz w:val="24"/>
          <w:szCs w:val="24"/>
        </w:rPr>
        <w:t>5</w:t>
      </w:r>
      <w:r w:rsidRPr="00BF6DE3">
        <w:rPr>
          <w:rFonts w:ascii="宋体" w:eastAsia="宋体" w:hAnsi="宋体" w:hint="eastAsia"/>
          <w:b/>
          <w:bCs/>
          <w:sz w:val="24"/>
          <w:szCs w:val="24"/>
        </w:rPr>
        <w:t>：</w:t>
      </w:r>
      <w:r w:rsidR="00D82931">
        <w:rPr>
          <w:rFonts w:ascii="宋体" w:eastAsia="宋体" w:hAnsi="宋体" w:hint="eastAsia"/>
          <w:sz w:val="24"/>
          <w:szCs w:val="24"/>
        </w:rPr>
        <w:t>公司</w:t>
      </w:r>
      <w:r w:rsidR="00915B83">
        <w:rPr>
          <w:rFonts w:ascii="宋体" w:eastAsia="宋体" w:hAnsi="宋体" w:hint="eastAsia"/>
          <w:sz w:val="24"/>
          <w:szCs w:val="24"/>
        </w:rPr>
        <w:t>线上</w:t>
      </w:r>
      <w:r w:rsidR="00D82931">
        <w:rPr>
          <w:rFonts w:ascii="宋体" w:eastAsia="宋体" w:hAnsi="宋体" w:hint="eastAsia"/>
          <w:sz w:val="24"/>
          <w:szCs w:val="24"/>
        </w:rPr>
        <w:t>业务发展情况如何</w:t>
      </w:r>
      <w:r w:rsidRPr="00BF6DE3">
        <w:rPr>
          <w:rFonts w:ascii="宋体" w:eastAsia="宋体" w:hAnsi="宋体"/>
          <w:sz w:val="24"/>
          <w:szCs w:val="24"/>
        </w:rPr>
        <w:t>?</w:t>
      </w:r>
    </w:p>
    <w:p w14:paraId="01C6D29E" w14:textId="2FEECA94" w:rsidR="00BF6DE3" w:rsidRPr="006F0665" w:rsidRDefault="00BF6DE3" w:rsidP="00980EA8">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00D82931" w:rsidRPr="00BF6DE3">
        <w:rPr>
          <w:rFonts w:ascii="宋体" w:eastAsia="宋体" w:hAnsi="宋体"/>
          <w:sz w:val="24"/>
          <w:szCs w:val="24"/>
        </w:rPr>
        <w:t xml:space="preserve"> </w:t>
      </w:r>
      <w:r w:rsidR="006F0665" w:rsidRPr="00766D59">
        <w:rPr>
          <w:rFonts w:ascii="宋体" w:eastAsia="宋体" w:hAnsi="宋体" w:hint="eastAsia"/>
          <w:sz w:val="24"/>
          <w:szCs w:val="24"/>
        </w:rPr>
        <w:t>依托数字化驱动全渠道发力，公司新零售业务继续保持快速发展。</w:t>
      </w:r>
      <w:r w:rsidR="006F0665" w:rsidRPr="006F0665">
        <w:rPr>
          <w:rFonts w:ascii="宋体" w:eastAsia="宋体" w:hAnsi="宋体" w:hint="eastAsia"/>
          <w:sz w:val="24"/>
          <w:szCs w:val="24"/>
        </w:rPr>
        <w:t>公域方面，</w:t>
      </w:r>
      <w:r w:rsidR="006F0665">
        <w:rPr>
          <w:rFonts w:ascii="宋体" w:eastAsia="宋体" w:hAnsi="宋体" w:hint="eastAsia"/>
          <w:sz w:val="24"/>
          <w:szCs w:val="24"/>
        </w:rPr>
        <w:t>前三季度</w:t>
      </w:r>
      <w:r w:rsidR="006F0665" w:rsidRPr="00766D59">
        <w:rPr>
          <w:rFonts w:ascii="宋体" w:eastAsia="宋体" w:hAnsi="宋体"/>
          <w:sz w:val="24"/>
          <w:szCs w:val="24"/>
        </w:rPr>
        <w:t>O2O与B2C销售额</w:t>
      </w:r>
      <w:r w:rsidR="006F0665">
        <w:rPr>
          <w:rFonts w:ascii="宋体" w:eastAsia="宋体" w:hAnsi="宋体" w:hint="eastAsia"/>
          <w:sz w:val="24"/>
          <w:szCs w:val="24"/>
        </w:rPr>
        <w:t>于</w:t>
      </w:r>
      <w:r w:rsidR="006F0665" w:rsidRPr="006F0665">
        <w:rPr>
          <w:rFonts w:ascii="宋体" w:eastAsia="宋体" w:hAnsi="宋体" w:hint="eastAsia"/>
          <w:sz w:val="24"/>
          <w:szCs w:val="24"/>
        </w:rPr>
        <w:t>多个平台保持全国排名前列，同比增长率领先行业；私域方面，</w:t>
      </w:r>
      <w:r w:rsidR="00980EA8">
        <w:rPr>
          <w:rFonts w:ascii="宋体" w:eastAsia="宋体" w:hAnsi="宋体" w:hint="eastAsia"/>
          <w:sz w:val="24"/>
          <w:szCs w:val="24"/>
        </w:rPr>
        <w:t>2</w:t>
      </w:r>
      <w:r w:rsidR="00980EA8">
        <w:rPr>
          <w:rFonts w:ascii="宋体" w:eastAsia="宋体" w:hAnsi="宋体"/>
          <w:sz w:val="24"/>
          <w:szCs w:val="24"/>
        </w:rPr>
        <w:t>023</w:t>
      </w:r>
      <w:r w:rsidR="00980EA8">
        <w:rPr>
          <w:rFonts w:ascii="宋体" w:eastAsia="宋体" w:hAnsi="宋体" w:hint="eastAsia"/>
          <w:sz w:val="24"/>
          <w:szCs w:val="24"/>
        </w:rPr>
        <w:t>年私域</w:t>
      </w:r>
      <w:r w:rsidR="006F0665" w:rsidRPr="006F0665">
        <w:rPr>
          <w:rFonts w:ascii="宋体" w:eastAsia="宋体" w:hAnsi="宋体"/>
          <w:sz w:val="24"/>
          <w:szCs w:val="24"/>
        </w:rPr>
        <w:t>累计销售8,360万元，同比增长50.5%。</w:t>
      </w:r>
      <w:r w:rsidR="006F0665">
        <w:rPr>
          <w:rFonts w:ascii="宋体" w:eastAsia="宋体" w:hAnsi="宋体" w:hint="eastAsia"/>
          <w:sz w:val="24"/>
          <w:szCs w:val="24"/>
        </w:rPr>
        <w:t>2</w:t>
      </w:r>
      <w:r w:rsidR="006F0665">
        <w:rPr>
          <w:rFonts w:ascii="宋体" w:eastAsia="宋体" w:hAnsi="宋体"/>
          <w:sz w:val="24"/>
          <w:szCs w:val="24"/>
        </w:rPr>
        <w:t>023</w:t>
      </w:r>
      <w:r w:rsidR="006F0665">
        <w:rPr>
          <w:rFonts w:ascii="宋体" w:eastAsia="宋体" w:hAnsi="宋体" w:hint="eastAsia"/>
          <w:sz w:val="24"/>
          <w:szCs w:val="24"/>
        </w:rPr>
        <w:t>年前三季度线上渠道</w:t>
      </w:r>
      <w:r w:rsidR="006F0665" w:rsidRPr="00766D59">
        <w:rPr>
          <w:rFonts w:ascii="宋体" w:eastAsia="宋体" w:hAnsi="宋体"/>
          <w:sz w:val="24"/>
          <w:szCs w:val="24"/>
        </w:rPr>
        <w:t>销售</w:t>
      </w:r>
      <w:r w:rsidR="006F0665">
        <w:rPr>
          <w:rFonts w:ascii="宋体" w:eastAsia="宋体" w:hAnsi="宋体" w:hint="eastAsia"/>
          <w:sz w:val="24"/>
          <w:szCs w:val="24"/>
        </w:rPr>
        <w:t>额达到1</w:t>
      </w:r>
      <w:r w:rsidR="006F0665">
        <w:rPr>
          <w:rFonts w:ascii="宋体" w:eastAsia="宋体" w:hAnsi="宋体"/>
          <w:sz w:val="24"/>
          <w:szCs w:val="24"/>
        </w:rPr>
        <w:t>4.9</w:t>
      </w:r>
      <w:r w:rsidR="006F0665">
        <w:rPr>
          <w:rFonts w:ascii="宋体" w:eastAsia="宋体" w:hAnsi="宋体" w:hint="eastAsia"/>
          <w:sz w:val="24"/>
          <w:szCs w:val="24"/>
        </w:rPr>
        <w:t>亿元，同比增长6</w:t>
      </w:r>
      <w:r w:rsidR="006F0665">
        <w:rPr>
          <w:rFonts w:ascii="宋体" w:eastAsia="宋体" w:hAnsi="宋体"/>
          <w:sz w:val="24"/>
          <w:szCs w:val="24"/>
        </w:rPr>
        <w:t>0%</w:t>
      </w:r>
      <w:r w:rsidR="006F0665">
        <w:rPr>
          <w:rFonts w:ascii="宋体" w:eastAsia="宋体" w:hAnsi="宋体" w:hint="eastAsia"/>
          <w:sz w:val="24"/>
          <w:szCs w:val="24"/>
        </w:rPr>
        <w:t>；</w:t>
      </w:r>
      <w:r w:rsidR="006F0665" w:rsidRPr="00766D59">
        <w:rPr>
          <w:rFonts w:ascii="宋体" w:eastAsia="宋体" w:hAnsi="宋体"/>
          <w:sz w:val="24"/>
          <w:szCs w:val="24"/>
        </w:rPr>
        <w:t>公司O2O外卖服务门店达到</w:t>
      </w:r>
      <w:r w:rsidR="006F0665">
        <w:rPr>
          <w:rFonts w:ascii="宋体" w:eastAsia="宋体" w:hAnsi="宋体"/>
          <w:sz w:val="24"/>
          <w:szCs w:val="24"/>
        </w:rPr>
        <w:t>10</w:t>
      </w:r>
      <w:r w:rsidR="006F0665" w:rsidRPr="00766D59">
        <w:rPr>
          <w:rFonts w:ascii="宋体" w:eastAsia="宋体" w:hAnsi="宋体"/>
          <w:sz w:val="24"/>
          <w:szCs w:val="24"/>
        </w:rPr>
        <w:t>,</w:t>
      </w:r>
      <w:r w:rsidR="006F0665">
        <w:rPr>
          <w:rFonts w:ascii="宋体" w:eastAsia="宋体" w:hAnsi="宋体"/>
          <w:sz w:val="24"/>
          <w:szCs w:val="24"/>
        </w:rPr>
        <w:t>005</w:t>
      </w:r>
      <w:r w:rsidR="006F0665" w:rsidRPr="00766D59">
        <w:rPr>
          <w:rFonts w:ascii="宋体" w:eastAsia="宋体" w:hAnsi="宋体"/>
          <w:sz w:val="24"/>
          <w:szCs w:val="24"/>
        </w:rPr>
        <w:t>家，24小时门店增至</w:t>
      </w:r>
      <w:r w:rsidR="006F0665">
        <w:rPr>
          <w:rFonts w:ascii="宋体" w:eastAsia="宋体" w:hAnsi="宋体" w:hint="eastAsia"/>
          <w:sz w:val="24"/>
          <w:szCs w:val="24"/>
        </w:rPr>
        <w:t>6</w:t>
      </w:r>
      <w:r w:rsidR="006F0665">
        <w:rPr>
          <w:rFonts w:ascii="宋体" w:eastAsia="宋体" w:hAnsi="宋体"/>
          <w:sz w:val="24"/>
          <w:szCs w:val="24"/>
        </w:rPr>
        <w:t>32</w:t>
      </w:r>
      <w:r w:rsidR="006F0665" w:rsidRPr="00766D59">
        <w:rPr>
          <w:rFonts w:ascii="宋体" w:eastAsia="宋体" w:hAnsi="宋体"/>
          <w:sz w:val="24"/>
          <w:szCs w:val="24"/>
        </w:rPr>
        <w:t>家。</w:t>
      </w:r>
    </w:p>
    <w:p w14:paraId="5DFDBE2A" w14:textId="5BB7994C" w:rsidR="00980EA8" w:rsidRDefault="00CA628E" w:rsidP="00980EA8">
      <w:pPr>
        <w:spacing w:line="360" w:lineRule="auto"/>
        <w:ind w:firstLineChars="200" w:firstLine="482"/>
        <w:rPr>
          <w:rFonts w:ascii="宋体" w:eastAsia="宋体" w:hAnsi="宋体"/>
          <w:sz w:val="24"/>
          <w:szCs w:val="24"/>
        </w:rPr>
      </w:pPr>
      <w:r w:rsidRPr="00CA628E">
        <w:rPr>
          <w:rFonts w:ascii="宋体" w:eastAsia="宋体" w:hAnsi="宋体" w:hint="eastAsia"/>
          <w:b/>
          <w:bCs/>
          <w:sz w:val="24"/>
          <w:szCs w:val="24"/>
        </w:rPr>
        <w:t>问题</w:t>
      </w:r>
      <w:r w:rsidR="002E1E1B">
        <w:rPr>
          <w:rFonts w:ascii="宋体" w:eastAsia="宋体" w:hAnsi="宋体"/>
          <w:b/>
          <w:bCs/>
          <w:sz w:val="24"/>
          <w:szCs w:val="24"/>
        </w:rPr>
        <w:t>6</w:t>
      </w:r>
      <w:r>
        <w:rPr>
          <w:rFonts w:ascii="宋体" w:eastAsia="宋体" w:hAnsi="宋体" w:hint="eastAsia"/>
          <w:sz w:val="24"/>
          <w:szCs w:val="24"/>
        </w:rPr>
        <w:t>：</w:t>
      </w:r>
      <w:r w:rsidR="008E10E8" w:rsidRPr="008E10E8">
        <w:rPr>
          <w:rFonts w:ascii="宋体" w:eastAsia="宋体" w:hAnsi="宋体" w:hint="eastAsia"/>
          <w:sz w:val="24"/>
          <w:szCs w:val="24"/>
        </w:rPr>
        <w:t>公司加盟业务有何优势？</w:t>
      </w:r>
    </w:p>
    <w:p w14:paraId="40951BF5" w14:textId="07C24B38" w:rsidR="00980EA8" w:rsidRPr="00BF6DE3" w:rsidRDefault="00980EA8" w:rsidP="00980EA8">
      <w:pPr>
        <w:spacing w:line="360" w:lineRule="auto"/>
        <w:ind w:firstLineChars="200" w:firstLine="480"/>
        <w:rPr>
          <w:rFonts w:ascii="宋体" w:eastAsia="宋体" w:hAnsi="宋体"/>
          <w:sz w:val="24"/>
          <w:szCs w:val="24"/>
        </w:rPr>
      </w:pPr>
      <w:r>
        <w:rPr>
          <w:rFonts w:ascii="宋体" w:eastAsia="宋体" w:hAnsi="宋体" w:hint="eastAsia"/>
          <w:sz w:val="24"/>
          <w:szCs w:val="24"/>
        </w:rPr>
        <w:t>回答：</w:t>
      </w:r>
      <w:r w:rsidR="008E10E8" w:rsidRPr="008E10E8">
        <w:rPr>
          <w:rFonts w:ascii="宋体" w:eastAsia="宋体" w:hAnsi="宋体"/>
          <w:sz w:val="24"/>
          <w:szCs w:val="24"/>
        </w:rPr>
        <w:t>2023年1-9月，加盟新增门店1,230家。截至2023年9月30日，公司拥有加盟门店4,120家，加盟门店占总门店数31.5%。前三季度加盟业务实现配送收入12.76亿，约占总收入的8%。公司在加盟门店规模和品牌力都积累了先发优势。未来加盟业务是公司重点发展的方向之一，主要原因有：（1）公司网络广覆盖，门店布局遍布20省市、150多个地级以上城市，具备高效的协同效应，给加盟业务发展提供了广阔发展空间；（2）公司直营的长期经营，已经在覆盖区域形成了良好的口碑、丰富的商品资源并建立起强大的物流配送体系；（3</w:t>
      </w:r>
      <w:r w:rsidR="008E10E8" w:rsidRPr="008E10E8">
        <w:rPr>
          <w:rFonts w:ascii="宋体" w:eastAsia="宋体" w:hAnsi="宋体" w:hint="eastAsia"/>
          <w:sz w:val="24"/>
          <w:szCs w:val="24"/>
        </w:rPr>
        <w:t>）下沉市场成为公司重点发力方向。而加盟作为一种有效的下沉方式可以使公司触及通过职业经理人难以达到的县域乡镇市场。长期扎根基层市场的加盟商在当地的客户粘性、资源优势能更好地帮助公司开展业务；（</w:t>
      </w:r>
      <w:r w:rsidR="008E10E8" w:rsidRPr="008E10E8">
        <w:rPr>
          <w:rFonts w:ascii="宋体" w:eastAsia="宋体" w:hAnsi="宋体"/>
          <w:sz w:val="24"/>
          <w:szCs w:val="24"/>
        </w:rPr>
        <w:t>4）加盟为轻资产运营，对公司资本开支要求低；（5）国内药店数量趋于饱和，加盟连锁吸引同行加入有利于行业整合。</w:t>
      </w:r>
    </w:p>
    <w:p w14:paraId="3AA7AE7D" w14:textId="77777777" w:rsidR="005C3844" w:rsidRDefault="005C3844" w:rsidP="00BF6DE3">
      <w:pPr>
        <w:adjustRightInd w:val="0"/>
        <w:snapToGrid w:val="0"/>
        <w:spacing w:line="360" w:lineRule="auto"/>
        <w:ind w:firstLineChars="200" w:firstLine="480"/>
        <w:jc w:val="right"/>
        <w:rPr>
          <w:rFonts w:ascii="宋体" w:eastAsia="宋体" w:hAnsi="宋体"/>
          <w:sz w:val="24"/>
          <w:szCs w:val="24"/>
        </w:rPr>
      </w:pPr>
    </w:p>
    <w:p w14:paraId="37599B30" w14:textId="77777777" w:rsidR="00A65FB4" w:rsidRDefault="00A65FB4" w:rsidP="00BF6DE3">
      <w:pPr>
        <w:adjustRightInd w:val="0"/>
        <w:snapToGrid w:val="0"/>
        <w:spacing w:line="360" w:lineRule="auto"/>
        <w:ind w:firstLineChars="200" w:firstLine="480"/>
        <w:jc w:val="right"/>
        <w:rPr>
          <w:rFonts w:ascii="宋体" w:eastAsia="宋体" w:hAnsi="宋体"/>
          <w:sz w:val="24"/>
          <w:szCs w:val="24"/>
        </w:rPr>
      </w:pPr>
    </w:p>
    <w:p w14:paraId="61742063" w14:textId="2FED38C5" w:rsidR="0019779E" w:rsidRPr="00866D2A" w:rsidRDefault="0019779E" w:rsidP="00BF6DE3">
      <w:pPr>
        <w:adjustRightInd w:val="0"/>
        <w:snapToGrid w:val="0"/>
        <w:spacing w:line="360" w:lineRule="auto"/>
        <w:ind w:firstLineChars="200" w:firstLine="480"/>
        <w:jc w:val="right"/>
        <w:rPr>
          <w:rFonts w:ascii="宋体" w:eastAsia="宋体" w:hAnsi="宋体"/>
          <w:sz w:val="24"/>
          <w:szCs w:val="24"/>
        </w:rPr>
      </w:pPr>
      <w:r w:rsidRPr="00866D2A">
        <w:rPr>
          <w:rFonts w:ascii="宋体" w:eastAsia="宋体" w:hAnsi="宋体" w:hint="eastAsia"/>
          <w:sz w:val="24"/>
          <w:szCs w:val="24"/>
        </w:rPr>
        <w:t>老百姓大药房连锁股份有限公司董事会</w:t>
      </w:r>
    </w:p>
    <w:p w14:paraId="3F0B6768" w14:textId="064589A7" w:rsidR="0019779E" w:rsidRPr="00866D2A" w:rsidRDefault="000C6D4C" w:rsidP="00BF6DE3">
      <w:pPr>
        <w:adjustRightInd w:val="0"/>
        <w:snapToGrid w:val="0"/>
        <w:spacing w:line="360" w:lineRule="auto"/>
        <w:ind w:firstLineChars="200" w:firstLine="480"/>
        <w:jc w:val="right"/>
        <w:rPr>
          <w:rFonts w:ascii="宋体" w:eastAsia="宋体" w:hAnsi="宋体"/>
          <w:sz w:val="24"/>
          <w:szCs w:val="24"/>
        </w:rPr>
      </w:pPr>
      <w:r w:rsidRPr="00866D2A">
        <w:rPr>
          <w:rFonts w:ascii="宋体" w:eastAsia="宋体" w:hAnsi="宋体" w:hint="eastAsia"/>
          <w:sz w:val="24"/>
          <w:szCs w:val="24"/>
        </w:rPr>
        <w:t>20</w:t>
      </w:r>
      <w:r w:rsidRPr="00866D2A">
        <w:rPr>
          <w:rFonts w:ascii="宋体" w:eastAsia="宋体" w:hAnsi="宋体"/>
          <w:sz w:val="24"/>
          <w:szCs w:val="24"/>
        </w:rPr>
        <w:t>2</w:t>
      </w:r>
      <w:r w:rsidR="004D72C2">
        <w:rPr>
          <w:rFonts w:ascii="宋体" w:eastAsia="宋体" w:hAnsi="宋体"/>
          <w:sz w:val="24"/>
          <w:szCs w:val="24"/>
        </w:rPr>
        <w:t>4</w:t>
      </w:r>
      <w:r w:rsidRPr="00866D2A">
        <w:rPr>
          <w:rFonts w:ascii="宋体" w:eastAsia="宋体" w:hAnsi="宋体" w:hint="eastAsia"/>
          <w:sz w:val="24"/>
          <w:szCs w:val="24"/>
        </w:rPr>
        <w:t>年</w:t>
      </w:r>
      <w:r w:rsidR="008B1675">
        <w:rPr>
          <w:rFonts w:ascii="宋体" w:eastAsia="宋体" w:hAnsi="宋体"/>
          <w:sz w:val="24"/>
          <w:szCs w:val="24"/>
        </w:rPr>
        <w:t>1</w:t>
      </w:r>
      <w:r w:rsidRPr="00866D2A">
        <w:rPr>
          <w:rFonts w:ascii="宋体" w:eastAsia="宋体" w:hAnsi="宋体" w:hint="eastAsia"/>
          <w:sz w:val="24"/>
          <w:szCs w:val="24"/>
        </w:rPr>
        <w:t>月</w:t>
      </w:r>
      <w:r w:rsidR="004D72C2">
        <w:rPr>
          <w:rFonts w:ascii="宋体" w:eastAsia="宋体" w:hAnsi="宋体"/>
          <w:sz w:val="24"/>
          <w:szCs w:val="24"/>
        </w:rPr>
        <w:t>3</w:t>
      </w:r>
      <w:r w:rsidR="0019779E" w:rsidRPr="00866D2A">
        <w:rPr>
          <w:rFonts w:ascii="宋体" w:eastAsia="宋体" w:hAnsi="宋体" w:hint="eastAsia"/>
          <w:sz w:val="24"/>
          <w:szCs w:val="24"/>
        </w:rPr>
        <w:t>日</w:t>
      </w:r>
    </w:p>
    <w:sectPr w:rsidR="0019779E" w:rsidRPr="00866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D93B" w14:textId="77777777" w:rsidR="00CF1A8D" w:rsidRDefault="00CF1A8D" w:rsidP="002D63FD">
      <w:r>
        <w:separator/>
      </w:r>
    </w:p>
  </w:endnote>
  <w:endnote w:type="continuationSeparator" w:id="0">
    <w:p w14:paraId="6973A51A" w14:textId="77777777" w:rsidR="00CF1A8D" w:rsidRDefault="00CF1A8D" w:rsidP="002D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8D08" w14:textId="77777777" w:rsidR="00CF1A8D" w:rsidRDefault="00CF1A8D" w:rsidP="002D63FD">
      <w:r>
        <w:separator/>
      </w:r>
    </w:p>
  </w:footnote>
  <w:footnote w:type="continuationSeparator" w:id="0">
    <w:p w14:paraId="3A63E696" w14:textId="77777777" w:rsidR="00CF1A8D" w:rsidRDefault="00CF1A8D" w:rsidP="002D6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5F1"/>
    <w:multiLevelType w:val="hybridMultilevel"/>
    <w:tmpl w:val="1D0E0C42"/>
    <w:lvl w:ilvl="0" w:tplc="948E74F8">
      <w:start w:val="1"/>
      <w:numFmt w:val="japaneseCounting"/>
      <w:lvlText w:val="第%1、"/>
      <w:lvlJc w:val="left"/>
      <w:pPr>
        <w:ind w:left="1200" w:hanging="720"/>
      </w:pPr>
      <w:rPr>
        <w:rFonts w:ascii="宋体" w:eastAsia="宋体" w:hAnsi="宋体" w:cstheme="minorBidi"/>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26511D84"/>
    <w:multiLevelType w:val="hybridMultilevel"/>
    <w:tmpl w:val="4A925366"/>
    <w:lvl w:ilvl="0" w:tplc="5426C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29791803">
    <w:abstractNumId w:val="1"/>
  </w:num>
  <w:num w:numId="2" w16cid:durableId="129965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92"/>
    <w:rsid w:val="00016C62"/>
    <w:rsid w:val="0002123A"/>
    <w:rsid w:val="00023818"/>
    <w:rsid w:val="00031703"/>
    <w:rsid w:val="00043451"/>
    <w:rsid w:val="0005570F"/>
    <w:rsid w:val="00055A57"/>
    <w:rsid w:val="00061099"/>
    <w:rsid w:val="000768F7"/>
    <w:rsid w:val="000771E1"/>
    <w:rsid w:val="000818F6"/>
    <w:rsid w:val="00084348"/>
    <w:rsid w:val="00096EBE"/>
    <w:rsid w:val="0009753D"/>
    <w:rsid w:val="000A1B02"/>
    <w:rsid w:val="000A5855"/>
    <w:rsid w:val="000C0AE3"/>
    <w:rsid w:val="000C23BD"/>
    <w:rsid w:val="000C6D4C"/>
    <w:rsid w:val="000D49B4"/>
    <w:rsid w:val="000D4EA8"/>
    <w:rsid w:val="000E2E0A"/>
    <w:rsid w:val="00105975"/>
    <w:rsid w:val="00106445"/>
    <w:rsid w:val="001215D2"/>
    <w:rsid w:val="00131452"/>
    <w:rsid w:val="00134A24"/>
    <w:rsid w:val="00141723"/>
    <w:rsid w:val="00142FF6"/>
    <w:rsid w:val="00154652"/>
    <w:rsid w:val="0015706E"/>
    <w:rsid w:val="00163865"/>
    <w:rsid w:val="0018741F"/>
    <w:rsid w:val="00196FD3"/>
    <w:rsid w:val="0019779E"/>
    <w:rsid w:val="001A0446"/>
    <w:rsid w:val="001A2A70"/>
    <w:rsid w:val="001A61ED"/>
    <w:rsid w:val="001A7865"/>
    <w:rsid w:val="001B0F96"/>
    <w:rsid w:val="001B392D"/>
    <w:rsid w:val="001B5017"/>
    <w:rsid w:val="001B6B31"/>
    <w:rsid w:val="001C0967"/>
    <w:rsid w:val="001C190C"/>
    <w:rsid w:val="001D29E9"/>
    <w:rsid w:val="001D3F34"/>
    <w:rsid w:val="00212CCD"/>
    <w:rsid w:val="00217511"/>
    <w:rsid w:val="00220DA1"/>
    <w:rsid w:val="00221F4C"/>
    <w:rsid w:val="00224C8F"/>
    <w:rsid w:val="00227217"/>
    <w:rsid w:val="002309B3"/>
    <w:rsid w:val="00235219"/>
    <w:rsid w:val="002440A0"/>
    <w:rsid w:val="0025438C"/>
    <w:rsid w:val="002552C7"/>
    <w:rsid w:val="0025585A"/>
    <w:rsid w:val="00256D2B"/>
    <w:rsid w:val="0027523C"/>
    <w:rsid w:val="002B2C84"/>
    <w:rsid w:val="002C60D5"/>
    <w:rsid w:val="002D26CA"/>
    <w:rsid w:val="002D40A2"/>
    <w:rsid w:val="002D63FD"/>
    <w:rsid w:val="002D7D7B"/>
    <w:rsid w:val="002E1E1B"/>
    <w:rsid w:val="002E712A"/>
    <w:rsid w:val="002F1368"/>
    <w:rsid w:val="00305F75"/>
    <w:rsid w:val="003140EB"/>
    <w:rsid w:val="003220B0"/>
    <w:rsid w:val="00325A78"/>
    <w:rsid w:val="00337589"/>
    <w:rsid w:val="0035118B"/>
    <w:rsid w:val="00353587"/>
    <w:rsid w:val="003665A1"/>
    <w:rsid w:val="0036761C"/>
    <w:rsid w:val="003810EB"/>
    <w:rsid w:val="0038208A"/>
    <w:rsid w:val="003931DE"/>
    <w:rsid w:val="003C4670"/>
    <w:rsid w:val="003C7253"/>
    <w:rsid w:val="003D0542"/>
    <w:rsid w:val="003D4D0C"/>
    <w:rsid w:val="003D78C2"/>
    <w:rsid w:val="003E02F2"/>
    <w:rsid w:val="003E5DCD"/>
    <w:rsid w:val="003F38AD"/>
    <w:rsid w:val="003F7A56"/>
    <w:rsid w:val="00411017"/>
    <w:rsid w:val="00421349"/>
    <w:rsid w:val="00422C79"/>
    <w:rsid w:val="00435588"/>
    <w:rsid w:val="0043580A"/>
    <w:rsid w:val="00440691"/>
    <w:rsid w:val="004409C5"/>
    <w:rsid w:val="0044451F"/>
    <w:rsid w:val="00460CE0"/>
    <w:rsid w:val="00466679"/>
    <w:rsid w:val="00474B06"/>
    <w:rsid w:val="00476496"/>
    <w:rsid w:val="004930BE"/>
    <w:rsid w:val="004A7472"/>
    <w:rsid w:val="004A7C91"/>
    <w:rsid w:val="004B559A"/>
    <w:rsid w:val="004C1EC6"/>
    <w:rsid w:val="004D1D90"/>
    <w:rsid w:val="004D72C2"/>
    <w:rsid w:val="004E14CD"/>
    <w:rsid w:val="004E4E42"/>
    <w:rsid w:val="004E5B2F"/>
    <w:rsid w:val="004F2FF3"/>
    <w:rsid w:val="004F4C7E"/>
    <w:rsid w:val="004F7A93"/>
    <w:rsid w:val="00502FC8"/>
    <w:rsid w:val="0050778A"/>
    <w:rsid w:val="00513A56"/>
    <w:rsid w:val="00521540"/>
    <w:rsid w:val="00526723"/>
    <w:rsid w:val="00530A8D"/>
    <w:rsid w:val="00541BE7"/>
    <w:rsid w:val="00542565"/>
    <w:rsid w:val="00552186"/>
    <w:rsid w:val="00552590"/>
    <w:rsid w:val="00554E90"/>
    <w:rsid w:val="005632FA"/>
    <w:rsid w:val="005642B5"/>
    <w:rsid w:val="0056509E"/>
    <w:rsid w:val="00566B0E"/>
    <w:rsid w:val="00573105"/>
    <w:rsid w:val="00581DBB"/>
    <w:rsid w:val="005A0039"/>
    <w:rsid w:val="005A7494"/>
    <w:rsid w:val="005B053D"/>
    <w:rsid w:val="005C382F"/>
    <w:rsid w:val="005C3844"/>
    <w:rsid w:val="005C6276"/>
    <w:rsid w:val="005E4A26"/>
    <w:rsid w:val="005F3C8E"/>
    <w:rsid w:val="006040D3"/>
    <w:rsid w:val="006102FE"/>
    <w:rsid w:val="00613689"/>
    <w:rsid w:val="006207A3"/>
    <w:rsid w:val="00621395"/>
    <w:rsid w:val="00634915"/>
    <w:rsid w:val="00635012"/>
    <w:rsid w:val="006423CD"/>
    <w:rsid w:val="0064348A"/>
    <w:rsid w:val="00644348"/>
    <w:rsid w:val="00651C9F"/>
    <w:rsid w:val="00653017"/>
    <w:rsid w:val="006574A9"/>
    <w:rsid w:val="006658C3"/>
    <w:rsid w:val="00670ADF"/>
    <w:rsid w:val="006718D7"/>
    <w:rsid w:val="00687524"/>
    <w:rsid w:val="00695314"/>
    <w:rsid w:val="006959D8"/>
    <w:rsid w:val="006A60CC"/>
    <w:rsid w:val="006B05D8"/>
    <w:rsid w:val="006B443A"/>
    <w:rsid w:val="006B4F6B"/>
    <w:rsid w:val="006C6787"/>
    <w:rsid w:val="006E4150"/>
    <w:rsid w:val="006F0665"/>
    <w:rsid w:val="006F261D"/>
    <w:rsid w:val="006F6E9B"/>
    <w:rsid w:val="00717599"/>
    <w:rsid w:val="0072503F"/>
    <w:rsid w:val="007427C5"/>
    <w:rsid w:val="007477B3"/>
    <w:rsid w:val="0075101B"/>
    <w:rsid w:val="00766A50"/>
    <w:rsid w:val="00766D59"/>
    <w:rsid w:val="0078468C"/>
    <w:rsid w:val="007A1196"/>
    <w:rsid w:val="007A5948"/>
    <w:rsid w:val="007A7F51"/>
    <w:rsid w:val="007B1ECA"/>
    <w:rsid w:val="007B2349"/>
    <w:rsid w:val="007B2745"/>
    <w:rsid w:val="007C0E95"/>
    <w:rsid w:val="007D390B"/>
    <w:rsid w:val="007D4714"/>
    <w:rsid w:val="007D4864"/>
    <w:rsid w:val="007D5F3B"/>
    <w:rsid w:val="007E0184"/>
    <w:rsid w:val="007E642D"/>
    <w:rsid w:val="00800AEE"/>
    <w:rsid w:val="00817801"/>
    <w:rsid w:val="00820CD7"/>
    <w:rsid w:val="0085211F"/>
    <w:rsid w:val="008540B8"/>
    <w:rsid w:val="00860471"/>
    <w:rsid w:val="008875AC"/>
    <w:rsid w:val="0089265F"/>
    <w:rsid w:val="008B0B54"/>
    <w:rsid w:val="008B1675"/>
    <w:rsid w:val="008B33C8"/>
    <w:rsid w:val="008B4A39"/>
    <w:rsid w:val="008C4C3D"/>
    <w:rsid w:val="008D435E"/>
    <w:rsid w:val="008E10E8"/>
    <w:rsid w:val="008E157E"/>
    <w:rsid w:val="008F068B"/>
    <w:rsid w:val="008F2850"/>
    <w:rsid w:val="008F4545"/>
    <w:rsid w:val="009030FE"/>
    <w:rsid w:val="0091465E"/>
    <w:rsid w:val="00915988"/>
    <w:rsid w:val="00915B83"/>
    <w:rsid w:val="0092008F"/>
    <w:rsid w:val="00923C38"/>
    <w:rsid w:val="00932B7F"/>
    <w:rsid w:val="00942714"/>
    <w:rsid w:val="00943B98"/>
    <w:rsid w:val="009472CB"/>
    <w:rsid w:val="009478DE"/>
    <w:rsid w:val="00953378"/>
    <w:rsid w:val="009545CB"/>
    <w:rsid w:val="00955544"/>
    <w:rsid w:val="00955591"/>
    <w:rsid w:val="00961C0C"/>
    <w:rsid w:val="00967BF0"/>
    <w:rsid w:val="0097469D"/>
    <w:rsid w:val="00980EA8"/>
    <w:rsid w:val="00983D16"/>
    <w:rsid w:val="00991691"/>
    <w:rsid w:val="009B3CBA"/>
    <w:rsid w:val="009B5762"/>
    <w:rsid w:val="009B5D87"/>
    <w:rsid w:val="009C7231"/>
    <w:rsid w:val="009F62AC"/>
    <w:rsid w:val="00A1780D"/>
    <w:rsid w:val="00A26145"/>
    <w:rsid w:val="00A35156"/>
    <w:rsid w:val="00A57D34"/>
    <w:rsid w:val="00A603AA"/>
    <w:rsid w:val="00A65FB4"/>
    <w:rsid w:val="00A72B56"/>
    <w:rsid w:val="00A83589"/>
    <w:rsid w:val="00A84750"/>
    <w:rsid w:val="00A850C1"/>
    <w:rsid w:val="00A92842"/>
    <w:rsid w:val="00A92A15"/>
    <w:rsid w:val="00A92DDC"/>
    <w:rsid w:val="00A93464"/>
    <w:rsid w:val="00AB76BE"/>
    <w:rsid w:val="00AD31AA"/>
    <w:rsid w:val="00AD45C9"/>
    <w:rsid w:val="00AD5EF2"/>
    <w:rsid w:val="00AD6386"/>
    <w:rsid w:val="00AE3E48"/>
    <w:rsid w:val="00AE45CD"/>
    <w:rsid w:val="00AE5321"/>
    <w:rsid w:val="00B02E57"/>
    <w:rsid w:val="00B10168"/>
    <w:rsid w:val="00B21F65"/>
    <w:rsid w:val="00B30CB2"/>
    <w:rsid w:val="00B4013B"/>
    <w:rsid w:val="00B420D4"/>
    <w:rsid w:val="00B5000B"/>
    <w:rsid w:val="00B5600B"/>
    <w:rsid w:val="00B63235"/>
    <w:rsid w:val="00B733AD"/>
    <w:rsid w:val="00B82987"/>
    <w:rsid w:val="00B85995"/>
    <w:rsid w:val="00B933EA"/>
    <w:rsid w:val="00B93569"/>
    <w:rsid w:val="00BA19C8"/>
    <w:rsid w:val="00BB2F74"/>
    <w:rsid w:val="00BC2FAB"/>
    <w:rsid w:val="00BE0132"/>
    <w:rsid w:val="00BE178E"/>
    <w:rsid w:val="00BE1FF5"/>
    <w:rsid w:val="00BE40CE"/>
    <w:rsid w:val="00BF5AED"/>
    <w:rsid w:val="00BF5DE6"/>
    <w:rsid w:val="00BF6748"/>
    <w:rsid w:val="00BF6DE3"/>
    <w:rsid w:val="00C04197"/>
    <w:rsid w:val="00C24F1B"/>
    <w:rsid w:val="00C33990"/>
    <w:rsid w:val="00C35D69"/>
    <w:rsid w:val="00C4150F"/>
    <w:rsid w:val="00C50489"/>
    <w:rsid w:val="00C506D0"/>
    <w:rsid w:val="00C571D8"/>
    <w:rsid w:val="00C6620A"/>
    <w:rsid w:val="00C7533A"/>
    <w:rsid w:val="00C754E6"/>
    <w:rsid w:val="00C84E92"/>
    <w:rsid w:val="00C8586B"/>
    <w:rsid w:val="00C90DA6"/>
    <w:rsid w:val="00C9419C"/>
    <w:rsid w:val="00C94B23"/>
    <w:rsid w:val="00CA0364"/>
    <w:rsid w:val="00CA1E23"/>
    <w:rsid w:val="00CA3823"/>
    <w:rsid w:val="00CA5B7F"/>
    <w:rsid w:val="00CA628E"/>
    <w:rsid w:val="00CB262F"/>
    <w:rsid w:val="00CB26FD"/>
    <w:rsid w:val="00CD2E53"/>
    <w:rsid w:val="00CD33CD"/>
    <w:rsid w:val="00CE1AD4"/>
    <w:rsid w:val="00CE4730"/>
    <w:rsid w:val="00CE574A"/>
    <w:rsid w:val="00CF0796"/>
    <w:rsid w:val="00CF1A8D"/>
    <w:rsid w:val="00CF2EE3"/>
    <w:rsid w:val="00CF63E2"/>
    <w:rsid w:val="00D0346B"/>
    <w:rsid w:val="00D10E36"/>
    <w:rsid w:val="00D43776"/>
    <w:rsid w:val="00D63029"/>
    <w:rsid w:val="00D75372"/>
    <w:rsid w:val="00D82931"/>
    <w:rsid w:val="00D95B4E"/>
    <w:rsid w:val="00DA0C31"/>
    <w:rsid w:val="00DB10FD"/>
    <w:rsid w:val="00DB223B"/>
    <w:rsid w:val="00DD41C0"/>
    <w:rsid w:val="00DE7163"/>
    <w:rsid w:val="00DF0386"/>
    <w:rsid w:val="00DF785E"/>
    <w:rsid w:val="00E06528"/>
    <w:rsid w:val="00E17D94"/>
    <w:rsid w:val="00E46426"/>
    <w:rsid w:val="00E5062D"/>
    <w:rsid w:val="00E51B68"/>
    <w:rsid w:val="00E60C49"/>
    <w:rsid w:val="00E60C57"/>
    <w:rsid w:val="00E63AD8"/>
    <w:rsid w:val="00E80E4D"/>
    <w:rsid w:val="00E8391A"/>
    <w:rsid w:val="00E83C5F"/>
    <w:rsid w:val="00E90334"/>
    <w:rsid w:val="00E9187C"/>
    <w:rsid w:val="00E96347"/>
    <w:rsid w:val="00EA32C4"/>
    <w:rsid w:val="00EA5965"/>
    <w:rsid w:val="00EB062D"/>
    <w:rsid w:val="00EB1E69"/>
    <w:rsid w:val="00EB71B8"/>
    <w:rsid w:val="00EE02AB"/>
    <w:rsid w:val="00EF7A3E"/>
    <w:rsid w:val="00EF7F05"/>
    <w:rsid w:val="00F048BC"/>
    <w:rsid w:val="00F05689"/>
    <w:rsid w:val="00F11098"/>
    <w:rsid w:val="00F34AA8"/>
    <w:rsid w:val="00F350BB"/>
    <w:rsid w:val="00F41F65"/>
    <w:rsid w:val="00F43954"/>
    <w:rsid w:val="00F454D2"/>
    <w:rsid w:val="00F5626D"/>
    <w:rsid w:val="00F749F2"/>
    <w:rsid w:val="00F80DDE"/>
    <w:rsid w:val="00F858B7"/>
    <w:rsid w:val="00F904BB"/>
    <w:rsid w:val="00F924E0"/>
    <w:rsid w:val="00F978B5"/>
    <w:rsid w:val="00FA4BAC"/>
    <w:rsid w:val="00FA6135"/>
    <w:rsid w:val="00FB2D6B"/>
    <w:rsid w:val="00FB2DC0"/>
    <w:rsid w:val="00FB5068"/>
    <w:rsid w:val="00FC2742"/>
    <w:rsid w:val="00FC3C2A"/>
    <w:rsid w:val="00FC4480"/>
    <w:rsid w:val="00FD538B"/>
    <w:rsid w:val="00FD7A3E"/>
    <w:rsid w:val="00FE7543"/>
    <w:rsid w:val="00FF3E7B"/>
    <w:rsid w:val="00FF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0EFC"/>
  <w15:chartTrackingRefBased/>
  <w15:docId w15:val="{3EA06840-7785-4CD1-93A0-C6C30B7E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3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3FD"/>
    <w:rPr>
      <w:sz w:val="18"/>
      <w:szCs w:val="18"/>
    </w:rPr>
  </w:style>
  <w:style w:type="paragraph" w:styleId="a5">
    <w:name w:val="footer"/>
    <w:basedOn w:val="a"/>
    <w:link w:val="a6"/>
    <w:uiPriority w:val="99"/>
    <w:unhideWhenUsed/>
    <w:rsid w:val="002D63FD"/>
    <w:pPr>
      <w:tabs>
        <w:tab w:val="center" w:pos="4153"/>
        <w:tab w:val="right" w:pos="8306"/>
      </w:tabs>
      <w:snapToGrid w:val="0"/>
      <w:jc w:val="left"/>
    </w:pPr>
    <w:rPr>
      <w:sz w:val="18"/>
      <w:szCs w:val="18"/>
    </w:rPr>
  </w:style>
  <w:style w:type="character" w:customStyle="1" w:styleId="a6">
    <w:name w:val="页脚 字符"/>
    <w:basedOn w:val="a0"/>
    <w:link w:val="a5"/>
    <w:uiPriority w:val="99"/>
    <w:rsid w:val="002D63FD"/>
    <w:rPr>
      <w:sz w:val="18"/>
      <w:szCs w:val="18"/>
    </w:rPr>
  </w:style>
  <w:style w:type="paragraph" w:styleId="a7">
    <w:name w:val="List Paragraph"/>
    <w:basedOn w:val="a"/>
    <w:uiPriority w:val="34"/>
    <w:qFormat/>
    <w:rsid w:val="002D63FD"/>
    <w:pPr>
      <w:ind w:firstLineChars="200" w:firstLine="420"/>
    </w:pPr>
  </w:style>
  <w:style w:type="paragraph" w:styleId="a8">
    <w:name w:val="Balloon Text"/>
    <w:basedOn w:val="a"/>
    <w:link w:val="a9"/>
    <w:uiPriority w:val="99"/>
    <w:semiHidden/>
    <w:unhideWhenUsed/>
    <w:rsid w:val="00E60C57"/>
    <w:rPr>
      <w:sz w:val="18"/>
      <w:szCs w:val="18"/>
    </w:rPr>
  </w:style>
  <w:style w:type="character" w:customStyle="1" w:styleId="a9">
    <w:name w:val="批注框文本 字符"/>
    <w:basedOn w:val="a0"/>
    <w:link w:val="a8"/>
    <w:uiPriority w:val="99"/>
    <w:semiHidden/>
    <w:rsid w:val="00E60C57"/>
    <w:rPr>
      <w:sz w:val="18"/>
      <w:szCs w:val="18"/>
    </w:rPr>
  </w:style>
  <w:style w:type="character" w:styleId="aa">
    <w:name w:val="annotation reference"/>
    <w:basedOn w:val="a0"/>
    <w:uiPriority w:val="99"/>
    <w:semiHidden/>
    <w:unhideWhenUsed/>
    <w:rsid w:val="005E4A26"/>
    <w:rPr>
      <w:sz w:val="21"/>
      <w:szCs w:val="21"/>
    </w:rPr>
  </w:style>
  <w:style w:type="paragraph" w:styleId="ab">
    <w:name w:val="annotation text"/>
    <w:basedOn w:val="a"/>
    <w:link w:val="ac"/>
    <w:uiPriority w:val="99"/>
    <w:semiHidden/>
    <w:unhideWhenUsed/>
    <w:rsid w:val="005E4A26"/>
    <w:pPr>
      <w:jc w:val="left"/>
    </w:pPr>
  </w:style>
  <w:style w:type="character" w:customStyle="1" w:styleId="ac">
    <w:name w:val="批注文字 字符"/>
    <w:basedOn w:val="a0"/>
    <w:link w:val="ab"/>
    <w:uiPriority w:val="99"/>
    <w:semiHidden/>
    <w:rsid w:val="005E4A26"/>
  </w:style>
  <w:style w:type="paragraph" w:styleId="ad">
    <w:name w:val="annotation subject"/>
    <w:basedOn w:val="ab"/>
    <w:next w:val="ab"/>
    <w:link w:val="ae"/>
    <w:uiPriority w:val="99"/>
    <w:semiHidden/>
    <w:unhideWhenUsed/>
    <w:rsid w:val="005E4A26"/>
    <w:rPr>
      <w:b/>
      <w:bCs/>
    </w:rPr>
  </w:style>
  <w:style w:type="character" w:customStyle="1" w:styleId="ae">
    <w:name w:val="批注主题 字符"/>
    <w:basedOn w:val="ac"/>
    <w:link w:val="ad"/>
    <w:uiPriority w:val="99"/>
    <w:semiHidden/>
    <w:rsid w:val="005E4A26"/>
    <w:rPr>
      <w:b/>
      <w:bCs/>
    </w:rPr>
  </w:style>
  <w:style w:type="paragraph" w:styleId="af">
    <w:name w:val="Revision"/>
    <w:hidden/>
    <w:uiPriority w:val="99"/>
    <w:semiHidden/>
    <w:rsid w:val="0068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189">
      <w:bodyDiv w:val="1"/>
      <w:marLeft w:val="0"/>
      <w:marRight w:val="0"/>
      <w:marTop w:val="0"/>
      <w:marBottom w:val="0"/>
      <w:divBdr>
        <w:top w:val="none" w:sz="0" w:space="0" w:color="auto"/>
        <w:left w:val="none" w:sz="0" w:space="0" w:color="auto"/>
        <w:bottom w:val="none" w:sz="0" w:space="0" w:color="auto"/>
        <w:right w:val="none" w:sz="0" w:space="0" w:color="auto"/>
      </w:divBdr>
    </w:div>
    <w:div w:id="484786505">
      <w:bodyDiv w:val="1"/>
      <w:marLeft w:val="0"/>
      <w:marRight w:val="0"/>
      <w:marTop w:val="0"/>
      <w:marBottom w:val="0"/>
      <w:divBdr>
        <w:top w:val="none" w:sz="0" w:space="0" w:color="auto"/>
        <w:left w:val="none" w:sz="0" w:space="0" w:color="auto"/>
        <w:bottom w:val="none" w:sz="0" w:space="0" w:color="auto"/>
        <w:right w:val="none" w:sz="0" w:space="0" w:color="auto"/>
      </w:divBdr>
    </w:div>
    <w:div w:id="846942101">
      <w:bodyDiv w:val="1"/>
      <w:marLeft w:val="0"/>
      <w:marRight w:val="0"/>
      <w:marTop w:val="0"/>
      <w:marBottom w:val="0"/>
      <w:divBdr>
        <w:top w:val="none" w:sz="0" w:space="0" w:color="auto"/>
        <w:left w:val="none" w:sz="0" w:space="0" w:color="auto"/>
        <w:bottom w:val="none" w:sz="0" w:space="0" w:color="auto"/>
        <w:right w:val="none" w:sz="0" w:space="0" w:color="auto"/>
      </w:divBdr>
    </w:div>
    <w:div w:id="1357195091">
      <w:bodyDiv w:val="1"/>
      <w:marLeft w:val="0"/>
      <w:marRight w:val="0"/>
      <w:marTop w:val="0"/>
      <w:marBottom w:val="0"/>
      <w:divBdr>
        <w:top w:val="none" w:sz="0" w:space="0" w:color="auto"/>
        <w:left w:val="none" w:sz="0" w:space="0" w:color="auto"/>
        <w:bottom w:val="none" w:sz="0" w:space="0" w:color="auto"/>
        <w:right w:val="none" w:sz="0" w:space="0" w:color="auto"/>
      </w:divBdr>
    </w:div>
    <w:div w:id="1396398064">
      <w:bodyDiv w:val="1"/>
      <w:marLeft w:val="0"/>
      <w:marRight w:val="0"/>
      <w:marTop w:val="0"/>
      <w:marBottom w:val="0"/>
      <w:divBdr>
        <w:top w:val="none" w:sz="0" w:space="0" w:color="auto"/>
        <w:left w:val="none" w:sz="0" w:space="0" w:color="auto"/>
        <w:bottom w:val="none" w:sz="0" w:space="0" w:color="auto"/>
        <w:right w:val="none" w:sz="0" w:space="0" w:color="auto"/>
      </w:divBdr>
    </w:div>
    <w:div w:id="1651472254">
      <w:bodyDiv w:val="1"/>
      <w:marLeft w:val="0"/>
      <w:marRight w:val="0"/>
      <w:marTop w:val="0"/>
      <w:marBottom w:val="0"/>
      <w:divBdr>
        <w:top w:val="none" w:sz="0" w:space="0" w:color="auto"/>
        <w:left w:val="none" w:sz="0" w:space="0" w:color="auto"/>
        <w:bottom w:val="none" w:sz="0" w:space="0" w:color="auto"/>
        <w:right w:val="none" w:sz="0" w:space="0" w:color="auto"/>
      </w:divBdr>
    </w:div>
    <w:div w:id="1947807145">
      <w:bodyDiv w:val="1"/>
      <w:marLeft w:val="0"/>
      <w:marRight w:val="0"/>
      <w:marTop w:val="0"/>
      <w:marBottom w:val="0"/>
      <w:divBdr>
        <w:top w:val="none" w:sz="0" w:space="0" w:color="auto"/>
        <w:left w:val="none" w:sz="0" w:space="0" w:color="auto"/>
        <w:bottom w:val="none" w:sz="0" w:space="0" w:color="auto"/>
        <w:right w:val="none" w:sz="0" w:space="0" w:color="auto"/>
      </w:divBdr>
    </w:div>
    <w:div w:id="20896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Jugar</dc:creator>
  <cp:keywords/>
  <dc:description/>
  <cp:lastModifiedBy>LBX</cp:lastModifiedBy>
  <cp:revision>40</cp:revision>
  <dcterms:created xsi:type="dcterms:W3CDTF">2023-07-02T11:13:00Z</dcterms:created>
  <dcterms:modified xsi:type="dcterms:W3CDTF">2024-01-03T06:20:00Z</dcterms:modified>
</cp:coreProperties>
</file>