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ED" w:rsidRDefault="004762D3">
      <w:pPr>
        <w:autoSpaceDE w:val="0"/>
        <w:autoSpaceDN w:val="0"/>
        <w:adjustRightInd w:val="0"/>
        <w:snapToGrid w:val="0"/>
        <w:spacing w:line="288" w:lineRule="auto"/>
        <w:rPr>
          <w:rFonts w:ascii="宋体" w:hAnsi="宋体" w:cs="宋体"/>
          <w:kern w:val="0"/>
          <w:sz w:val="28"/>
          <w:szCs w:val="28"/>
          <w:lang w:val="zh-CN" w:bidi="zh-CN"/>
        </w:rPr>
      </w:pPr>
      <w:r>
        <w:rPr>
          <w:rFonts w:ascii="宋体" w:hAnsi="宋体" w:cs="宋体" w:hint="eastAsia"/>
          <w:kern w:val="0"/>
          <w:sz w:val="28"/>
          <w:szCs w:val="28"/>
          <w:lang w:val="zh-CN" w:bidi="zh-CN"/>
        </w:rPr>
        <w:t>证券代码：</w:t>
      </w:r>
      <w:r>
        <w:rPr>
          <w:rFonts w:ascii="宋体" w:hAnsi="宋体" w:cs="宋体" w:hint="eastAsia"/>
          <w:kern w:val="0"/>
          <w:sz w:val="28"/>
          <w:szCs w:val="28"/>
          <w:lang w:val="zh-CN" w:bidi="zh-CN"/>
        </w:rPr>
        <w:t xml:space="preserve">603977                         </w:t>
      </w:r>
      <w:r>
        <w:rPr>
          <w:rFonts w:ascii="宋体" w:hAnsi="宋体" w:cs="宋体" w:hint="eastAsia"/>
          <w:kern w:val="0"/>
          <w:sz w:val="28"/>
          <w:szCs w:val="28"/>
          <w:lang w:val="zh-CN" w:bidi="zh-CN"/>
        </w:rPr>
        <w:t>证券简称：国泰集团</w:t>
      </w:r>
    </w:p>
    <w:p w:rsidR="001549ED" w:rsidRDefault="004762D3">
      <w:pPr>
        <w:adjustRightInd w:val="0"/>
        <w:snapToGrid w:val="0"/>
        <w:spacing w:beforeLines="100" w:before="312" w:line="480" w:lineRule="exact"/>
        <w:jc w:val="center"/>
        <w:rPr>
          <w:rFonts w:ascii="黑体" w:eastAsia="黑体" w:hAnsi="黑体"/>
          <w:b/>
          <w:bCs/>
          <w:color w:val="FF0000"/>
          <w:sz w:val="32"/>
          <w:szCs w:val="36"/>
        </w:rPr>
      </w:pPr>
      <w:r>
        <w:rPr>
          <w:rFonts w:ascii="黑体" w:eastAsia="黑体" w:hAnsi="黑体" w:hint="eastAsia"/>
          <w:b/>
          <w:bCs/>
          <w:color w:val="FF0000"/>
          <w:sz w:val="32"/>
          <w:szCs w:val="36"/>
        </w:rPr>
        <w:t>江西国泰集团股份有限公司</w:t>
      </w:r>
    </w:p>
    <w:p w:rsidR="001549ED" w:rsidRDefault="004762D3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等线" w:hAnsi="等线"/>
          <w:b/>
          <w:bCs/>
          <w:color w:val="FF0000"/>
          <w:sz w:val="32"/>
          <w:szCs w:val="36"/>
        </w:rPr>
      </w:pPr>
      <w:r>
        <w:rPr>
          <w:rFonts w:ascii="黑体" w:eastAsia="黑体" w:hAnsi="黑体" w:hint="eastAsia"/>
          <w:b/>
          <w:bCs/>
          <w:color w:val="FF0000"/>
          <w:sz w:val="32"/>
          <w:szCs w:val="36"/>
        </w:rPr>
        <w:t>投资者关系活动记录表</w:t>
      </w:r>
    </w:p>
    <w:p w:rsidR="001549ED" w:rsidRDefault="004762D3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编号：</w:t>
      </w:r>
      <w:r>
        <w:rPr>
          <w:rFonts w:ascii="宋体" w:hAnsi="宋体" w:hint="eastAsia"/>
        </w:rPr>
        <w:t>2024-001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1549ED">
        <w:trPr>
          <w:trHeight w:val="1967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adjustRightInd w:val="0"/>
              <w:snapToGrid w:val="0"/>
              <w:spacing w:line="440" w:lineRule="exac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sz w:val="24"/>
                <w:szCs w:val="24"/>
              </w:rPr>
              <w:t>特定对象调研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分析师会议</w:t>
            </w:r>
          </w:p>
          <w:p w:rsidR="001549ED" w:rsidRDefault="004762D3">
            <w:pPr>
              <w:pStyle w:val="New0"/>
              <w:adjustRightInd w:val="0"/>
              <w:snapToGrid w:val="0"/>
              <w:spacing w:line="44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sym w:font="Wingdings 2" w:char="00A3"/>
            </w:r>
            <w:r>
              <w:rPr>
                <w:sz w:val="24"/>
              </w:rPr>
              <w:t>媒体采访</w:t>
            </w:r>
            <w:r>
              <w:rPr>
                <w:sz w:val="24"/>
              </w:rPr>
              <w:t xml:space="preserve">           </w:t>
            </w:r>
            <w:r>
              <w:rPr>
                <w:bCs/>
                <w:iCs/>
                <w:sz w:val="24"/>
              </w:rPr>
              <w:sym w:font="Wingdings 2" w:char="00A3"/>
            </w:r>
            <w:r>
              <w:rPr>
                <w:sz w:val="24"/>
              </w:rPr>
              <w:t>业绩说明会</w:t>
            </w:r>
          </w:p>
          <w:p w:rsidR="001549ED" w:rsidRDefault="004762D3">
            <w:pPr>
              <w:pStyle w:val="New0"/>
              <w:adjustRightInd w:val="0"/>
              <w:snapToGrid w:val="0"/>
              <w:spacing w:line="44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sym w:font="Wingdings 2" w:char="00A3"/>
            </w:r>
            <w:r>
              <w:rPr>
                <w:sz w:val="24"/>
              </w:rPr>
              <w:t>新闻发布会</w:t>
            </w:r>
            <w:r>
              <w:rPr>
                <w:sz w:val="24"/>
              </w:rPr>
              <w:t xml:space="preserve">         </w:t>
            </w:r>
            <w:r>
              <w:rPr>
                <w:bCs/>
                <w:iCs/>
                <w:sz w:val="24"/>
              </w:rPr>
              <w:sym w:font="Wingdings 2" w:char="00A3"/>
            </w:r>
            <w:r>
              <w:rPr>
                <w:sz w:val="24"/>
              </w:rPr>
              <w:t>路演活动</w:t>
            </w:r>
          </w:p>
          <w:p w:rsidR="001549ED" w:rsidRDefault="004762D3">
            <w:pPr>
              <w:adjustRightInd w:val="0"/>
              <w:snapToGrid w:val="0"/>
              <w:spacing w:line="440" w:lineRule="exac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>电话会议</w:t>
            </w:r>
          </w:p>
          <w:p w:rsidR="001549ED" w:rsidRDefault="004762D3">
            <w:pPr>
              <w:pStyle w:val="New0"/>
              <w:tabs>
                <w:tab w:val="center" w:pos="3199"/>
              </w:tabs>
              <w:adjustRightInd w:val="0"/>
              <w:snapToGrid w:val="0"/>
              <w:spacing w:line="440" w:lineRule="exact"/>
              <w:rPr>
                <w:bCs/>
                <w:iCs/>
                <w:sz w:val="24"/>
                <w:u w:val="single"/>
              </w:rPr>
            </w:pPr>
            <w:r>
              <w:rPr>
                <w:bCs/>
                <w:iCs/>
                <w:sz w:val="24"/>
              </w:rPr>
              <w:sym w:font="Wingdings 2" w:char="00A3"/>
            </w:r>
            <w:r>
              <w:rPr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1549ED">
        <w:trPr>
          <w:trHeight w:val="2553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华泰证券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李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聪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田莫充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东吴证券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苏立赞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国盛证券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刘天祥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易方达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张一哲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长信基金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刘曦明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中邮基金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刘星辰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长盛基金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腾光耀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浙商资管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庞雅菁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互兴投资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陈继宏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汐泰投资管理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奚嘉键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睿亿投资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甘洪涛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黄建军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百年保险资管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李兴宇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清淙投资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于海恒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叁合资产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梅华锋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刘秀峰</w:t>
            </w:r>
          </w:p>
          <w:p w:rsidR="001549ED" w:rsidRDefault="004762D3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华融投资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朋</w:t>
            </w:r>
          </w:p>
        </w:tc>
      </w:tr>
      <w:tr w:rsidR="001549ED">
        <w:trPr>
          <w:trHeight w:val="460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时间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4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2023</w:t>
            </w:r>
            <w:r>
              <w:rPr>
                <w:rFonts w:ascii="宋体" w:hAnsi="宋体" w:hint="eastAsia"/>
                <w:bCs/>
                <w:iCs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sz w:val="24"/>
              </w:rPr>
              <w:t>12</w:t>
            </w:r>
            <w:r>
              <w:rPr>
                <w:rFonts w:ascii="宋体" w:hAnsi="宋体" w:hint="eastAsia"/>
                <w:bCs/>
                <w:iCs/>
                <w:sz w:val="24"/>
              </w:rPr>
              <w:t>月</w:t>
            </w:r>
          </w:p>
        </w:tc>
      </w:tr>
      <w:tr w:rsidR="001549ED">
        <w:trPr>
          <w:trHeight w:val="450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地点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江西省南昌市高新开发区高新大道</w:t>
            </w:r>
            <w:r>
              <w:rPr>
                <w:rFonts w:ascii="宋体" w:hAnsi="宋体" w:hint="eastAsia"/>
                <w:bCs/>
                <w:iCs/>
                <w:sz w:val="24"/>
              </w:rPr>
              <w:t>699</w:t>
            </w:r>
            <w:r>
              <w:rPr>
                <w:rFonts w:ascii="宋体" w:hAnsi="宋体" w:hint="eastAsia"/>
                <w:bCs/>
                <w:iCs/>
                <w:sz w:val="24"/>
              </w:rPr>
              <w:t>号国泰集团会议室</w:t>
            </w:r>
          </w:p>
        </w:tc>
      </w:tr>
      <w:tr w:rsidR="001549ED">
        <w:trPr>
          <w:trHeight w:val="772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国泰集团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董事会秘书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何骥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1549ED">
        <w:trPr>
          <w:trHeight w:val="981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adjustRightInd w:val="0"/>
              <w:snapToGrid w:val="0"/>
              <w:spacing w:line="480" w:lineRule="atLeast"/>
              <w:rPr>
                <w:b/>
                <w:bCs/>
                <w:iCs/>
                <w:sz w:val="24"/>
              </w:rPr>
            </w:pPr>
            <w:r>
              <w:rPr>
                <w:rFonts w:hint="eastAsia"/>
                <w:b/>
                <w:bCs/>
                <w:iCs/>
                <w:sz w:val="24"/>
              </w:rPr>
              <w:lastRenderedPageBreak/>
              <w:t>投资者关系活动主要内容介绍</w:t>
            </w:r>
          </w:p>
        </w:tc>
        <w:tc>
          <w:tcPr>
            <w:tcW w:w="6996" w:type="dxa"/>
          </w:tcPr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首先向投资者简要介绍公司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年三季度经营情况，民爆业务基本情况，电子雷管发展现状，公司军民融合业务情况，随后针对投资者关心的重点问题作了具体交流如下：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、目前国内民爆行业的发展格局是怎样的，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年国内民爆业务整体运行情况如何？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答：近年来，民爆企业集团重组整合稳步推进，产业集中度持续提升。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ascii="宋体" w:hAnsi="宋体" w:cs="宋体" w:hint="eastAsia"/>
                <w:sz w:val="24"/>
                <w:szCs w:val="24"/>
              </w:rPr>
              <w:t>年行业排名前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家民爆企业集团合计生产总值达</w:t>
            </w:r>
            <w:r>
              <w:rPr>
                <w:rFonts w:ascii="宋体" w:hAnsi="宋体" w:cs="宋体"/>
                <w:sz w:val="24"/>
                <w:szCs w:val="24"/>
              </w:rPr>
              <w:t>297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亿元，约占行业总产值的</w:t>
            </w:r>
            <w:r>
              <w:rPr>
                <w:rFonts w:ascii="宋体" w:hAnsi="宋体" w:cs="宋体"/>
                <w:sz w:val="24"/>
                <w:szCs w:val="24"/>
              </w:rPr>
              <w:t>76%</w:t>
            </w:r>
            <w:r>
              <w:rPr>
                <w:rFonts w:ascii="宋体" w:hAnsi="宋体" w:cs="宋体" w:hint="eastAsia"/>
                <w:sz w:val="24"/>
                <w:szCs w:val="24"/>
              </w:rPr>
              <w:t>，所占比例比</w:t>
            </w:r>
            <w:r>
              <w:rPr>
                <w:rFonts w:ascii="宋体" w:hAnsi="宋体" w:cs="宋体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年增长约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个百分点；行业排名前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sz w:val="24"/>
                <w:szCs w:val="24"/>
              </w:rPr>
              <w:t>家民爆企业集团合计炸药产量达</w:t>
            </w:r>
            <w:r>
              <w:rPr>
                <w:rFonts w:ascii="宋体" w:hAnsi="宋体" w:cs="宋体"/>
                <w:sz w:val="24"/>
                <w:szCs w:val="24"/>
              </w:rPr>
              <w:t>340</w:t>
            </w:r>
            <w:r>
              <w:rPr>
                <w:rFonts w:ascii="宋体" w:hAnsi="宋体" w:cs="宋体" w:hint="eastAsia"/>
                <w:sz w:val="24"/>
                <w:szCs w:val="24"/>
              </w:rPr>
              <w:t>万吨，约占行业总产量的</w:t>
            </w:r>
            <w:r>
              <w:rPr>
                <w:rFonts w:ascii="宋体" w:hAnsi="宋体" w:cs="宋体"/>
                <w:sz w:val="24"/>
                <w:szCs w:val="24"/>
              </w:rPr>
              <w:t>78%</w:t>
            </w:r>
            <w:r>
              <w:rPr>
                <w:rFonts w:ascii="宋体" w:hAnsi="宋体" w:cs="宋体" w:hint="eastAsia"/>
                <w:sz w:val="24"/>
                <w:szCs w:val="24"/>
              </w:rPr>
              <w:t>，所占比例比</w:t>
            </w:r>
            <w:r>
              <w:rPr>
                <w:rFonts w:ascii="宋体" w:hAnsi="宋体" w:cs="宋体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年增长约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个百分点；行业排名前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家民爆企业集团合计雷管产量达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亿发，约占行业总产量的</w:t>
            </w:r>
            <w:r>
              <w:rPr>
                <w:rFonts w:ascii="宋体" w:hAnsi="宋体" w:cs="宋体"/>
                <w:sz w:val="24"/>
                <w:szCs w:val="24"/>
              </w:rPr>
              <w:t>75%</w:t>
            </w:r>
            <w:r>
              <w:rPr>
                <w:rFonts w:ascii="宋体" w:hAnsi="宋体" w:cs="宋体" w:hint="eastAsia"/>
                <w:sz w:val="24"/>
                <w:szCs w:val="24"/>
              </w:rPr>
              <w:t>，所占比例比</w:t>
            </w:r>
            <w:r>
              <w:rPr>
                <w:rFonts w:ascii="宋体" w:hAnsi="宋体" w:cs="宋体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年增长约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个百分点。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根据中国爆破器材行业协会发布的统计数据，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年国内民爆行业继续保持向好的运行态势，主要经济指标增长稳定，产品供需关系动态平衡。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>1-11</w:t>
            </w:r>
            <w:r>
              <w:rPr>
                <w:rFonts w:ascii="宋体" w:hAnsi="宋体" w:cs="宋体" w:hint="eastAsia"/>
                <w:sz w:val="24"/>
                <w:szCs w:val="24"/>
              </w:rPr>
              <w:t>月，民爆生产企业累计完成生产、销售总值分别为</w:t>
            </w:r>
            <w:r>
              <w:rPr>
                <w:rFonts w:ascii="宋体" w:hAnsi="宋体" w:cs="宋体" w:hint="eastAsia"/>
                <w:sz w:val="24"/>
                <w:szCs w:val="24"/>
              </w:rPr>
              <w:t>401.87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亿元和</w:t>
            </w:r>
            <w:r>
              <w:rPr>
                <w:rFonts w:ascii="宋体" w:hAnsi="宋体" w:cs="宋体" w:hint="eastAsia"/>
                <w:sz w:val="24"/>
                <w:szCs w:val="24"/>
              </w:rPr>
              <w:t>400.01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亿元，同比分别增长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13.49%</w:t>
            </w:r>
            <w:r>
              <w:rPr>
                <w:rFonts w:ascii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hAnsi="宋体" w:cs="宋体" w:hint="eastAsia"/>
                <w:sz w:val="24"/>
                <w:szCs w:val="24"/>
              </w:rPr>
              <w:t>14.32%</w:t>
            </w:r>
            <w:r>
              <w:rPr>
                <w:rFonts w:ascii="宋体" w:hAnsi="宋体" w:cs="宋体" w:hint="eastAsia"/>
                <w:sz w:val="24"/>
                <w:szCs w:val="24"/>
              </w:rPr>
              <w:t>。民爆销售企业累计完成购进、销售总值分别为</w:t>
            </w:r>
            <w:r>
              <w:rPr>
                <w:rFonts w:ascii="宋体" w:hAnsi="宋体" w:cs="宋体" w:hint="eastAsia"/>
                <w:sz w:val="24"/>
                <w:szCs w:val="24"/>
              </w:rPr>
              <w:t>167.00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亿元和</w:t>
            </w:r>
            <w:r>
              <w:rPr>
                <w:rFonts w:ascii="宋体" w:hAnsi="宋体" w:cs="宋体" w:hint="eastAsia"/>
                <w:sz w:val="24"/>
                <w:szCs w:val="24"/>
              </w:rPr>
              <w:t>197.73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亿元，同比分别增长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13.57%</w:t>
            </w:r>
            <w:r>
              <w:rPr>
                <w:rFonts w:ascii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hAnsi="宋体" w:cs="宋体" w:hint="eastAsia"/>
                <w:sz w:val="24"/>
                <w:szCs w:val="24"/>
              </w:rPr>
              <w:t>11.33%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民爆生产企业累计实现主营业务收入</w:t>
            </w:r>
            <w:r>
              <w:rPr>
                <w:rFonts w:ascii="宋体" w:hAnsi="宋体" w:cs="宋体" w:hint="eastAsia"/>
                <w:sz w:val="24"/>
                <w:szCs w:val="24"/>
              </w:rPr>
              <w:t>448.64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15.53%</w:t>
            </w:r>
            <w:r>
              <w:rPr>
                <w:rFonts w:ascii="宋体" w:hAnsi="宋体" w:cs="宋体" w:hint="eastAsia"/>
                <w:sz w:val="24"/>
                <w:szCs w:val="24"/>
              </w:rPr>
              <w:t>；累计实现利税总额</w:t>
            </w:r>
            <w:r>
              <w:rPr>
                <w:rFonts w:ascii="宋体" w:hAnsi="宋体" w:cs="宋体" w:hint="eastAsia"/>
                <w:sz w:val="24"/>
                <w:szCs w:val="24"/>
              </w:rPr>
              <w:t>108.29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46.00%</w:t>
            </w:r>
            <w:r>
              <w:rPr>
                <w:rFonts w:ascii="宋体" w:hAnsi="宋体" w:cs="宋体" w:hint="eastAsia"/>
                <w:sz w:val="24"/>
                <w:szCs w:val="24"/>
              </w:rPr>
              <w:t>；累计实现利润总额</w:t>
            </w:r>
            <w:r>
              <w:rPr>
                <w:rFonts w:ascii="宋体" w:hAnsi="宋体" w:cs="宋体" w:hint="eastAsia"/>
                <w:sz w:val="24"/>
                <w:szCs w:val="24"/>
              </w:rPr>
              <w:t>79.42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53.08%</w:t>
            </w:r>
            <w:r>
              <w:rPr>
                <w:rFonts w:ascii="宋体" w:hAnsi="宋体" w:cs="宋体" w:hint="eastAsia"/>
                <w:sz w:val="24"/>
                <w:szCs w:val="24"/>
              </w:rPr>
              <w:t>；累计实现爆破服务收入</w:t>
            </w:r>
            <w:r>
              <w:rPr>
                <w:rFonts w:ascii="宋体" w:hAnsi="宋体" w:cs="宋体" w:hint="eastAsia"/>
                <w:sz w:val="24"/>
                <w:szCs w:val="24"/>
              </w:rPr>
              <w:t>304.75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亿元，同比增长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5.03%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549ED" w:rsidRDefault="001549E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、公司电子雷管业务发展、收入分布及</w:t>
            </w:r>
            <w:r w:rsidR="00075373">
              <w:rPr>
                <w:rFonts w:ascii="宋体" w:hAnsi="宋体" w:cs="宋体" w:hint="eastAsia"/>
                <w:sz w:val="24"/>
                <w:szCs w:val="24"/>
              </w:rPr>
              <w:t>销量</w:t>
            </w:r>
            <w:r>
              <w:rPr>
                <w:rFonts w:ascii="宋体" w:hAnsi="宋体" w:cs="宋体" w:hint="eastAsia"/>
                <w:sz w:val="24"/>
                <w:szCs w:val="24"/>
              </w:rPr>
              <w:t>情况？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工业和信息化部发布《“十四五”民用爆炸物品行业安全发展规划》，提出全面推广工业数码电子雷管，公司抓住工业数码电子雷管全面替代电子雷管的政策导向，依托电子雷管技术和渠道优势，不断提高电子雷管的盈利水平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公司数码电子雷管布局较早，在省内外市场积累了大批客户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资源，市场辐射半径广，几乎不存在运输半径问题。</w:t>
            </w: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年前三季度，受益于电子雷管全面</w:t>
            </w:r>
            <w:r>
              <w:rPr>
                <w:rFonts w:ascii="宋体" w:hAnsi="宋体" w:cs="宋体" w:hint="eastAsia"/>
                <w:sz w:val="24"/>
                <w:szCs w:val="24"/>
              </w:rPr>
              <w:t>替代，公司电子雷管销量</w:t>
            </w:r>
            <w:r>
              <w:rPr>
                <w:rFonts w:ascii="宋体" w:hAnsi="宋体" w:cs="宋体" w:hint="eastAsia"/>
                <w:sz w:val="24"/>
                <w:szCs w:val="24"/>
              </w:rPr>
              <w:t>2,317.47</w:t>
            </w:r>
            <w:r>
              <w:rPr>
                <w:rFonts w:ascii="宋体" w:hAnsi="宋体" w:cs="宋体" w:hint="eastAsia"/>
                <w:sz w:val="24"/>
                <w:szCs w:val="24"/>
              </w:rPr>
              <w:t>万发，较上年同期增加</w:t>
            </w:r>
            <w:r>
              <w:rPr>
                <w:rFonts w:ascii="宋体" w:hAnsi="宋体" w:cs="宋体" w:hint="eastAsia"/>
                <w:sz w:val="24"/>
                <w:szCs w:val="24"/>
              </w:rPr>
              <w:t>195.65%</w:t>
            </w:r>
            <w:r>
              <w:rPr>
                <w:rFonts w:ascii="宋体" w:hAnsi="宋体" w:cs="宋体" w:hint="eastAsia"/>
                <w:sz w:val="24"/>
                <w:szCs w:val="24"/>
              </w:rPr>
              <w:t>；销售均价为</w:t>
            </w:r>
            <w:r>
              <w:rPr>
                <w:rFonts w:ascii="宋体" w:hAnsi="宋体" w:cs="宋体" w:hint="eastAsia"/>
                <w:sz w:val="24"/>
                <w:szCs w:val="24"/>
              </w:rPr>
              <w:t>14.41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发，较上年同期下降</w:t>
            </w:r>
            <w:r>
              <w:rPr>
                <w:rFonts w:ascii="宋体" w:hAnsi="宋体" w:cs="宋体" w:hint="eastAsia"/>
                <w:sz w:val="24"/>
                <w:szCs w:val="24"/>
              </w:rPr>
              <w:t>7.33%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sz w:val="24"/>
                <w:szCs w:val="24"/>
              </w:rPr>
              <w:t>毛利率约</w:t>
            </w:r>
            <w:r>
              <w:rPr>
                <w:rFonts w:ascii="宋体" w:hAnsi="宋体" w:cs="宋体" w:hint="eastAsia"/>
                <w:sz w:val="24"/>
                <w:szCs w:val="24"/>
              </w:rPr>
              <w:t>42%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549ED" w:rsidRDefault="001549ED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、请简要介绍军民融合板块发展情况，后续是否会针对军工业务进行相应整合？</w:t>
            </w:r>
          </w:p>
          <w:p w:rsidR="001549ED" w:rsidRPr="00075373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当前和今后一个时期是军民融合发展的战略机遇期，也是军民融合由初步融合向深度融合过渡、进而实现跨越发展的关键期，国防科技工业领域军民融合潜力巨大。公司拥有军民融合行业从业经验和相关人才队伍，具有从事军民融合业务的相对优势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目前公司主要依托下属子公司神舟智汇、江西澳科、新余国泰、拓泓新材和三石有色开展军民融合相关业务。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未来</w:t>
            </w:r>
            <w:r>
              <w:rPr>
                <w:rFonts w:ascii="宋体" w:hAnsi="宋体" w:cs="宋体"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将深耕现有军民融合产业细分领域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，同时借助公司民爆业务领域竞争优势，开拓泛民爆类军工业务</w:t>
            </w:r>
            <w:r>
              <w:rPr>
                <w:rFonts w:ascii="宋体" w:hAnsi="宋体" w:cs="宋体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不断推动公司军民融合产业纵深发展，力争</w:t>
            </w:r>
            <w:r>
              <w:rPr>
                <w:rFonts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十四五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末期间公司军民融合</w:t>
            </w:r>
            <w:r>
              <w:rPr>
                <w:rFonts w:ascii="宋体" w:hAnsi="宋体" w:cs="宋体"/>
                <w:sz w:val="24"/>
                <w:szCs w:val="24"/>
              </w:rPr>
              <w:t>产业打造成公司</w:t>
            </w:r>
            <w:r>
              <w:rPr>
                <w:rFonts w:ascii="宋体" w:hAnsi="宋体" w:cs="宋体"/>
                <w:sz w:val="24"/>
                <w:szCs w:val="24"/>
              </w:rPr>
              <w:t>另一个强有力的发展支柱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1549ED" w:rsidRDefault="001549ED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、请简要介绍钽铌板块发展情况和应用前景，目前主要客户有哪些？</w:t>
            </w:r>
          </w:p>
          <w:p w:rsidR="001549ED" w:rsidRPr="00075373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答：公司下属子公司拓泓新材、三石有色从事号称“工业味精”之称的稀有金属钽（</w:t>
            </w:r>
            <w:r>
              <w:rPr>
                <w:rFonts w:ascii="宋体" w:hAnsi="宋体" w:cs="宋体" w:hint="eastAsia"/>
                <w:sz w:val="24"/>
                <w:szCs w:val="24"/>
              </w:rPr>
              <w:t>Ta</w:t>
            </w:r>
            <w:r>
              <w:rPr>
                <w:rFonts w:ascii="宋体" w:hAnsi="宋体" w:cs="宋体" w:hint="eastAsia"/>
                <w:sz w:val="24"/>
                <w:szCs w:val="24"/>
              </w:rPr>
              <w:t>）铌</w:t>
            </w:r>
            <w:r>
              <w:rPr>
                <w:rFonts w:ascii="宋体" w:hAnsi="宋体" w:cs="宋体" w:hint="eastAsia"/>
                <w:sz w:val="24"/>
                <w:szCs w:val="24"/>
              </w:rPr>
              <w:t>(Nb)</w:t>
            </w:r>
            <w:r>
              <w:rPr>
                <w:rFonts w:ascii="宋体" w:hAnsi="宋体" w:cs="宋体" w:hint="eastAsia"/>
                <w:sz w:val="24"/>
                <w:szCs w:val="24"/>
              </w:rPr>
              <w:t>的湿法冶炼业务。</w:t>
            </w:r>
            <w:r>
              <w:rPr>
                <w:rFonts w:ascii="宋体" w:hAnsi="宋体" w:cs="宋体" w:hint="eastAsia"/>
                <w:sz w:val="24"/>
                <w:szCs w:val="24"/>
              </w:rPr>
              <w:t>原料</w:t>
            </w:r>
            <w:r>
              <w:rPr>
                <w:rFonts w:ascii="宋体" w:hAnsi="宋体" w:cs="宋体" w:hint="eastAsia"/>
                <w:sz w:val="24"/>
                <w:szCs w:val="24"/>
              </w:rPr>
              <w:t>钽矿和铌矿直接用于生产初级钽铌产</w:t>
            </w:r>
            <w:r>
              <w:rPr>
                <w:rFonts w:ascii="宋体" w:hAnsi="宋体" w:cs="宋体" w:hint="eastAsia"/>
                <w:sz w:val="24"/>
                <w:szCs w:val="24"/>
              </w:rPr>
              <w:t>品（即氧化钽、氧化铌及氟钽酸钾），该生产制造涉及的冶金程序称为湿法冶炼。钽铌初级产品指包括含多种规格的氧化钽、氧化铌及氟钽酸钾。通过火法冶炼</w:t>
            </w:r>
            <w:r>
              <w:rPr>
                <w:rFonts w:ascii="宋体" w:hAnsi="宋体" w:cs="宋体" w:hint="eastAsia"/>
                <w:sz w:val="24"/>
                <w:szCs w:val="24"/>
              </w:rPr>
              <w:t>后</w:t>
            </w:r>
            <w:r>
              <w:rPr>
                <w:rFonts w:ascii="宋体" w:hAnsi="宋体" w:cs="宋体" w:hint="eastAsia"/>
                <w:sz w:val="24"/>
                <w:szCs w:val="24"/>
              </w:rPr>
              <w:t>进一步加工为二级钽铌冶金产品，主要包括钽粉、碳化钽、铌粉及碳化铌。二级钽铌冶金产品</w:t>
            </w:r>
            <w:r>
              <w:rPr>
                <w:rFonts w:ascii="宋体" w:hAnsi="宋体" w:cs="宋体" w:hint="eastAsia"/>
                <w:sz w:val="24"/>
                <w:szCs w:val="24"/>
              </w:rPr>
              <w:t>可深加工</w:t>
            </w:r>
            <w:r>
              <w:rPr>
                <w:rFonts w:ascii="宋体" w:hAnsi="宋体" w:cs="宋体" w:hint="eastAsia"/>
                <w:sz w:val="24"/>
                <w:szCs w:val="24"/>
              </w:rPr>
              <w:t>为高</w:t>
            </w:r>
            <w:r>
              <w:rPr>
                <w:rFonts w:ascii="宋体" w:hAnsi="宋体" w:cs="宋体" w:hint="eastAsia"/>
                <w:sz w:val="24"/>
                <w:szCs w:val="24"/>
              </w:rPr>
              <w:t>附加值</w:t>
            </w:r>
            <w:r>
              <w:rPr>
                <w:rFonts w:ascii="宋体" w:hAnsi="宋体" w:cs="宋体" w:hint="eastAsia"/>
                <w:sz w:val="24"/>
                <w:szCs w:val="24"/>
              </w:rPr>
              <w:t>的钽铌产品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>
              <w:rPr>
                <w:rFonts w:ascii="宋体" w:hAnsi="宋体" w:cs="宋体" w:hint="eastAsia"/>
                <w:sz w:val="24"/>
                <w:szCs w:val="24"/>
              </w:rPr>
              <w:t>应用领域大体可以分为以下几大方向：氟钽酸钾为原料制成钽粉加工成钽电容器</w:t>
            </w:r>
            <w:r>
              <w:rPr>
                <w:rFonts w:ascii="宋体" w:hAnsi="宋体" w:cs="宋体" w:hint="eastAsia"/>
                <w:sz w:val="24"/>
                <w:szCs w:val="24"/>
              </w:rPr>
              <w:t>或硬质合金等</w:t>
            </w:r>
            <w:r>
              <w:rPr>
                <w:rFonts w:ascii="宋体" w:hAnsi="宋体" w:cs="宋体" w:hint="eastAsia"/>
                <w:sz w:val="24"/>
                <w:szCs w:val="24"/>
              </w:rPr>
              <w:t>，高纯氧化铌为原料作为光学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玻璃添加剂</w:t>
            </w:r>
            <w:r>
              <w:rPr>
                <w:rFonts w:ascii="宋体" w:hAnsi="宋体" w:cs="宋体" w:hint="eastAsia"/>
                <w:sz w:val="24"/>
                <w:szCs w:val="24"/>
              </w:rPr>
              <w:t>等，</w:t>
            </w:r>
            <w:r>
              <w:rPr>
                <w:rFonts w:ascii="宋体" w:hAnsi="宋体" w:cs="宋体" w:hint="eastAsia"/>
                <w:sz w:val="24"/>
                <w:szCs w:val="24"/>
              </w:rPr>
              <w:t>超高氧化铌为原料制成钽酸锂晶片和铌酸锂晶片加工声表面滤波器</w:t>
            </w: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sz w:val="24"/>
                <w:szCs w:val="24"/>
              </w:rPr>
              <w:t>1.6T</w:t>
            </w:r>
            <w:r>
              <w:rPr>
                <w:rFonts w:ascii="宋体" w:hAnsi="宋体" w:cs="宋体" w:hint="eastAsia"/>
                <w:sz w:val="24"/>
                <w:szCs w:val="24"/>
              </w:rPr>
              <w:t>光模块等，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部分电子元器件、硬质合金等钽铌产品进入军工领域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:rsidR="001549ED" w:rsidRDefault="004762D3" w:rsidP="0007537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拓泓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新材年产能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500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吨钽铌化合物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主要产品为普通氧化钽、氟钽酸钾、氧化铌，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处于相对满负荷生产状态。三石有色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年产能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1000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吨钽铌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化合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物。三石有色目前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已生产出普通氧化铌、氟钽酸钾，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2024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年准备试产其他规格的钽铌产品。</w:t>
            </w:r>
          </w:p>
          <w:p w:rsidR="001549ED" w:rsidRDefault="001549ED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、控股子公司永宁科技业绩大幅增长原因，其产品高氯酸钾主要用途是什么，后续高氯酸钾价格是否能保持稳定？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答：公司控股子公司永宁科技是国内高氯酸钾行业标准《</w:t>
            </w:r>
            <w:r>
              <w:rPr>
                <w:rFonts w:ascii="宋体" w:hAnsi="宋体" w:cs="宋体" w:hint="eastAsia"/>
                <w:sz w:val="24"/>
                <w:szCs w:val="24"/>
              </w:rPr>
              <w:t>HG/T3247-2017</w:t>
            </w:r>
            <w:r>
              <w:rPr>
                <w:rFonts w:ascii="宋体" w:hAnsi="宋体" w:cs="宋体" w:hint="eastAsia"/>
                <w:sz w:val="24"/>
                <w:szCs w:val="24"/>
              </w:rPr>
              <w:t>》第一起草和修订单位，产品主要作为烟花鞭炮的原辅材料，主要用在庆典礼花弹、出口烟花等高档烟花上。此外，永宁科技自主研发了包括球形高氯酸钾到超细高氯酸钾各种规格，球形高氯酸钾可用于军用推进剂、各种军用点火药、信号弹发光剂；其它规格高氯酸钾可用于汽车安全气囊产气药、二氧化碳激发药及化学试剂等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</w:t>
            </w:r>
            <w:r>
              <w:rPr>
                <w:rFonts w:ascii="宋体" w:hAnsi="宋体" w:cs="宋体" w:hint="eastAsia"/>
                <w:sz w:val="24"/>
                <w:szCs w:val="24"/>
              </w:rPr>
              <w:t>年前三季度，永宁科技实现营业收入</w:t>
            </w:r>
            <w:r>
              <w:rPr>
                <w:rFonts w:ascii="宋体" w:hAnsi="宋体" w:cs="宋体" w:hint="eastAsia"/>
                <w:sz w:val="24"/>
                <w:szCs w:val="24"/>
              </w:rPr>
              <w:t>1.7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亿元、利润总额</w:t>
            </w:r>
            <w:r>
              <w:rPr>
                <w:rFonts w:ascii="宋体" w:hAnsi="宋体" w:cs="宋体" w:hint="eastAsia"/>
                <w:sz w:val="24"/>
                <w:szCs w:val="24"/>
              </w:rPr>
              <w:t>6,119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万元，同比分别增长</w:t>
            </w:r>
            <w:r>
              <w:rPr>
                <w:rFonts w:ascii="宋体" w:hAnsi="宋体" w:cs="宋体" w:hint="eastAsia"/>
                <w:sz w:val="24"/>
                <w:szCs w:val="24"/>
              </w:rPr>
              <w:t>89.2%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303.37%</w:t>
            </w:r>
            <w:r>
              <w:rPr>
                <w:rFonts w:ascii="宋体" w:hAnsi="宋体" w:cs="宋体" w:hint="eastAsia"/>
                <w:sz w:val="24"/>
                <w:szCs w:val="24"/>
              </w:rPr>
              <w:t>。主要原因一是受环保因素影响，</w:t>
            </w:r>
            <w:r>
              <w:rPr>
                <w:rFonts w:ascii="宋体" w:hAnsi="宋体" w:cs="宋体" w:hint="eastAsia"/>
                <w:sz w:val="24"/>
                <w:szCs w:val="24"/>
              </w:rPr>
              <w:t>高氯酸钾价格大幅上涨；二是相关地区节假日及重大活动烟花庆典力度加大，高档烟花需求量显著增加；三是加大产品研发及市场推广力度，在汽车安全气囊及军工应用领域的销量取得突破，高氯酸钾实现量价齐升。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随着各地烟花鞭炮禁燃禁放政策放松，国内烟花鞭炮需求量将相应增加，对稳定甚至提升高氯酸钾价格将产生积极作用。目前永宁科技准备扩大产能，进一步满足国内外相关行业需求。</w:t>
            </w:r>
          </w:p>
          <w:p w:rsidR="001549ED" w:rsidRDefault="001549ED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、国鲲微电芯片模组生产情况，是否能覆盖公司电子雷管需求？</w:t>
            </w:r>
          </w:p>
          <w:p w:rsidR="001549ED" w:rsidRDefault="004762D3">
            <w:pPr>
              <w:adjustRightInd w:val="0"/>
              <w:snapToGrid w:val="0"/>
              <w:spacing w:line="360" w:lineRule="auto"/>
              <w:ind w:firstLineChars="200" w:firstLine="480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答：公司控股子公司国鲲微电主营电子数码雷管芯片模组的制造及销售，属于集成电路产业，一期</w:t>
            </w:r>
            <w:r>
              <w:rPr>
                <w:rFonts w:ascii="宋体" w:hAnsi="宋体" w:cs="宋体" w:hint="eastAsia"/>
                <w:sz w:val="24"/>
                <w:szCs w:val="24"/>
              </w:rPr>
              <w:t>2000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万发电子雷管芯片模组已达产达标，二期实现年产</w:t>
            </w:r>
            <w:r>
              <w:rPr>
                <w:rFonts w:ascii="宋体" w:hAnsi="宋体" w:cs="宋体" w:hint="eastAsia"/>
                <w:sz w:val="24"/>
                <w:szCs w:val="24"/>
              </w:rPr>
              <w:t>5000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万发电子雷管芯片模组的扩能工作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前期准备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阶段</w:t>
            </w:r>
            <w:r w:rsidRPr="00075373">
              <w:rPr>
                <w:rFonts w:ascii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sz w:val="24"/>
                <w:szCs w:val="24"/>
              </w:rPr>
              <w:t>国鲲微电率先在行业采用先进的全自动化生产设备，未来</w:t>
            </w: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年争取获得“国家高新”“专精特新”等企业认证。目前公司电子雷管许可产能为</w:t>
            </w:r>
            <w:r>
              <w:rPr>
                <w:rFonts w:ascii="宋体" w:hAnsi="宋体" w:cs="宋体" w:hint="eastAsia"/>
                <w:sz w:val="24"/>
                <w:szCs w:val="24"/>
              </w:rPr>
              <w:t>2510</w:t>
            </w:r>
            <w:r>
              <w:rPr>
                <w:rFonts w:ascii="宋体" w:hAnsi="宋体" w:cs="宋体" w:hint="eastAsia"/>
                <w:sz w:val="24"/>
                <w:szCs w:val="24"/>
              </w:rPr>
              <w:t>万发，国鲲微电芯片模组生产量可覆盖公司电子雷管需求外</w:t>
            </w:r>
            <w:r w:rsidRPr="00075373"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也</w:t>
            </w:r>
            <w:r w:rsidRPr="00075373">
              <w:rPr>
                <w:rFonts w:ascii="宋体" w:hAnsi="宋体" w:cs="宋体" w:hint="eastAsia"/>
                <w:bCs/>
                <w:sz w:val="24"/>
                <w:szCs w:val="24"/>
              </w:rPr>
              <w:t>为其他电子雷管生产企业提供芯片模组。</w:t>
            </w:r>
          </w:p>
        </w:tc>
      </w:tr>
      <w:tr w:rsidR="001549ED">
        <w:trPr>
          <w:trHeight w:val="90"/>
        </w:trPr>
        <w:tc>
          <w:tcPr>
            <w:tcW w:w="1526" w:type="dxa"/>
            <w:vAlign w:val="center"/>
          </w:tcPr>
          <w:p w:rsidR="001549ED" w:rsidRDefault="004762D3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附件清单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pStyle w:val="New0"/>
              <w:spacing w:line="48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无。</w:t>
            </w:r>
          </w:p>
        </w:tc>
      </w:tr>
      <w:tr w:rsidR="001549ED">
        <w:tc>
          <w:tcPr>
            <w:tcW w:w="1526" w:type="dxa"/>
            <w:vAlign w:val="center"/>
          </w:tcPr>
          <w:p w:rsidR="001549ED" w:rsidRDefault="004762D3">
            <w:pPr>
              <w:pStyle w:val="New0"/>
              <w:spacing w:line="480" w:lineRule="atLeast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日期</w:t>
            </w:r>
          </w:p>
        </w:tc>
        <w:tc>
          <w:tcPr>
            <w:tcW w:w="6996" w:type="dxa"/>
            <w:vAlign w:val="center"/>
          </w:tcPr>
          <w:p w:rsidR="001549ED" w:rsidRDefault="004762D3">
            <w:pPr>
              <w:pStyle w:val="New0"/>
              <w:spacing w:line="48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202</w:t>
            </w:r>
            <w:r>
              <w:rPr>
                <w:rFonts w:ascii="Times New Roman" w:hAnsi="Times New Roman" w:hint="eastAsia"/>
                <w:bCs/>
                <w:iCs/>
                <w:sz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</w:rPr>
              <w:t>年</w:t>
            </w:r>
            <w:r>
              <w:rPr>
                <w:rFonts w:ascii="Times New Roman" w:hAnsi="Times New Roman" w:hint="eastAsia"/>
                <w:bCs/>
                <w:iCs/>
                <w:sz w:val="24"/>
              </w:rPr>
              <w:t>1</w:t>
            </w:r>
            <w:r>
              <w:rPr>
                <w:rFonts w:ascii="Times New Roman" w:hAnsi="Times New Roman" w:hint="eastAsia"/>
                <w:bCs/>
                <w:iCs/>
                <w:sz w:val="24"/>
              </w:rPr>
              <w:t>月</w:t>
            </w:r>
            <w:r>
              <w:rPr>
                <w:rFonts w:ascii="Times New Roman" w:hAnsi="Times New Roman" w:hint="eastAsia"/>
                <w:bCs/>
                <w:iCs/>
                <w:sz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</w:rPr>
              <w:t>日</w:t>
            </w:r>
          </w:p>
        </w:tc>
      </w:tr>
    </w:tbl>
    <w:p w:rsidR="001549ED" w:rsidRDefault="001549ED">
      <w:pPr>
        <w:rPr>
          <w:rFonts w:ascii="Times New Roman" w:hAnsi="Times New Roman"/>
          <w:sz w:val="28"/>
          <w:szCs w:val="28"/>
        </w:rPr>
      </w:pPr>
    </w:p>
    <w:sectPr w:rsidR="001549ED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D3" w:rsidRDefault="004762D3">
      <w:r>
        <w:separator/>
      </w:r>
    </w:p>
  </w:endnote>
  <w:endnote w:type="continuationSeparator" w:id="0">
    <w:p w:rsidR="004762D3" w:rsidRDefault="004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294211"/>
    </w:sdtPr>
    <w:sdtEndPr/>
    <w:sdtContent>
      <w:p w:rsidR="001549ED" w:rsidRDefault="004762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41" w:rsidRPr="00654E41">
          <w:rPr>
            <w:noProof/>
            <w:lang w:val="zh-CN"/>
          </w:rPr>
          <w:t>3</w:t>
        </w:r>
        <w:r>
          <w:fldChar w:fldCharType="end"/>
        </w:r>
      </w:p>
    </w:sdtContent>
  </w:sdt>
  <w:p w:rsidR="001549ED" w:rsidRDefault="001549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D3" w:rsidRDefault="004762D3">
      <w:r>
        <w:separator/>
      </w:r>
    </w:p>
  </w:footnote>
  <w:footnote w:type="continuationSeparator" w:id="0">
    <w:p w:rsidR="004762D3" w:rsidRDefault="0047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mYwNDIwMGE1YjNjMWQ2NTVmOWQxZjQ4NmVkZjQifQ=="/>
  </w:docVars>
  <w:rsids>
    <w:rsidRoot w:val="00172A27"/>
    <w:rsid w:val="000729AD"/>
    <w:rsid w:val="00075373"/>
    <w:rsid w:val="000B3CDB"/>
    <w:rsid w:val="000B5A24"/>
    <w:rsid w:val="000E7FD8"/>
    <w:rsid w:val="00111F29"/>
    <w:rsid w:val="0014474A"/>
    <w:rsid w:val="001549ED"/>
    <w:rsid w:val="00172A27"/>
    <w:rsid w:val="00173BDF"/>
    <w:rsid w:val="0019468E"/>
    <w:rsid w:val="001C5BB5"/>
    <w:rsid w:val="001F4888"/>
    <w:rsid w:val="002037D4"/>
    <w:rsid w:val="002A4B4C"/>
    <w:rsid w:val="00303F67"/>
    <w:rsid w:val="00415011"/>
    <w:rsid w:val="004609B1"/>
    <w:rsid w:val="004762D3"/>
    <w:rsid w:val="004F05BD"/>
    <w:rsid w:val="0054333A"/>
    <w:rsid w:val="005516FE"/>
    <w:rsid w:val="005B0351"/>
    <w:rsid w:val="005D3B41"/>
    <w:rsid w:val="00621D23"/>
    <w:rsid w:val="00654E41"/>
    <w:rsid w:val="00660AD4"/>
    <w:rsid w:val="006A76EB"/>
    <w:rsid w:val="00726C8D"/>
    <w:rsid w:val="00735737"/>
    <w:rsid w:val="007572EB"/>
    <w:rsid w:val="007A6170"/>
    <w:rsid w:val="007D2B30"/>
    <w:rsid w:val="007D484F"/>
    <w:rsid w:val="00807D0E"/>
    <w:rsid w:val="00837B23"/>
    <w:rsid w:val="00856970"/>
    <w:rsid w:val="009E3246"/>
    <w:rsid w:val="00A628F4"/>
    <w:rsid w:val="00A70EAF"/>
    <w:rsid w:val="00A74DB1"/>
    <w:rsid w:val="00AE2EA5"/>
    <w:rsid w:val="00AE7B95"/>
    <w:rsid w:val="00AF217D"/>
    <w:rsid w:val="00B008D6"/>
    <w:rsid w:val="00B13B61"/>
    <w:rsid w:val="00B45C19"/>
    <w:rsid w:val="00B67E74"/>
    <w:rsid w:val="00B95F24"/>
    <w:rsid w:val="00BF44E6"/>
    <w:rsid w:val="00C528EC"/>
    <w:rsid w:val="00C96D4E"/>
    <w:rsid w:val="00D70E55"/>
    <w:rsid w:val="00D764E4"/>
    <w:rsid w:val="00E67BAB"/>
    <w:rsid w:val="00EA2A0B"/>
    <w:rsid w:val="00EB3F3E"/>
    <w:rsid w:val="00F071C8"/>
    <w:rsid w:val="00F42141"/>
    <w:rsid w:val="01BE6AF9"/>
    <w:rsid w:val="057E50FA"/>
    <w:rsid w:val="062E19DF"/>
    <w:rsid w:val="079F2DB5"/>
    <w:rsid w:val="086C2CFF"/>
    <w:rsid w:val="09C6525C"/>
    <w:rsid w:val="09F04B00"/>
    <w:rsid w:val="0A1D72FB"/>
    <w:rsid w:val="0AD97127"/>
    <w:rsid w:val="0C112E71"/>
    <w:rsid w:val="0EA06710"/>
    <w:rsid w:val="108D02AC"/>
    <w:rsid w:val="10A9384D"/>
    <w:rsid w:val="11882673"/>
    <w:rsid w:val="12F31613"/>
    <w:rsid w:val="14D507B4"/>
    <w:rsid w:val="158F0E59"/>
    <w:rsid w:val="15E962C8"/>
    <w:rsid w:val="17090DA6"/>
    <w:rsid w:val="19CC5666"/>
    <w:rsid w:val="1ACA7824"/>
    <w:rsid w:val="203606F7"/>
    <w:rsid w:val="23C737F1"/>
    <w:rsid w:val="27A41130"/>
    <w:rsid w:val="2B2A2B97"/>
    <w:rsid w:val="2C8974F1"/>
    <w:rsid w:val="2C8D1007"/>
    <w:rsid w:val="326C0551"/>
    <w:rsid w:val="373C3BA7"/>
    <w:rsid w:val="38CD681E"/>
    <w:rsid w:val="38DC5496"/>
    <w:rsid w:val="39D4375B"/>
    <w:rsid w:val="3A5B4367"/>
    <w:rsid w:val="3BEE40FB"/>
    <w:rsid w:val="3C5C4961"/>
    <w:rsid w:val="3ED846AD"/>
    <w:rsid w:val="40293542"/>
    <w:rsid w:val="42A329D9"/>
    <w:rsid w:val="431B63A1"/>
    <w:rsid w:val="46F56910"/>
    <w:rsid w:val="481E5EE0"/>
    <w:rsid w:val="49B37CF3"/>
    <w:rsid w:val="4A9F3C99"/>
    <w:rsid w:val="4B7B1369"/>
    <w:rsid w:val="4C0E4530"/>
    <w:rsid w:val="51A83C8D"/>
    <w:rsid w:val="554C3B9F"/>
    <w:rsid w:val="557378ED"/>
    <w:rsid w:val="55E40C52"/>
    <w:rsid w:val="579C7722"/>
    <w:rsid w:val="5A7D0C9E"/>
    <w:rsid w:val="5AD41F13"/>
    <w:rsid w:val="5C6B3654"/>
    <w:rsid w:val="5CE91611"/>
    <w:rsid w:val="5DDE5652"/>
    <w:rsid w:val="5FEA56D8"/>
    <w:rsid w:val="60B66CA4"/>
    <w:rsid w:val="60FD3B15"/>
    <w:rsid w:val="62C108C4"/>
    <w:rsid w:val="6498572D"/>
    <w:rsid w:val="68053E8D"/>
    <w:rsid w:val="6E3E5853"/>
    <w:rsid w:val="6E711399"/>
    <w:rsid w:val="6E7D2E87"/>
    <w:rsid w:val="72075026"/>
    <w:rsid w:val="722608CA"/>
    <w:rsid w:val="730B5005"/>
    <w:rsid w:val="73FE0E42"/>
    <w:rsid w:val="749E60E7"/>
    <w:rsid w:val="76D07EF6"/>
    <w:rsid w:val="78093CAC"/>
    <w:rsid w:val="788861F9"/>
    <w:rsid w:val="7A2F7E05"/>
    <w:rsid w:val="7AB5242F"/>
    <w:rsid w:val="7B1D2DF5"/>
    <w:rsid w:val="7B292635"/>
    <w:rsid w:val="7D2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黑体" w:hAnsi="Arial" w:cs="宋体"/>
      <w:sz w:val="32"/>
      <w:szCs w:val="22"/>
    </w:rPr>
  </w:style>
  <w:style w:type="paragraph" w:styleId="3">
    <w:name w:val="heading 3"/>
    <w:basedOn w:val="a"/>
    <w:next w:val="a"/>
    <w:unhideWhenUsed/>
    <w:qFormat/>
    <w:pPr>
      <w:snapToGrid w:val="0"/>
      <w:spacing w:line="580" w:lineRule="exact"/>
      <w:ind w:firstLineChars="200" w:firstLine="560"/>
      <w:jc w:val="left"/>
      <w:outlineLvl w:val="2"/>
    </w:pPr>
    <w:rPr>
      <w:rFonts w:ascii="宋体" w:eastAsia="楷体" w:hAnsi="宋体" w:hint="eastAsia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autoRedefine/>
    <w:uiPriority w:val="99"/>
    <w:qFormat/>
    <w:pPr>
      <w:spacing w:after="120"/>
      <w:ind w:leftChars="200" w:left="420"/>
    </w:pPr>
    <w:rPr>
      <w:rFonts w:ascii="Calibri" w:hAnsi="Calibri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character" w:styleId="aa">
    <w:name w:val="annotation reference"/>
    <w:autoRedefine/>
    <w:qFormat/>
    <w:rPr>
      <w:sz w:val="21"/>
      <w:szCs w:val="21"/>
    </w:rPr>
  </w:style>
  <w:style w:type="character" w:customStyle="1" w:styleId="Char1">
    <w:name w:val="页脚 Char"/>
    <w:link w:val="a6"/>
    <w:uiPriority w:val="99"/>
    <w:qFormat/>
    <w:rPr>
      <w:kern w:val="2"/>
      <w:sz w:val="18"/>
    </w:rPr>
  </w:style>
  <w:style w:type="character" w:customStyle="1" w:styleId="New">
    <w:name w:val="页码 New"/>
    <w:basedOn w:val="a0"/>
    <w:qFormat/>
  </w:style>
  <w:style w:type="character" w:customStyle="1" w:styleId="NewNew">
    <w:name w:val="页码 New New"/>
    <w:basedOn w:val="a0"/>
    <w:qFormat/>
  </w:style>
  <w:style w:type="character" w:customStyle="1" w:styleId="NewNewNew">
    <w:name w:val="页码 New New New"/>
    <w:basedOn w:val="a0"/>
    <w:qFormat/>
  </w:style>
  <w:style w:type="character" w:customStyle="1" w:styleId="Char0">
    <w:name w:val="批注框文本 Char"/>
    <w:link w:val="a5"/>
    <w:autoRedefine/>
    <w:qFormat/>
    <w:rPr>
      <w:kern w:val="2"/>
      <w:sz w:val="18"/>
      <w:szCs w:val="18"/>
    </w:rPr>
  </w:style>
  <w:style w:type="character" w:customStyle="1" w:styleId="Char2">
    <w:name w:val="批注主题 Char"/>
    <w:link w:val="a9"/>
    <w:qFormat/>
    <w:rPr>
      <w:b/>
      <w:bCs/>
      <w:kern w:val="2"/>
      <w:sz w:val="21"/>
    </w:rPr>
  </w:style>
  <w:style w:type="character" w:customStyle="1" w:styleId="Char">
    <w:name w:val="批注文字 Char"/>
    <w:link w:val="a3"/>
    <w:autoRedefine/>
    <w:qFormat/>
    <w:rPr>
      <w:kern w:val="2"/>
      <w:sz w:val="21"/>
    </w:rPr>
  </w:style>
  <w:style w:type="character" w:customStyle="1" w:styleId="NewNewNewNew">
    <w:name w:val="页码 New New New New"/>
    <w:basedOn w:val="a0"/>
    <w:qFormat/>
  </w:style>
  <w:style w:type="paragraph" w:customStyle="1" w:styleId="NewNew0">
    <w:name w:val="正文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0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0">
    <w:name w:val="页眉1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1">
    <w:name w:val="页眉 New"/>
    <w:basedOn w:val="NewNew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0">
    <w:name w:val="页脚 New New New"/>
    <w:basedOn w:val="NewNewNew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1">
    <w:name w:val="正文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1">
    <w:name w:val="页眉 New New"/>
    <w:basedOn w:val="NewNewNew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2">
    <w:name w:val="页脚 New"/>
    <w:basedOn w:val="New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2">
    <w:name w:val="页脚 New New"/>
    <w:basedOn w:val="NewNew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0">
    <w:name w:val="页脚 New New New New"/>
    <w:basedOn w:val="NewNewNewNewNewNewNewNewNewNewNewNew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uiPriority w:val="99"/>
    <w:qFormat/>
    <w:rPr>
      <w:rFonts w:ascii="Calibri" w:hAnsi="Calibri"/>
      <w:kern w:val="2"/>
      <w:sz w:val="21"/>
    </w:rPr>
  </w:style>
  <w:style w:type="paragraph" w:customStyle="1" w:styleId="NewNewNewNew1">
    <w:name w:val="正文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NewNew">
    <w:name w:val="正文 New New New New New New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">
    <w:name w:val="正文 New New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NewNewNewNewNew">
    <w:name w:val="正文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正文1"/>
    <w:autoRedefine/>
    <w:qFormat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宋体"/>
      <w:kern w:val="2"/>
      <w:sz w:val="32"/>
      <w:szCs w:val="22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hAnsi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黑体" w:hAnsi="Arial" w:cs="宋体"/>
      <w:sz w:val="32"/>
      <w:szCs w:val="22"/>
    </w:rPr>
  </w:style>
  <w:style w:type="paragraph" w:styleId="3">
    <w:name w:val="heading 3"/>
    <w:basedOn w:val="a"/>
    <w:next w:val="a"/>
    <w:unhideWhenUsed/>
    <w:qFormat/>
    <w:pPr>
      <w:snapToGrid w:val="0"/>
      <w:spacing w:line="580" w:lineRule="exact"/>
      <w:ind w:firstLineChars="200" w:firstLine="560"/>
      <w:jc w:val="left"/>
      <w:outlineLvl w:val="2"/>
    </w:pPr>
    <w:rPr>
      <w:rFonts w:ascii="宋体" w:eastAsia="楷体" w:hAnsi="宋体" w:hint="eastAsia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autoRedefine/>
    <w:uiPriority w:val="99"/>
    <w:qFormat/>
    <w:pPr>
      <w:spacing w:after="120"/>
      <w:ind w:leftChars="200" w:left="420"/>
    </w:pPr>
    <w:rPr>
      <w:rFonts w:ascii="Calibri" w:hAnsi="Calibri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character" w:styleId="aa">
    <w:name w:val="annotation reference"/>
    <w:autoRedefine/>
    <w:qFormat/>
    <w:rPr>
      <w:sz w:val="21"/>
      <w:szCs w:val="21"/>
    </w:rPr>
  </w:style>
  <w:style w:type="character" w:customStyle="1" w:styleId="Char1">
    <w:name w:val="页脚 Char"/>
    <w:link w:val="a6"/>
    <w:uiPriority w:val="99"/>
    <w:qFormat/>
    <w:rPr>
      <w:kern w:val="2"/>
      <w:sz w:val="18"/>
    </w:rPr>
  </w:style>
  <w:style w:type="character" w:customStyle="1" w:styleId="New">
    <w:name w:val="页码 New"/>
    <w:basedOn w:val="a0"/>
    <w:qFormat/>
  </w:style>
  <w:style w:type="character" w:customStyle="1" w:styleId="NewNew">
    <w:name w:val="页码 New New"/>
    <w:basedOn w:val="a0"/>
    <w:qFormat/>
  </w:style>
  <w:style w:type="character" w:customStyle="1" w:styleId="NewNewNew">
    <w:name w:val="页码 New New New"/>
    <w:basedOn w:val="a0"/>
    <w:qFormat/>
  </w:style>
  <w:style w:type="character" w:customStyle="1" w:styleId="Char0">
    <w:name w:val="批注框文本 Char"/>
    <w:link w:val="a5"/>
    <w:autoRedefine/>
    <w:qFormat/>
    <w:rPr>
      <w:kern w:val="2"/>
      <w:sz w:val="18"/>
      <w:szCs w:val="18"/>
    </w:rPr>
  </w:style>
  <w:style w:type="character" w:customStyle="1" w:styleId="Char2">
    <w:name w:val="批注主题 Char"/>
    <w:link w:val="a9"/>
    <w:qFormat/>
    <w:rPr>
      <w:b/>
      <w:bCs/>
      <w:kern w:val="2"/>
      <w:sz w:val="21"/>
    </w:rPr>
  </w:style>
  <w:style w:type="character" w:customStyle="1" w:styleId="Char">
    <w:name w:val="批注文字 Char"/>
    <w:link w:val="a3"/>
    <w:autoRedefine/>
    <w:qFormat/>
    <w:rPr>
      <w:kern w:val="2"/>
      <w:sz w:val="21"/>
    </w:rPr>
  </w:style>
  <w:style w:type="character" w:customStyle="1" w:styleId="NewNewNewNew">
    <w:name w:val="页码 New New New New"/>
    <w:basedOn w:val="a0"/>
    <w:qFormat/>
  </w:style>
  <w:style w:type="paragraph" w:customStyle="1" w:styleId="NewNew0">
    <w:name w:val="正文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0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0">
    <w:name w:val="页眉1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1">
    <w:name w:val="页眉 New"/>
    <w:basedOn w:val="NewNew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0">
    <w:name w:val="页脚 New New New"/>
    <w:basedOn w:val="NewNewNew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1">
    <w:name w:val="正文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1">
    <w:name w:val="页眉 New New"/>
    <w:basedOn w:val="NewNewNew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2">
    <w:name w:val="页脚 New"/>
    <w:basedOn w:val="New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hint="eastAsia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2">
    <w:name w:val="页脚 New New"/>
    <w:basedOn w:val="NewNew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0">
    <w:name w:val="页脚 New New New New"/>
    <w:basedOn w:val="NewNewNewNewNewNewNewNewNewNewNewNew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">
    <w:name w:val="正文 New New New New New New New New New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修订1"/>
    <w:uiPriority w:val="99"/>
    <w:qFormat/>
    <w:rPr>
      <w:rFonts w:ascii="Calibri" w:hAnsi="Calibri"/>
      <w:kern w:val="2"/>
      <w:sz w:val="21"/>
    </w:rPr>
  </w:style>
  <w:style w:type="paragraph" w:customStyle="1" w:styleId="NewNewNewNew1">
    <w:name w:val="正文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NewNew">
    <w:name w:val="正文 New New New New New New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">
    <w:name w:val="正文 New New New New New New"/>
    <w:autoRedefine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NewNewNewNewNew">
    <w:name w:val="正文 New New New New New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">
    <w:name w:val="正文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13">
    <w:name w:val="正文1"/>
    <w:autoRedefine/>
    <w:qFormat/>
    <w:pPr>
      <w:jc w:val="both"/>
    </w:pPr>
    <w:rPr>
      <w:kern w:val="2"/>
      <w:sz w:val="21"/>
      <w:szCs w:val="21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宋体"/>
      <w:kern w:val="2"/>
      <w:sz w:val="32"/>
      <w:szCs w:val="22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ACAA-DCCA-4240-88E6-83B792F8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投资者关系活动记录表</dc:title>
  <dc:creator>Administrator</dc:creator>
  <cp:lastModifiedBy>杨洁芸</cp:lastModifiedBy>
  <cp:revision>34</cp:revision>
  <cp:lastPrinted>2024-01-03T09:23:00Z</cp:lastPrinted>
  <dcterms:created xsi:type="dcterms:W3CDTF">2022-02-13T12:42:00Z</dcterms:created>
  <dcterms:modified xsi:type="dcterms:W3CDTF">2024-01-03T09:27:00Z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21FBE8A853DD4D7AA470C1BEE1B60357_13</vt:lpwstr>
  </property>
</Properties>
</file>