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9376" w14:textId="490B3914" w:rsidR="00EA61E4" w:rsidRDefault="00EA61E4" w:rsidP="005A5C0F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iCs/>
          <w:sz w:val="32"/>
          <w:szCs w:val="32"/>
        </w:rPr>
        <w:t>浙江浙能电力股份有限公司</w:t>
      </w:r>
    </w:p>
    <w:p w14:paraId="5AB3AB20" w14:textId="70676DCF" w:rsidR="00D70F0A" w:rsidRPr="00F849E7" w:rsidRDefault="005A5C0F" w:rsidP="005A5C0F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sz w:val="32"/>
          <w:szCs w:val="32"/>
        </w:rPr>
      </w:pPr>
      <w:r w:rsidRPr="00F849E7">
        <w:rPr>
          <w:rFonts w:ascii="Times New Roman" w:eastAsia="宋体" w:hAnsi="Times New Roman" w:cs="Times New Roman"/>
          <w:b/>
          <w:bCs/>
          <w:iCs/>
          <w:sz w:val="32"/>
          <w:szCs w:val="32"/>
        </w:rPr>
        <w:t>投资者</w:t>
      </w:r>
      <w:r w:rsidR="00F44B73">
        <w:rPr>
          <w:rFonts w:ascii="Times New Roman" w:eastAsia="宋体" w:hAnsi="Times New Roman" w:cs="Times New Roman" w:hint="eastAsia"/>
          <w:b/>
          <w:bCs/>
          <w:iCs/>
          <w:sz w:val="32"/>
          <w:szCs w:val="32"/>
        </w:rPr>
        <w:t>关系活动记录表</w:t>
      </w:r>
    </w:p>
    <w:p w14:paraId="01588F44" w14:textId="12D436C7" w:rsidR="00D70F0A" w:rsidRPr="00F849E7" w:rsidRDefault="00D70F0A" w:rsidP="00D70F0A">
      <w:pPr>
        <w:spacing w:line="400" w:lineRule="exact"/>
        <w:rPr>
          <w:rFonts w:ascii="Times New Roman" w:eastAsia="宋体" w:hAnsi="Times New Roman" w:cs="Times New Roman"/>
          <w:bCs/>
          <w:iCs/>
          <w:sz w:val="24"/>
          <w:szCs w:val="24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024"/>
      </w:tblGrid>
      <w:tr w:rsidR="00D70F0A" w:rsidRPr="00F849E7" w14:paraId="48FF8FFF" w14:textId="77777777" w:rsidTr="00E56C06">
        <w:trPr>
          <w:trHeight w:val="25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E378" w14:textId="77777777" w:rsidR="00D70F0A" w:rsidRPr="00F849E7" w:rsidRDefault="00D70F0A" w:rsidP="00E56C06">
            <w:pPr>
              <w:spacing w:line="480" w:lineRule="atLeas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F849E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B2F3C2C" w14:textId="77777777" w:rsidR="00D70F0A" w:rsidRPr="00F849E7" w:rsidRDefault="00D70F0A" w:rsidP="00E56C06">
            <w:pPr>
              <w:spacing w:line="480" w:lineRule="atLeas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81D" w14:textId="77777777" w:rsidR="00EA17D5" w:rsidRDefault="00EA17D5" w:rsidP="00EA17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4963682" w14:textId="77777777" w:rsidR="00EA17D5" w:rsidRDefault="00EA17D5" w:rsidP="00EA17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41B621AC" w14:textId="77777777" w:rsidR="00EA17D5" w:rsidRDefault="00EA17D5" w:rsidP="00EA17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0336947C" w14:textId="4A665737" w:rsidR="00EA17D5" w:rsidRDefault="00EA17D5" w:rsidP="00EA17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64C3DCEE" w14:textId="59548AF2" w:rsidR="00D70F0A" w:rsidRPr="00F849E7" w:rsidRDefault="00EA17D5" w:rsidP="00EA17D5">
            <w:pPr>
              <w:tabs>
                <w:tab w:val="center" w:pos="3199"/>
              </w:tabs>
              <w:spacing w:line="480" w:lineRule="atLeast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EA17D5" w:rsidRPr="00F849E7" w14:paraId="7B987D64" w14:textId="77777777" w:rsidTr="00D66A84">
        <w:trPr>
          <w:trHeight w:val="41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392" w14:textId="35B84529" w:rsidR="00EA17D5" w:rsidRPr="00EA17D5" w:rsidRDefault="00EA17D5" w:rsidP="00E56C06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DB3" w14:textId="3E78040A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永赢基金</w:t>
            </w:r>
            <w:proofErr w:type="gramEnd"/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黎一鸣</w:t>
            </w:r>
            <w:r w:rsidR="001468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许拓</w:t>
            </w:r>
          </w:p>
          <w:p w14:paraId="25F52F2C" w14:textId="2D090655" w:rsidR="00D66A84" w:rsidRPr="00143B25" w:rsidRDefault="009E71B6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国泰君安</w:t>
            </w:r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="00D66A8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朱晨曦</w:t>
            </w:r>
          </w:p>
          <w:p w14:paraId="4A1F65BA" w14:textId="4E44AED7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保银投资</w:t>
            </w:r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余泽</w:t>
            </w:r>
          </w:p>
          <w:p w14:paraId="6DC2A792" w14:textId="3A915947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信泰</w:t>
            </w:r>
            <w:r w:rsidR="009E71B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保险</w:t>
            </w:r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邓博</w:t>
            </w:r>
          </w:p>
          <w:p w14:paraId="5FA381D3" w14:textId="3BF43E48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鹏华基金</w:t>
            </w:r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梁华栋</w:t>
            </w:r>
          </w:p>
          <w:p w14:paraId="2E99DCA1" w14:textId="01AC2AB2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中信保诚</w:t>
            </w:r>
            <w:proofErr w:type="gramEnd"/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吴一静</w:t>
            </w:r>
          </w:p>
          <w:p w14:paraId="5FB1CF06" w14:textId="4A344788" w:rsidR="00D66A84" w:rsidRPr="00143B25" w:rsidRDefault="00D66A84" w:rsidP="00D66A84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鸿道投资</w:t>
            </w:r>
            <w:r w:rsidR="0010428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赵云</w:t>
            </w:r>
          </w:p>
          <w:p w14:paraId="02B682B7" w14:textId="77777777" w:rsidR="002C7AAF" w:rsidRPr="00143B25" w:rsidRDefault="000C682A" w:rsidP="002C7AAF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长江养老：田园</w:t>
            </w:r>
          </w:p>
          <w:p w14:paraId="77EF596A" w14:textId="77777777" w:rsidR="000C682A" w:rsidRPr="00143B25" w:rsidRDefault="000C682A" w:rsidP="002C7AAF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上海宽</w:t>
            </w:r>
            <w:proofErr w:type="gramStart"/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远</w:t>
            </w:r>
            <w:r w:rsidR="00BD3FE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资管</w:t>
            </w:r>
            <w:proofErr w:type="gramEnd"/>
            <w:r w:rsidR="00BD3FE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="00594AA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郑施</w:t>
            </w:r>
          </w:p>
          <w:p w14:paraId="311588E3" w14:textId="77777777" w:rsidR="00594AA8" w:rsidRPr="00143B25" w:rsidRDefault="00594AA8" w:rsidP="002C7AAF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国盛</w:t>
            </w:r>
            <w:r w:rsidR="004C602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证券：</w:t>
            </w:r>
            <w:proofErr w:type="gramStart"/>
            <w:r w:rsidR="004C602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高紫明</w:t>
            </w:r>
            <w:proofErr w:type="gramEnd"/>
            <w:r w:rsidR="004C602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、张津铭</w:t>
            </w:r>
          </w:p>
          <w:p w14:paraId="5ECD0DD5" w14:textId="108D3367" w:rsidR="004C6024" w:rsidRPr="00143B25" w:rsidRDefault="009E71B6" w:rsidP="009E71B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杭州永盛控股有限公司</w:t>
            </w:r>
            <w:r w:rsidR="004C602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="00B04D0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吕国锦</w:t>
            </w:r>
          </w:p>
        </w:tc>
      </w:tr>
      <w:tr w:rsidR="00027C5F" w:rsidRPr="00F849E7" w14:paraId="60173CE1" w14:textId="77777777" w:rsidTr="00E56C06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DB2" w14:textId="0C2C0D07" w:rsidR="00027C5F" w:rsidRDefault="00027C5F" w:rsidP="00E56C06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66EC" w14:textId="34242F16" w:rsidR="00027C5F" w:rsidRPr="00143B25" w:rsidRDefault="002C7AAF" w:rsidP="00AB1EE2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024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</w:t>
            </w:r>
            <w:r w:rsidR="00AB1EE2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4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日</w:t>
            </w:r>
            <w:r w:rsidR="00AB1EE2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（星期四）</w:t>
            </w:r>
          </w:p>
        </w:tc>
      </w:tr>
      <w:tr w:rsidR="00027C5F" w:rsidRPr="00F849E7" w14:paraId="213D9B09" w14:textId="77777777" w:rsidTr="00E56C06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AD7" w14:textId="10FC76B3" w:rsidR="00027C5F" w:rsidRDefault="00027C5F" w:rsidP="00E56C06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4D8" w14:textId="7C881826" w:rsidR="00027C5F" w:rsidRPr="00143B25" w:rsidRDefault="005A46DD" w:rsidP="00027C5F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浙江杭州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C6B7E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浙江浙能电力股份有限公司</w:t>
            </w:r>
            <w:r w:rsidR="00027C5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D70F0A" w:rsidRPr="00F849E7" w14:paraId="5F64D98E" w14:textId="77777777" w:rsidTr="00E56C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D6DB" w14:textId="77777777" w:rsidR="00D70F0A" w:rsidRPr="00F849E7" w:rsidRDefault="00D70F0A" w:rsidP="00E56C06">
            <w:pPr>
              <w:spacing w:line="480" w:lineRule="atLeas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F849E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26C6" w14:textId="2B6B8D8D" w:rsidR="0087565D" w:rsidRPr="00143B25" w:rsidRDefault="0087565D" w:rsidP="00C5752B">
            <w:pPr>
              <w:spacing w:line="480" w:lineRule="atLeast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</w:t>
            </w:r>
            <w:r w:rsidR="00F0666E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事务代表</w:t>
            </w:r>
            <w:r w:rsidR="00BE6DD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、证券部主任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：卢滢</w:t>
            </w:r>
          </w:p>
          <w:p w14:paraId="221C273A" w14:textId="77777777" w:rsidR="0087565D" w:rsidRPr="00143B25" w:rsidRDefault="0087565D" w:rsidP="00C5752B">
            <w:pPr>
              <w:spacing w:line="480" w:lineRule="atLeast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财务部主任：许建国</w:t>
            </w:r>
          </w:p>
          <w:p w14:paraId="7B96B32E" w14:textId="2B80A3BF" w:rsidR="0087565D" w:rsidRPr="00143B25" w:rsidRDefault="0087565D" w:rsidP="00C5752B">
            <w:pPr>
              <w:spacing w:line="480" w:lineRule="atLeast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市场营销部：王军</w:t>
            </w:r>
          </w:p>
        </w:tc>
      </w:tr>
      <w:tr w:rsidR="00D70F0A" w:rsidRPr="00F849E7" w14:paraId="74AA4945" w14:textId="77777777" w:rsidTr="00E56C06">
        <w:trPr>
          <w:trHeight w:val="17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184" w14:textId="214CFD7C" w:rsidR="00D70F0A" w:rsidRPr="00F849E7" w:rsidRDefault="00D70F0A" w:rsidP="00E56C06">
            <w:pPr>
              <w:spacing w:line="480" w:lineRule="atLeast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F849E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97B" w14:textId="2FF189E2" w:rsidR="00992A3F" w:rsidRPr="00143B25" w:rsidRDefault="009753A0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C432E1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1</w:t>
            </w:r>
            <w:r w:rsidR="00E909A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.</w:t>
            </w:r>
            <w:r w:rsidR="009B4256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</w:t>
            </w:r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="009B4256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024</w:t>
            </w:r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年长</w:t>
            </w:r>
            <w:proofErr w:type="gramStart"/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协电和长协煤签订</w:t>
            </w:r>
            <w:proofErr w:type="gramEnd"/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情况</w:t>
            </w:r>
            <w:r w:rsidR="00992A3F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  <w:proofErr w:type="gramStart"/>
            <w:r w:rsidR="005943F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长协煤</w:t>
            </w:r>
            <w:proofErr w:type="gramEnd"/>
            <w:r w:rsidR="005943F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比例</w:t>
            </w:r>
            <w:r w:rsidR="00492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、履约情况</w:t>
            </w:r>
            <w:r w:rsidR="005943F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121D62A0" w14:textId="21EFC786" w:rsidR="001E51D8" w:rsidRPr="00143B25" w:rsidRDefault="00992A3F" w:rsidP="006C6B7E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9E71B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目前还没有签订，</w:t>
            </w:r>
            <w:r w:rsidR="00EC4C0C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EC4C0C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023</w:t>
            </w:r>
            <w:proofErr w:type="gramStart"/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年长协煤的</w:t>
            </w:r>
            <w:proofErr w:type="gramEnd"/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比例</w:t>
            </w:r>
            <w:r w:rsidR="00EC4C0C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在</w:t>
            </w:r>
            <w:r w:rsidR="009E71B6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20</w:t>
            </w:r>
            <w:r w:rsidR="00EC4C0C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%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以上</w:t>
            </w:r>
            <w:r w:rsidR="009E71B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，煤炭的供应执行情况较好，价格主要还是由市场决定</w:t>
            </w:r>
            <w:r w:rsidR="00143B2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049FF107" w14:textId="7B8F0447" w:rsidR="001E51D8" w:rsidRPr="00143B25" w:rsidRDefault="001E51D8" w:rsidP="001E51D8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2.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D01B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公司以什么样的预期签</w:t>
            </w:r>
            <w:r w:rsidR="00DD01B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="00DD01B6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02</w:t>
            </w:r>
            <w:r w:rsidR="00DD01B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4</w:t>
            </w:r>
            <w:r w:rsidR="00DD01B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年电量电价长协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3F4F75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零售合同签订情况？</w:t>
            </w:r>
          </w:p>
          <w:p w14:paraId="706E5DAD" w14:textId="5BE5D2F0" w:rsidR="001E51D8" w:rsidRPr="00143B25" w:rsidRDefault="001E51D8" w:rsidP="001E51D8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签约价格受多方面因素影响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一是市场的供需形势；二是包括电煤成本在内的发电成本情况；三是市场整体预期等等；影响因素较多，目前也正在积极协商开展年度交易中。零售签约已于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12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lastRenderedPageBreak/>
              <w:t>月完成，具体由售电公司完成，目前还在开展批发侧交易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64155145" w14:textId="77777777" w:rsidR="00081CFB" w:rsidRPr="00143B25" w:rsidRDefault="00081CFB" w:rsidP="00081CFB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6A44EA13" w14:textId="085958E9" w:rsidR="000C4B72" w:rsidRPr="00143B25" w:rsidRDefault="009753A0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3F4F75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B235E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.</w:t>
            </w:r>
            <w:r w:rsidR="00EC4C0C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E4A8A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关于</w:t>
            </w:r>
            <w:r w:rsidR="00907464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容量电价</w:t>
            </w:r>
            <w:r w:rsidR="004E4A8A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政策</w:t>
            </w:r>
            <w:r w:rsidR="0077493C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CF58C9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公司旗下机组是否均可以获得</w:t>
            </w:r>
            <w:r w:rsidR="00B705B3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补贴？</w:t>
            </w:r>
            <w:r w:rsidR="00F66E80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新建煤电机组何时获得容量电费？</w:t>
            </w:r>
          </w:p>
          <w:p w14:paraId="11DDEAD2" w14:textId="77777777" w:rsidR="00E62A03" w:rsidRPr="00143B25" w:rsidRDefault="000C4B72" w:rsidP="00E62A03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E20CA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国家发展改革委、国家能源局</w:t>
            </w:r>
            <w:r w:rsidR="00966B8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近期</w:t>
            </w:r>
            <w:r w:rsidR="00E20CA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发布了《关于建立煤电容量电价机制的通知》，</w:t>
            </w:r>
            <w:r w:rsidR="0075535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将现行煤电单一制电价调整为两部制电价，其中电量电价通过市场化方式形成，灵敏反映电力市场供需、燃料，容量电价水平根据转型进度等实际情况合理确定并逐步调整，充分体现煤电对电力系统的支撑调节价值，</w:t>
            </w:r>
            <w:r w:rsidR="00E62A0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确保煤电行业持续健康运行。</w:t>
            </w:r>
          </w:p>
          <w:p w14:paraId="5300FE50" w14:textId="73489660" w:rsidR="00F66E80" w:rsidRPr="00143B25" w:rsidRDefault="00F66E80" w:rsidP="00E62A03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关于</w:t>
            </w:r>
            <w:r w:rsidR="00E62A0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政策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实施范围，</w:t>
            </w:r>
            <w:r w:rsidR="00E20CA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通知中提到“煤电容量电价机制适用于合</w:t>
            </w:r>
            <w:proofErr w:type="gramStart"/>
            <w:r w:rsidR="00E20CA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规</w:t>
            </w:r>
            <w:proofErr w:type="gramEnd"/>
            <w:r w:rsidR="00E20CA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在运的公用煤电机组。燃煤自备电厂、不符合国家规划的煤电机组，以及不满足国家对于能耗、环保和灵活调节能力等要求的煤电机组，不执行容量电价机制，具体由国家能源局另行明确”</w:t>
            </w:r>
            <w:r w:rsidR="00E62A0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31032B30" w14:textId="13EDB9CF" w:rsidR="000C4B72" w:rsidRPr="00143B25" w:rsidRDefault="00B705B3" w:rsidP="00B705B3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根据通知，新建煤电机组自投运次月起执行煤电容量电价机制。</w:t>
            </w:r>
          </w:p>
          <w:p w14:paraId="0809C37D" w14:textId="77777777" w:rsidR="003A3703" w:rsidRPr="00143B25" w:rsidRDefault="003A3703" w:rsidP="003A3703">
            <w:pP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E2896C3" w14:textId="12FFFFB4" w:rsidR="003A3703" w:rsidRPr="00143B25" w:rsidRDefault="003A3703" w:rsidP="003A3703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1D68B9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 xml:space="preserve">. </w:t>
            </w:r>
            <w:r w:rsidR="00B9793C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与客户协商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电价是否考虑容量电价？</w:t>
            </w:r>
          </w:p>
          <w:p w14:paraId="451466A0" w14:textId="64B9E810" w:rsidR="003A3703" w:rsidRPr="00143B25" w:rsidRDefault="003A3703" w:rsidP="0017581F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浙江已经明确，省统调煤电执行两部</w:t>
            </w:r>
            <w:proofErr w:type="gramStart"/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制价格</w:t>
            </w:r>
            <w:proofErr w:type="gramEnd"/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机制，容量电价按照国家和我省政策执行，电量电价通过市场化方式形成。交易电价仅包含电量电价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565C6DCD" w14:textId="77777777" w:rsidR="0017581F" w:rsidRPr="00143B25" w:rsidRDefault="0017581F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8A852B0" w14:textId="255C05EF" w:rsidR="00EF0BDE" w:rsidRPr="00143B25" w:rsidRDefault="009753A0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1D68B9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EB4E5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.</w:t>
            </w:r>
            <w:r w:rsidR="001066F7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公司未来</w:t>
            </w:r>
            <w:r w:rsidR="00FE536C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几年</w:t>
            </w:r>
            <w:r w:rsidR="009B4256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新增装机规划</w:t>
            </w:r>
            <w:r w:rsidR="003B3C59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、资本开支</w:t>
            </w:r>
            <w:r w:rsidR="00EF0BDE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281EF5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投资火电机组的目的是满足浙江供电需求还是新能源调峰需求？</w:t>
            </w:r>
          </w:p>
          <w:p w14:paraId="4722977D" w14:textId="631629C4" w:rsidR="00FE536C" w:rsidRPr="00143B25" w:rsidRDefault="00EF0BDE" w:rsidP="00E42A15">
            <w:pPr>
              <w:snapToGrid w:val="0"/>
              <w:spacing w:line="240" w:lineRule="atLeast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9B425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预计</w:t>
            </w:r>
            <w:r w:rsidR="009B425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9B4256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024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-</w:t>
            </w:r>
            <w:r w:rsidR="009B425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9B4256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026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年有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6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台</w:t>
            </w:r>
            <w:r w:rsidR="00977D8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 w:rsidR="00977D8F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00</w:t>
            </w:r>
            <w:r w:rsidR="00977D8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万千瓦级</w:t>
            </w:r>
            <w:r w:rsidR="009B425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燃煤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机组建成投产，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17581F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024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年有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3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台</w:t>
            </w:r>
            <w:r w:rsidR="009B425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燃机</w:t>
            </w:r>
            <w:r w:rsidR="0062244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迁建投运</w:t>
            </w:r>
            <w:r w:rsidR="001066F7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  <w:r w:rsidR="00E42A15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此外，公司</w:t>
            </w:r>
            <w:r w:rsidR="00807E6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将继续</w:t>
            </w:r>
            <w:r w:rsidR="00040661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投资</w:t>
            </w:r>
            <w:r w:rsidR="00807E6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核电领域，</w:t>
            </w:r>
            <w:r w:rsidR="003B3C5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预计在参股火电和核电项目上会</w:t>
            </w:r>
            <w:r w:rsidR="005E308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产生资本金投入</w:t>
            </w:r>
            <w:r w:rsidR="004E4A8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35001A04" w14:textId="60422733" w:rsidR="00FE536C" w:rsidRPr="00143B25" w:rsidRDefault="009F0926" w:rsidP="00456746">
            <w:pPr>
              <w:snapToGrid w:val="0"/>
              <w:spacing w:line="240" w:lineRule="atLeast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关于投资火电机组，满足供电需求和调峰需求两个目的兼有。</w:t>
            </w:r>
          </w:p>
          <w:p w14:paraId="64E6B248" w14:textId="77777777" w:rsidR="009F0926" w:rsidRPr="00143B25" w:rsidRDefault="009F0926" w:rsidP="00456746">
            <w:pPr>
              <w:snapToGrid w:val="0"/>
              <w:spacing w:line="240" w:lineRule="atLeast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6E9F8F84" w14:textId="63B4E12B" w:rsidR="001D68B9" w:rsidRPr="00143B25" w:rsidRDefault="001D68B9" w:rsidP="001D68B9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.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E0B00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  <w:r w:rsidR="00BF4D04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年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第三季度报告中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39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亿元的投资收益，具体构成是怎样的？</w:t>
            </w:r>
          </w:p>
          <w:p w14:paraId="1BCFAC48" w14:textId="18645FC4" w:rsidR="001D68B9" w:rsidRPr="00143B25" w:rsidRDefault="001D68B9" w:rsidP="001D68B9">
            <w:pPr>
              <w:ind w:firstLineChars="200" w:firstLine="480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公司的投资收益主要来自于参股的煤电机组和核电项目</w:t>
            </w:r>
            <w:r w:rsidR="00740FF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  <w:bookmarkStart w:id="0" w:name="_GoBack"/>
            <w:bookmarkEnd w:id="0"/>
            <w:r w:rsidR="00DE0B00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今年投资收益的构成没有发生</w:t>
            </w:r>
            <w:r w:rsidR="0017581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较大</w:t>
            </w:r>
            <w:r w:rsidR="00DE0B00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变化，结构较为稳定，</w:t>
            </w:r>
            <w:r w:rsidR="00C23DC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全年的投资收益明细情况会在年报中披露。</w:t>
            </w:r>
          </w:p>
          <w:p w14:paraId="00BFA209" w14:textId="77777777" w:rsidR="001D68B9" w:rsidRPr="00143B25" w:rsidRDefault="001D68B9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706B6AB" w14:textId="1A2A2A8D" w:rsidR="00494615" w:rsidRPr="00143B25" w:rsidRDefault="009753A0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F66D32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CB571A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.</w:t>
            </w:r>
            <w:r w:rsidR="00CE13B0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019EB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浙江电力现货市场推进节奏</w:t>
            </w:r>
            <w:r w:rsidR="00977D8F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07463295" w14:textId="3DB0C6C8" w:rsidR="0021105E" w:rsidRPr="00143B25" w:rsidRDefault="00494615" w:rsidP="003019EB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国家发展改革委办公厅、国家能源局综合司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3019EB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023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 w:rsidR="003019EB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月《关于进一步加快电力现货市场建设工作的通知》要求“</w:t>
            </w:r>
            <w:r w:rsidR="000C41C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浙江加快市场衔接，</w:t>
            </w:r>
            <w:r w:rsidR="000C41C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2024</w:t>
            </w:r>
            <w:r w:rsidR="000C41C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="000C41C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6</w:t>
            </w:r>
            <w:r w:rsidR="000C41C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月前启动现货市场连续结算试运行</w:t>
            </w:r>
            <w:r w:rsidR="003019E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”</w:t>
            </w:r>
            <w:r w:rsidR="0029706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  <w:r w:rsidR="001D3AE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具体以实际实施情况为准，公司将继续关注和跟进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43C47D85" w14:textId="05EA2D56" w:rsidR="00CB571A" w:rsidRPr="00143B25" w:rsidRDefault="00CB571A" w:rsidP="00CB571A">
            <w:pPr>
              <w:snapToGrid w:val="0"/>
              <w:spacing w:line="240" w:lineRule="atLeast"/>
              <w:ind w:firstLine="567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4D82679C" w14:textId="009BC4F5" w:rsidR="00EB4E52" w:rsidRPr="00143B25" w:rsidRDefault="009753A0" w:rsidP="009753A0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F66D32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235E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5C34CA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公司对分红的</w:t>
            </w:r>
            <w:proofErr w:type="gramStart"/>
            <w:r w:rsidR="005C34CA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考量</w:t>
            </w:r>
            <w:proofErr w:type="gramEnd"/>
            <w:r w:rsidR="00EB4E5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1ECD9B2C" w14:textId="35343C57" w:rsidR="00EB4E52" w:rsidRPr="00143B25" w:rsidRDefault="00EB4E52" w:rsidP="001066F7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公司一贯重视股东回报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,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今年经济效益好转回升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,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公司将按照公司章程的规定</w:t>
            </w:r>
            <w:r w:rsidR="005E308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，根据公司实际情况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落实分红政策，具体利润分</w:t>
            </w:r>
            <w:r w:rsidR="005C34CA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lastRenderedPageBreak/>
              <w:t>配方案要经董事会、股东大会审议批准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2FFBB285" w14:textId="65FC54C8" w:rsidR="0041372C" w:rsidRPr="00143B25" w:rsidRDefault="0041372C" w:rsidP="001066F7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40CEE2BA" w14:textId="096D93BD" w:rsidR="0041372C" w:rsidRPr="00143B25" w:rsidRDefault="0041372C" w:rsidP="0041372C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F66D32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E62E5F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浙江</w:t>
            </w:r>
            <w:r w:rsidR="00823DD3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工业用电增长原因？居民用电</w:t>
            </w:r>
            <w:r w:rsidR="001E51D8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未来</w:t>
            </w:r>
            <w:r w:rsidR="00823DD3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趋势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1C4D6CE7" w14:textId="1D3FAB48" w:rsidR="0041372C" w:rsidRPr="00143B25" w:rsidRDefault="0041372C" w:rsidP="0041372C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B3519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目前来看，</w:t>
            </w:r>
            <w:r w:rsidR="001E51D8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我们</w:t>
            </w:r>
            <w:r w:rsidR="00B3519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售电客户的用电量没有显示下滑趋势。</w:t>
            </w:r>
            <w:r w:rsidR="005A1541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居民用电占比较低，目前还是工业用电占大部分。</w:t>
            </w:r>
          </w:p>
          <w:p w14:paraId="7767E6E5" w14:textId="6811D0B5" w:rsidR="0041372C" w:rsidRPr="00143B25" w:rsidRDefault="0041372C" w:rsidP="001066F7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3D3EAE7F" w14:textId="63799AE7" w:rsidR="001E51D8" w:rsidRPr="00143B25" w:rsidRDefault="001E51D8" w:rsidP="001E51D8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F66D32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66D3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投资中</w:t>
            </w:r>
            <w:proofErr w:type="gramStart"/>
            <w:r w:rsidR="00F66D3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来股份</w:t>
            </w:r>
            <w:proofErr w:type="gramEnd"/>
            <w:r w:rsidR="00F66D32"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的原因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7D37BF59" w14:textId="4EAD0FCB" w:rsidR="004F0246" w:rsidRPr="00143B25" w:rsidRDefault="001E51D8" w:rsidP="004F0246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通过取得中</w:t>
            </w:r>
            <w:proofErr w:type="gramStart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来股份</w:t>
            </w:r>
            <w:proofErr w:type="gramEnd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的控制权，可以</w:t>
            </w:r>
            <w:proofErr w:type="gramStart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促进浙能电力</w:t>
            </w:r>
            <w:proofErr w:type="gramEnd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从传统火电为主向火电与新能源协同发展的方向转变，</w:t>
            </w:r>
            <w:proofErr w:type="gramStart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有利于浙能电力</w:t>
            </w:r>
            <w:proofErr w:type="gramEnd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转型升级。中</w:t>
            </w:r>
            <w:proofErr w:type="gramStart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来股份</w:t>
            </w:r>
            <w:proofErr w:type="gramEnd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主营业务较为突出，具有一定的技术优势，公司取得中</w:t>
            </w:r>
            <w:proofErr w:type="gramStart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来股份</w:t>
            </w:r>
            <w:proofErr w:type="gramEnd"/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的控制权，可以有效规避产业培育风险，实现新产</w:t>
            </w:r>
            <w:r w:rsidR="008A423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业的快速落地</w:t>
            </w:r>
            <w:r w:rsidR="004F0246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5EB4C42C" w14:textId="77777777" w:rsidR="004F0246" w:rsidRPr="00143B25" w:rsidRDefault="004F0246" w:rsidP="004F0246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14:paraId="69F46F15" w14:textId="11F4D89F" w:rsidR="0041372C" w:rsidRPr="00143B25" w:rsidRDefault="002941AE" w:rsidP="001066F7">
            <w:pPr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1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EF7FFB"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公司是否将要发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Pr="00143B25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023</w:t>
            </w:r>
            <w:r w:rsidRPr="00143B2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年年度业绩预告？</w:t>
            </w:r>
          </w:p>
          <w:p w14:paraId="4D38571F" w14:textId="45BF2A15" w:rsidR="0041372C" w:rsidRPr="00143B25" w:rsidRDefault="00EF7FFB" w:rsidP="001066F7">
            <w:pPr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答：</w:t>
            </w:r>
            <w:r w:rsidR="009959BF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按照监管规定，</w:t>
            </w:r>
            <w:r w:rsidR="00F1233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上市公司预计年度净利润实现扭亏为盈的，应当在会计年度结束后</w:t>
            </w:r>
            <w:r w:rsidR="00F1233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 w:rsidR="00F12334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个月内进行预告</w:t>
            </w:r>
            <w:r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  <w:r w:rsidR="001B5342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将严格遵照相关规定，</w:t>
            </w:r>
            <w:r w:rsidR="008C4F6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根据</w:t>
            </w:r>
            <w:r w:rsidR="008C4F6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</w:t>
            </w:r>
            <w:r w:rsidR="008C4F69" w:rsidRPr="00143B25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023</w:t>
            </w:r>
            <w:r w:rsidR="008C4F69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年度</w:t>
            </w:r>
            <w:r w:rsidR="00A4127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业绩</w:t>
            </w:r>
            <w:r w:rsidR="003C6E7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预测情况</w:t>
            </w:r>
            <w:r w:rsidR="00A4127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</w:t>
            </w:r>
            <w:r w:rsidR="00E25A2B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决定是否</w:t>
            </w:r>
            <w:r w:rsidR="003C6E73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进行信息披露</w:t>
            </w:r>
            <w:r w:rsidR="001B5342" w:rsidRPr="00143B2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311E5B88" w14:textId="1D7E4BC0" w:rsidR="008D1D0E" w:rsidRPr="00143B25" w:rsidRDefault="008D1D0E" w:rsidP="00807E6B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DAF" w:rsidRPr="00F849E7" w14:paraId="7E8CDAB8" w14:textId="77777777" w:rsidTr="00E56C06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8E2" w14:textId="7FDEFB3E" w:rsidR="000C1DAF" w:rsidRPr="000C1DAF" w:rsidRDefault="000C1DAF" w:rsidP="00E56C06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C1DA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6DE" w14:textId="285968A5" w:rsidR="000C1DAF" w:rsidRPr="000C1DAF" w:rsidRDefault="000C1DAF" w:rsidP="000C1DAF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C1DAF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</w:tbl>
    <w:p w14:paraId="27EC307B" w14:textId="77777777" w:rsidR="004E4FFE" w:rsidRPr="00F849E7" w:rsidRDefault="004E4FFE">
      <w:pPr>
        <w:rPr>
          <w:rFonts w:ascii="Times New Roman" w:hAnsi="Times New Roman" w:cs="Times New Roman"/>
        </w:rPr>
      </w:pPr>
    </w:p>
    <w:sectPr w:rsidR="004E4FFE" w:rsidRPr="00F849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3912" w14:textId="77777777" w:rsidR="009A5461" w:rsidRDefault="009A5461" w:rsidP="00D70F0A">
      <w:r>
        <w:separator/>
      </w:r>
    </w:p>
  </w:endnote>
  <w:endnote w:type="continuationSeparator" w:id="0">
    <w:p w14:paraId="0527CE6B" w14:textId="77777777" w:rsidR="009A5461" w:rsidRDefault="009A5461" w:rsidP="00D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Helvetica Neue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6281" w14:textId="77777777" w:rsidR="009A5461" w:rsidRDefault="009A5461" w:rsidP="00D70F0A">
      <w:r>
        <w:separator/>
      </w:r>
    </w:p>
  </w:footnote>
  <w:footnote w:type="continuationSeparator" w:id="0">
    <w:p w14:paraId="5493FBDB" w14:textId="77777777" w:rsidR="009A5461" w:rsidRDefault="009A5461" w:rsidP="00D7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5CA8" w14:textId="03A93981" w:rsidR="007F4E38" w:rsidRPr="008D4E40" w:rsidRDefault="007F4E38">
    <w:pPr>
      <w:pStyle w:val="a3"/>
      <w:rPr>
        <w:sz w:val="21"/>
        <w:szCs w:val="21"/>
      </w:rPr>
    </w:pPr>
    <w:r w:rsidRPr="008D4E40">
      <w:rPr>
        <w:rFonts w:asciiTheme="minorEastAsia" w:hAnsiTheme="minorEastAsia" w:hint="eastAsia"/>
        <w:sz w:val="21"/>
        <w:szCs w:val="21"/>
      </w:rPr>
      <w:t>证券代码：6</w:t>
    </w:r>
    <w:r w:rsidRPr="008D4E40">
      <w:rPr>
        <w:rFonts w:asciiTheme="minorEastAsia" w:hAnsiTheme="minorEastAsia"/>
        <w:sz w:val="21"/>
        <w:szCs w:val="21"/>
      </w:rPr>
      <w:t>00023</w:t>
    </w:r>
    <w:r w:rsidRPr="008D4E40">
      <w:rPr>
        <w:rFonts w:asciiTheme="minorEastAsia" w:hAnsiTheme="minorEastAsia"/>
        <w:sz w:val="21"/>
        <w:szCs w:val="21"/>
      </w:rPr>
      <w:ptab w:relativeTo="margin" w:alignment="center" w:leader="none"/>
    </w:r>
    <w:r w:rsidRPr="008D4E40">
      <w:rPr>
        <w:rFonts w:asciiTheme="minorEastAsia" w:hAnsiTheme="minorEastAsia"/>
        <w:sz w:val="21"/>
        <w:szCs w:val="21"/>
      </w:rPr>
      <w:ptab w:relativeTo="margin" w:alignment="right" w:leader="none"/>
    </w:r>
    <w:r w:rsidRPr="008D4E40">
      <w:rPr>
        <w:rFonts w:asciiTheme="minorEastAsia" w:hAnsiTheme="minorEastAsia" w:hint="eastAsia"/>
        <w:sz w:val="21"/>
        <w:szCs w:val="21"/>
      </w:rPr>
      <w:t>证券简称：</w:t>
    </w:r>
    <w:proofErr w:type="gramStart"/>
    <w:r w:rsidRPr="008D4E40">
      <w:rPr>
        <w:rFonts w:asciiTheme="minorEastAsia" w:hAnsiTheme="minorEastAsia" w:hint="eastAsia"/>
        <w:sz w:val="21"/>
        <w:szCs w:val="21"/>
      </w:rPr>
      <w:t>浙能电</w:t>
    </w:r>
    <w:r w:rsidRPr="008D4E40">
      <w:rPr>
        <w:rFonts w:hint="eastAsia"/>
        <w:sz w:val="21"/>
        <w:szCs w:val="21"/>
      </w:rPr>
      <w:t>力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0DA"/>
    <w:multiLevelType w:val="hybridMultilevel"/>
    <w:tmpl w:val="51EC49C4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6646A"/>
    <w:multiLevelType w:val="hybridMultilevel"/>
    <w:tmpl w:val="CE4A7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494EB2"/>
    <w:multiLevelType w:val="hybridMultilevel"/>
    <w:tmpl w:val="CFC42A10"/>
    <w:lvl w:ilvl="0" w:tplc="F8F2125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944F53"/>
    <w:multiLevelType w:val="hybridMultilevel"/>
    <w:tmpl w:val="05D0733C"/>
    <w:lvl w:ilvl="0" w:tplc="625E0A4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A715E1"/>
    <w:multiLevelType w:val="hybridMultilevel"/>
    <w:tmpl w:val="4F9A388A"/>
    <w:lvl w:ilvl="0" w:tplc="D2B61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80231B"/>
    <w:multiLevelType w:val="hybridMultilevel"/>
    <w:tmpl w:val="1D2EB43A"/>
    <w:lvl w:ilvl="0" w:tplc="440E31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265CB7"/>
    <w:multiLevelType w:val="multilevel"/>
    <w:tmpl w:val="0B201FB0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ascii="微软雅黑" w:eastAsia="微软雅黑" w:hAnsi="微软雅黑" w:hint="eastAsia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790C0A85"/>
    <w:multiLevelType w:val="hybridMultilevel"/>
    <w:tmpl w:val="10FAC982"/>
    <w:lvl w:ilvl="0" w:tplc="61B6F63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8"/>
    <w:rsid w:val="000107CC"/>
    <w:rsid w:val="00010907"/>
    <w:rsid w:val="000149D7"/>
    <w:rsid w:val="00016DDC"/>
    <w:rsid w:val="0001788E"/>
    <w:rsid w:val="00027C5F"/>
    <w:rsid w:val="00030D95"/>
    <w:rsid w:val="0003618C"/>
    <w:rsid w:val="000372E1"/>
    <w:rsid w:val="00037912"/>
    <w:rsid w:val="00040661"/>
    <w:rsid w:val="00041F4C"/>
    <w:rsid w:val="000422DC"/>
    <w:rsid w:val="00047D91"/>
    <w:rsid w:val="00057D05"/>
    <w:rsid w:val="000622A2"/>
    <w:rsid w:val="00073797"/>
    <w:rsid w:val="00081CFB"/>
    <w:rsid w:val="0008260B"/>
    <w:rsid w:val="0008504C"/>
    <w:rsid w:val="000A079B"/>
    <w:rsid w:val="000A56DF"/>
    <w:rsid w:val="000A7A8A"/>
    <w:rsid w:val="000B1A00"/>
    <w:rsid w:val="000B6864"/>
    <w:rsid w:val="000B68A5"/>
    <w:rsid w:val="000C1DAF"/>
    <w:rsid w:val="000C41C8"/>
    <w:rsid w:val="000C4B72"/>
    <w:rsid w:val="000C682A"/>
    <w:rsid w:val="000D1688"/>
    <w:rsid w:val="000D2A20"/>
    <w:rsid w:val="000D6330"/>
    <w:rsid w:val="000D6BB6"/>
    <w:rsid w:val="000E25CE"/>
    <w:rsid w:val="000E62B5"/>
    <w:rsid w:val="000F1107"/>
    <w:rsid w:val="000F63FA"/>
    <w:rsid w:val="00101505"/>
    <w:rsid w:val="00102698"/>
    <w:rsid w:val="00103D44"/>
    <w:rsid w:val="00104285"/>
    <w:rsid w:val="001066F7"/>
    <w:rsid w:val="0012593B"/>
    <w:rsid w:val="00126FB1"/>
    <w:rsid w:val="00132687"/>
    <w:rsid w:val="001353E3"/>
    <w:rsid w:val="00141B00"/>
    <w:rsid w:val="00143B25"/>
    <w:rsid w:val="00146885"/>
    <w:rsid w:val="001474C8"/>
    <w:rsid w:val="00154327"/>
    <w:rsid w:val="001563ED"/>
    <w:rsid w:val="001603AA"/>
    <w:rsid w:val="00160D0B"/>
    <w:rsid w:val="00164608"/>
    <w:rsid w:val="00165BFC"/>
    <w:rsid w:val="00171AFB"/>
    <w:rsid w:val="00172A30"/>
    <w:rsid w:val="0017430A"/>
    <w:rsid w:val="0017581F"/>
    <w:rsid w:val="001A03A6"/>
    <w:rsid w:val="001A1252"/>
    <w:rsid w:val="001A20DD"/>
    <w:rsid w:val="001A23A0"/>
    <w:rsid w:val="001A338B"/>
    <w:rsid w:val="001A3760"/>
    <w:rsid w:val="001A6980"/>
    <w:rsid w:val="001A7260"/>
    <w:rsid w:val="001B5342"/>
    <w:rsid w:val="001B55CB"/>
    <w:rsid w:val="001C6B21"/>
    <w:rsid w:val="001C7FC5"/>
    <w:rsid w:val="001D20D9"/>
    <w:rsid w:val="001D3AE3"/>
    <w:rsid w:val="001D68B9"/>
    <w:rsid w:val="001E51D8"/>
    <w:rsid w:val="001F5A98"/>
    <w:rsid w:val="0020075F"/>
    <w:rsid w:val="00206DCB"/>
    <w:rsid w:val="0021105E"/>
    <w:rsid w:val="002135C7"/>
    <w:rsid w:val="0021453E"/>
    <w:rsid w:val="0021748A"/>
    <w:rsid w:val="002238E7"/>
    <w:rsid w:val="00223BB4"/>
    <w:rsid w:val="0023637D"/>
    <w:rsid w:val="002407C8"/>
    <w:rsid w:val="0025019E"/>
    <w:rsid w:val="002626D0"/>
    <w:rsid w:val="0027127F"/>
    <w:rsid w:val="00275200"/>
    <w:rsid w:val="00280492"/>
    <w:rsid w:val="00281EF5"/>
    <w:rsid w:val="00281FDC"/>
    <w:rsid w:val="002831C2"/>
    <w:rsid w:val="00284E35"/>
    <w:rsid w:val="00287258"/>
    <w:rsid w:val="00287627"/>
    <w:rsid w:val="002941AE"/>
    <w:rsid w:val="00297063"/>
    <w:rsid w:val="002A62E8"/>
    <w:rsid w:val="002A6700"/>
    <w:rsid w:val="002B2C18"/>
    <w:rsid w:val="002B71A6"/>
    <w:rsid w:val="002B79A4"/>
    <w:rsid w:val="002C4D43"/>
    <w:rsid w:val="002C7AAF"/>
    <w:rsid w:val="002D574D"/>
    <w:rsid w:val="002F2BBF"/>
    <w:rsid w:val="002F4053"/>
    <w:rsid w:val="003019EB"/>
    <w:rsid w:val="00311B09"/>
    <w:rsid w:val="0031489A"/>
    <w:rsid w:val="003160AB"/>
    <w:rsid w:val="0031635C"/>
    <w:rsid w:val="003408D0"/>
    <w:rsid w:val="00340E19"/>
    <w:rsid w:val="00345321"/>
    <w:rsid w:val="00345A43"/>
    <w:rsid w:val="003635F4"/>
    <w:rsid w:val="00367C29"/>
    <w:rsid w:val="00374CA3"/>
    <w:rsid w:val="003765D8"/>
    <w:rsid w:val="00382AAF"/>
    <w:rsid w:val="00384689"/>
    <w:rsid w:val="00384A9E"/>
    <w:rsid w:val="00393C72"/>
    <w:rsid w:val="003A1DFB"/>
    <w:rsid w:val="003A2E3B"/>
    <w:rsid w:val="003A3703"/>
    <w:rsid w:val="003B3C59"/>
    <w:rsid w:val="003C0515"/>
    <w:rsid w:val="003C5723"/>
    <w:rsid w:val="003C6E73"/>
    <w:rsid w:val="003E276C"/>
    <w:rsid w:val="003E4F46"/>
    <w:rsid w:val="003E5770"/>
    <w:rsid w:val="003E5EFB"/>
    <w:rsid w:val="003F3D8E"/>
    <w:rsid w:val="003F4580"/>
    <w:rsid w:val="003F47DD"/>
    <w:rsid w:val="003F4F75"/>
    <w:rsid w:val="003F6FCD"/>
    <w:rsid w:val="00401916"/>
    <w:rsid w:val="00401B8C"/>
    <w:rsid w:val="004103E5"/>
    <w:rsid w:val="00410F44"/>
    <w:rsid w:val="0041372C"/>
    <w:rsid w:val="004202D5"/>
    <w:rsid w:val="00423E78"/>
    <w:rsid w:val="00424112"/>
    <w:rsid w:val="004245D1"/>
    <w:rsid w:val="0042530A"/>
    <w:rsid w:val="00432019"/>
    <w:rsid w:val="00434766"/>
    <w:rsid w:val="00441DBA"/>
    <w:rsid w:val="00451B1F"/>
    <w:rsid w:val="00451ECD"/>
    <w:rsid w:val="0045510F"/>
    <w:rsid w:val="00456746"/>
    <w:rsid w:val="00472024"/>
    <w:rsid w:val="0047609F"/>
    <w:rsid w:val="00480D67"/>
    <w:rsid w:val="00486DF5"/>
    <w:rsid w:val="00491BC3"/>
    <w:rsid w:val="00492256"/>
    <w:rsid w:val="00492E9B"/>
    <w:rsid w:val="00494615"/>
    <w:rsid w:val="004A25E7"/>
    <w:rsid w:val="004A587A"/>
    <w:rsid w:val="004A7F87"/>
    <w:rsid w:val="004B13CA"/>
    <w:rsid w:val="004B74E4"/>
    <w:rsid w:val="004B7719"/>
    <w:rsid w:val="004C3467"/>
    <w:rsid w:val="004C6024"/>
    <w:rsid w:val="004D0E9E"/>
    <w:rsid w:val="004D2104"/>
    <w:rsid w:val="004D294C"/>
    <w:rsid w:val="004E3435"/>
    <w:rsid w:val="004E4A8A"/>
    <w:rsid w:val="004E4FFE"/>
    <w:rsid w:val="004F0246"/>
    <w:rsid w:val="004F607B"/>
    <w:rsid w:val="004F7DE9"/>
    <w:rsid w:val="00500009"/>
    <w:rsid w:val="00505459"/>
    <w:rsid w:val="00505608"/>
    <w:rsid w:val="00510B4E"/>
    <w:rsid w:val="005136BB"/>
    <w:rsid w:val="00514CDF"/>
    <w:rsid w:val="00515290"/>
    <w:rsid w:val="00524F01"/>
    <w:rsid w:val="00537F99"/>
    <w:rsid w:val="0054041A"/>
    <w:rsid w:val="00547D26"/>
    <w:rsid w:val="005523AF"/>
    <w:rsid w:val="00552AEA"/>
    <w:rsid w:val="00555F24"/>
    <w:rsid w:val="005575FC"/>
    <w:rsid w:val="00572C21"/>
    <w:rsid w:val="0057495B"/>
    <w:rsid w:val="005750D4"/>
    <w:rsid w:val="005909CE"/>
    <w:rsid w:val="005943F2"/>
    <w:rsid w:val="00594AA8"/>
    <w:rsid w:val="00594C06"/>
    <w:rsid w:val="00596B59"/>
    <w:rsid w:val="005A1541"/>
    <w:rsid w:val="005A3749"/>
    <w:rsid w:val="005A46DD"/>
    <w:rsid w:val="005A5C0F"/>
    <w:rsid w:val="005B1D82"/>
    <w:rsid w:val="005B610B"/>
    <w:rsid w:val="005C1006"/>
    <w:rsid w:val="005C1D76"/>
    <w:rsid w:val="005C34CA"/>
    <w:rsid w:val="005C5CD8"/>
    <w:rsid w:val="005D0680"/>
    <w:rsid w:val="005D1436"/>
    <w:rsid w:val="005D3F41"/>
    <w:rsid w:val="005E3089"/>
    <w:rsid w:val="005E5CB4"/>
    <w:rsid w:val="005F3A81"/>
    <w:rsid w:val="005F68BA"/>
    <w:rsid w:val="00614C7D"/>
    <w:rsid w:val="00620ADC"/>
    <w:rsid w:val="0062244F"/>
    <w:rsid w:val="0062594C"/>
    <w:rsid w:val="00625A41"/>
    <w:rsid w:val="00625D7F"/>
    <w:rsid w:val="00631AC3"/>
    <w:rsid w:val="00633576"/>
    <w:rsid w:val="006335D7"/>
    <w:rsid w:val="00635FFA"/>
    <w:rsid w:val="0063671C"/>
    <w:rsid w:val="006434B3"/>
    <w:rsid w:val="00643F1A"/>
    <w:rsid w:val="00644559"/>
    <w:rsid w:val="00650329"/>
    <w:rsid w:val="0065134C"/>
    <w:rsid w:val="006567DD"/>
    <w:rsid w:val="00660E3B"/>
    <w:rsid w:val="00664817"/>
    <w:rsid w:val="006662B2"/>
    <w:rsid w:val="00673C5A"/>
    <w:rsid w:val="00674153"/>
    <w:rsid w:val="006846DD"/>
    <w:rsid w:val="0068593B"/>
    <w:rsid w:val="00687D83"/>
    <w:rsid w:val="006902A0"/>
    <w:rsid w:val="006A108D"/>
    <w:rsid w:val="006A312B"/>
    <w:rsid w:val="006A63F2"/>
    <w:rsid w:val="006A788B"/>
    <w:rsid w:val="006B6F43"/>
    <w:rsid w:val="006B754C"/>
    <w:rsid w:val="006C1894"/>
    <w:rsid w:val="006C4127"/>
    <w:rsid w:val="006C4252"/>
    <w:rsid w:val="006C6B7E"/>
    <w:rsid w:val="006D310E"/>
    <w:rsid w:val="006E7181"/>
    <w:rsid w:val="007039D8"/>
    <w:rsid w:val="007065E5"/>
    <w:rsid w:val="00712A44"/>
    <w:rsid w:val="007151D3"/>
    <w:rsid w:val="00720113"/>
    <w:rsid w:val="00724516"/>
    <w:rsid w:val="00740FF6"/>
    <w:rsid w:val="0074588E"/>
    <w:rsid w:val="007511A5"/>
    <w:rsid w:val="00755359"/>
    <w:rsid w:val="0076011A"/>
    <w:rsid w:val="00761635"/>
    <w:rsid w:val="007721C4"/>
    <w:rsid w:val="0077493C"/>
    <w:rsid w:val="00783952"/>
    <w:rsid w:val="00790D98"/>
    <w:rsid w:val="007979C8"/>
    <w:rsid w:val="007A5691"/>
    <w:rsid w:val="007A625B"/>
    <w:rsid w:val="007B1BED"/>
    <w:rsid w:val="007B4AFE"/>
    <w:rsid w:val="007C6A34"/>
    <w:rsid w:val="007D2C74"/>
    <w:rsid w:val="007D5C9B"/>
    <w:rsid w:val="007D6807"/>
    <w:rsid w:val="007E76B6"/>
    <w:rsid w:val="007F04A0"/>
    <w:rsid w:val="007F4E38"/>
    <w:rsid w:val="00802952"/>
    <w:rsid w:val="00804672"/>
    <w:rsid w:val="00807E6B"/>
    <w:rsid w:val="00813F35"/>
    <w:rsid w:val="00822466"/>
    <w:rsid w:val="00823DD3"/>
    <w:rsid w:val="00840513"/>
    <w:rsid w:val="00840967"/>
    <w:rsid w:val="00845A8A"/>
    <w:rsid w:val="00852C2B"/>
    <w:rsid w:val="00867BE6"/>
    <w:rsid w:val="00867EB6"/>
    <w:rsid w:val="00871800"/>
    <w:rsid w:val="0087565D"/>
    <w:rsid w:val="00880F04"/>
    <w:rsid w:val="00881B8E"/>
    <w:rsid w:val="008A1D5D"/>
    <w:rsid w:val="008A3252"/>
    <w:rsid w:val="008A4239"/>
    <w:rsid w:val="008A7CD1"/>
    <w:rsid w:val="008B4874"/>
    <w:rsid w:val="008C4195"/>
    <w:rsid w:val="008C4F69"/>
    <w:rsid w:val="008D1D0E"/>
    <w:rsid w:val="008D4E40"/>
    <w:rsid w:val="008D60B3"/>
    <w:rsid w:val="008E2634"/>
    <w:rsid w:val="008E6E88"/>
    <w:rsid w:val="008F6335"/>
    <w:rsid w:val="009020DF"/>
    <w:rsid w:val="0090297B"/>
    <w:rsid w:val="009030C8"/>
    <w:rsid w:val="0090573F"/>
    <w:rsid w:val="00907464"/>
    <w:rsid w:val="0091308C"/>
    <w:rsid w:val="0091342D"/>
    <w:rsid w:val="00915FAB"/>
    <w:rsid w:val="0091796D"/>
    <w:rsid w:val="00917DF4"/>
    <w:rsid w:val="009231C1"/>
    <w:rsid w:val="009261D2"/>
    <w:rsid w:val="00934555"/>
    <w:rsid w:val="00935FD5"/>
    <w:rsid w:val="009371B4"/>
    <w:rsid w:val="009376E7"/>
    <w:rsid w:val="009442DE"/>
    <w:rsid w:val="0095759D"/>
    <w:rsid w:val="00960201"/>
    <w:rsid w:val="009608EE"/>
    <w:rsid w:val="00966B8A"/>
    <w:rsid w:val="00973124"/>
    <w:rsid w:val="009753A0"/>
    <w:rsid w:val="00977D8F"/>
    <w:rsid w:val="00983485"/>
    <w:rsid w:val="00992A3F"/>
    <w:rsid w:val="00993862"/>
    <w:rsid w:val="009959BF"/>
    <w:rsid w:val="00996FEF"/>
    <w:rsid w:val="009A2B46"/>
    <w:rsid w:val="009A43B6"/>
    <w:rsid w:val="009A52FF"/>
    <w:rsid w:val="009A5461"/>
    <w:rsid w:val="009B01D2"/>
    <w:rsid w:val="009B4256"/>
    <w:rsid w:val="009B52E7"/>
    <w:rsid w:val="009B742E"/>
    <w:rsid w:val="009C1CD9"/>
    <w:rsid w:val="009C6DA6"/>
    <w:rsid w:val="009E5AF8"/>
    <w:rsid w:val="009E71B6"/>
    <w:rsid w:val="009F0926"/>
    <w:rsid w:val="00A03374"/>
    <w:rsid w:val="00A15B3D"/>
    <w:rsid w:val="00A21B12"/>
    <w:rsid w:val="00A2493F"/>
    <w:rsid w:val="00A2799E"/>
    <w:rsid w:val="00A351F9"/>
    <w:rsid w:val="00A3601A"/>
    <w:rsid w:val="00A37DB8"/>
    <w:rsid w:val="00A40592"/>
    <w:rsid w:val="00A4127B"/>
    <w:rsid w:val="00A50D1B"/>
    <w:rsid w:val="00A5277B"/>
    <w:rsid w:val="00A53473"/>
    <w:rsid w:val="00A555D4"/>
    <w:rsid w:val="00A6097E"/>
    <w:rsid w:val="00A664C0"/>
    <w:rsid w:val="00A7271E"/>
    <w:rsid w:val="00A74572"/>
    <w:rsid w:val="00A8080C"/>
    <w:rsid w:val="00A904C8"/>
    <w:rsid w:val="00A9541B"/>
    <w:rsid w:val="00AA37BD"/>
    <w:rsid w:val="00AB1EE2"/>
    <w:rsid w:val="00AC65F5"/>
    <w:rsid w:val="00AD3F63"/>
    <w:rsid w:val="00AD7518"/>
    <w:rsid w:val="00AE1177"/>
    <w:rsid w:val="00AF283F"/>
    <w:rsid w:val="00AF285E"/>
    <w:rsid w:val="00AF7274"/>
    <w:rsid w:val="00B02394"/>
    <w:rsid w:val="00B04D09"/>
    <w:rsid w:val="00B0787B"/>
    <w:rsid w:val="00B11A07"/>
    <w:rsid w:val="00B13239"/>
    <w:rsid w:val="00B2225C"/>
    <w:rsid w:val="00B3439B"/>
    <w:rsid w:val="00B35194"/>
    <w:rsid w:val="00B356B7"/>
    <w:rsid w:val="00B359D5"/>
    <w:rsid w:val="00B41B2F"/>
    <w:rsid w:val="00B43DA5"/>
    <w:rsid w:val="00B44901"/>
    <w:rsid w:val="00B45122"/>
    <w:rsid w:val="00B46CAD"/>
    <w:rsid w:val="00B705B3"/>
    <w:rsid w:val="00B711C6"/>
    <w:rsid w:val="00B73314"/>
    <w:rsid w:val="00B76B38"/>
    <w:rsid w:val="00B82BD3"/>
    <w:rsid w:val="00B83885"/>
    <w:rsid w:val="00B84493"/>
    <w:rsid w:val="00B86814"/>
    <w:rsid w:val="00B9793C"/>
    <w:rsid w:val="00BA0D8C"/>
    <w:rsid w:val="00BB69D8"/>
    <w:rsid w:val="00BD227B"/>
    <w:rsid w:val="00BD3BF8"/>
    <w:rsid w:val="00BD3FEF"/>
    <w:rsid w:val="00BD6F1A"/>
    <w:rsid w:val="00BE6DBF"/>
    <w:rsid w:val="00BE6DD3"/>
    <w:rsid w:val="00BF238B"/>
    <w:rsid w:val="00BF25B8"/>
    <w:rsid w:val="00BF3527"/>
    <w:rsid w:val="00BF4D04"/>
    <w:rsid w:val="00BF69B7"/>
    <w:rsid w:val="00C004E8"/>
    <w:rsid w:val="00C0214A"/>
    <w:rsid w:val="00C03866"/>
    <w:rsid w:val="00C06A97"/>
    <w:rsid w:val="00C147B0"/>
    <w:rsid w:val="00C15642"/>
    <w:rsid w:val="00C23128"/>
    <w:rsid w:val="00C23DC3"/>
    <w:rsid w:val="00C33EB2"/>
    <w:rsid w:val="00C34840"/>
    <w:rsid w:val="00C432E1"/>
    <w:rsid w:val="00C43F41"/>
    <w:rsid w:val="00C53CD8"/>
    <w:rsid w:val="00C565E8"/>
    <w:rsid w:val="00C56D7A"/>
    <w:rsid w:val="00C5752B"/>
    <w:rsid w:val="00C817B4"/>
    <w:rsid w:val="00C87D4A"/>
    <w:rsid w:val="00C90286"/>
    <w:rsid w:val="00C93C90"/>
    <w:rsid w:val="00C94363"/>
    <w:rsid w:val="00C94DD5"/>
    <w:rsid w:val="00C9711D"/>
    <w:rsid w:val="00CB571A"/>
    <w:rsid w:val="00CC1C9A"/>
    <w:rsid w:val="00CE13B0"/>
    <w:rsid w:val="00CE13BC"/>
    <w:rsid w:val="00CF58C9"/>
    <w:rsid w:val="00D01684"/>
    <w:rsid w:val="00D17E3B"/>
    <w:rsid w:val="00D20AE0"/>
    <w:rsid w:val="00D26E35"/>
    <w:rsid w:val="00D36227"/>
    <w:rsid w:val="00D36310"/>
    <w:rsid w:val="00D3667C"/>
    <w:rsid w:val="00D435A0"/>
    <w:rsid w:val="00D445E2"/>
    <w:rsid w:val="00D47A35"/>
    <w:rsid w:val="00D519AB"/>
    <w:rsid w:val="00D53B42"/>
    <w:rsid w:val="00D60473"/>
    <w:rsid w:val="00D61E0A"/>
    <w:rsid w:val="00D62E92"/>
    <w:rsid w:val="00D66280"/>
    <w:rsid w:val="00D66A84"/>
    <w:rsid w:val="00D70F0A"/>
    <w:rsid w:val="00D73A42"/>
    <w:rsid w:val="00D7416D"/>
    <w:rsid w:val="00D741C6"/>
    <w:rsid w:val="00D765F0"/>
    <w:rsid w:val="00D76DAC"/>
    <w:rsid w:val="00D925FC"/>
    <w:rsid w:val="00D92C5F"/>
    <w:rsid w:val="00D972C9"/>
    <w:rsid w:val="00DB235E"/>
    <w:rsid w:val="00DB742B"/>
    <w:rsid w:val="00DC0B1D"/>
    <w:rsid w:val="00DC324F"/>
    <w:rsid w:val="00DC7052"/>
    <w:rsid w:val="00DD01B6"/>
    <w:rsid w:val="00DD5FD3"/>
    <w:rsid w:val="00DE0585"/>
    <w:rsid w:val="00DE0B00"/>
    <w:rsid w:val="00DE6940"/>
    <w:rsid w:val="00E0253B"/>
    <w:rsid w:val="00E04EB0"/>
    <w:rsid w:val="00E071AA"/>
    <w:rsid w:val="00E07958"/>
    <w:rsid w:val="00E20313"/>
    <w:rsid w:val="00E20CA7"/>
    <w:rsid w:val="00E25A2B"/>
    <w:rsid w:val="00E33A83"/>
    <w:rsid w:val="00E35ACB"/>
    <w:rsid w:val="00E42A15"/>
    <w:rsid w:val="00E56C06"/>
    <w:rsid w:val="00E60515"/>
    <w:rsid w:val="00E61BB2"/>
    <w:rsid w:val="00E61C9A"/>
    <w:rsid w:val="00E629E0"/>
    <w:rsid w:val="00E62A03"/>
    <w:rsid w:val="00E62E5F"/>
    <w:rsid w:val="00E6445D"/>
    <w:rsid w:val="00E64B29"/>
    <w:rsid w:val="00E7391D"/>
    <w:rsid w:val="00E77D8E"/>
    <w:rsid w:val="00E82AE3"/>
    <w:rsid w:val="00E909A6"/>
    <w:rsid w:val="00E93C1B"/>
    <w:rsid w:val="00E9452B"/>
    <w:rsid w:val="00EA17D5"/>
    <w:rsid w:val="00EA22CD"/>
    <w:rsid w:val="00EA240F"/>
    <w:rsid w:val="00EA61E4"/>
    <w:rsid w:val="00EB1500"/>
    <w:rsid w:val="00EB2F6C"/>
    <w:rsid w:val="00EB4E52"/>
    <w:rsid w:val="00EC1AD8"/>
    <w:rsid w:val="00EC47A6"/>
    <w:rsid w:val="00EC4C0C"/>
    <w:rsid w:val="00ED03CC"/>
    <w:rsid w:val="00ED03E0"/>
    <w:rsid w:val="00EE3E6C"/>
    <w:rsid w:val="00EE5C28"/>
    <w:rsid w:val="00EE74C9"/>
    <w:rsid w:val="00EF0BDE"/>
    <w:rsid w:val="00EF7FFB"/>
    <w:rsid w:val="00F0666E"/>
    <w:rsid w:val="00F12334"/>
    <w:rsid w:val="00F1376B"/>
    <w:rsid w:val="00F14B93"/>
    <w:rsid w:val="00F15A87"/>
    <w:rsid w:val="00F21450"/>
    <w:rsid w:val="00F214F0"/>
    <w:rsid w:val="00F24D2C"/>
    <w:rsid w:val="00F40985"/>
    <w:rsid w:val="00F4398F"/>
    <w:rsid w:val="00F44B73"/>
    <w:rsid w:val="00F46FAC"/>
    <w:rsid w:val="00F60329"/>
    <w:rsid w:val="00F66D32"/>
    <w:rsid w:val="00F66E80"/>
    <w:rsid w:val="00F82229"/>
    <w:rsid w:val="00F849E7"/>
    <w:rsid w:val="00F90097"/>
    <w:rsid w:val="00F94280"/>
    <w:rsid w:val="00F969F9"/>
    <w:rsid w:val="00FE536C"/>
    <w:rsid w:val="00FE7A74"/>
    <w:rsid w:val="00FF41C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4E61C"/>
  <w15:docId w15:val="{7C1F9A7D-8652-451E-B07B-5CBE0F7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2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F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F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31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31C2"/>
    <w:rPr>
      <w:sz w:val="18"/>
      <w:szCs w:val="18"/>
    </w:rPr>
  </w:style>
  <w:style w:type="paragraph" w:styleId="a9">
    <w:name w:val="List Paragraph"/>
    <w:basedOn w:val="a"/>
    <w:uiPriority w:val="34"/>
    <w:qFormat/>
    <w:rsid w:val="00867EB6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4D29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D29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D29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29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294C"/>
    <w:rPr>
      <w:b/>
      <w:bCs/>
    </w:rPr>
  </w:style>
  <w:style w:type="paragraph" w:styleId="af">
    <w:name w:val="Revision"/>
    <w:hidden/>
    <w:uiPriority w:val="99"/>
    <w:semiHidden/>
    <w:rsid w:val="00552AEA"/>
  </w:style>
  <w:style w:type="paragraph" w:customStyle="1" w:styleId="1">
    <w:name w:val="样式1"/>
    <w:basedOn w:val="3"/>
    <w:link w:val="1Char"/>
    <w:qFormat/>
    <w:rsid w:val="001A1252"/>
    <w:pPr>
      <w:widowControl/>
      <w:spacing w:line="440" w:lineRule="exact"/>
    </w:pPr>
    <w:rPr>
      <w:rFonts w:ascii="微软雅黑" w:eastAsia="微软雅黑" w:hAnsi="微软雅黑"/>
      <w:color w:val="000000" w:themeColor="text1"/>
      <w:sz w:val="28"/>
      <w:szCs w:val="28"/>
    </w:rPr>
  </w:style>
  <w:style w:type="character" w:customStyle="1" w:styleId="1Char">
    <w:name w:val="样式1 Char"/>
    <w:basedOn w:val="30"/>
    <w:link w:val="1"/>
    <w:rsid w:val="001A1252"/>
    <w:rPr>
      <w:rFonts w:ascii="微软雅黑" w:eastAsia="微软雅黑" w:hAnsi="微软雅黑"/>
      <w:b/>
      <w:bCs/>
      <w:color w:val="000000" w:themeColor="text1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A1252"/>
    <w:rPr>
      <w:b/>
      <w:bCs/>
      <w:sz w:val="32"/>
      <w:szCs w:val="32"/>
    </w:rPr>
  </w:style>
  <w:style w:type="paragraph" w:customStyle="1" w:styleId="2">
    <w:name w:val="样式2"/>
    <w:basedOn w:val="a"/>
    <w:link w:val="2Char"/>
    <w:qFormat/>
    <w:rsid w:val="005909CE"/>
    <w:pPr>
      <w:widowControl/>
      <w:snapToGrid w:val="0"/>
      <w:spacing w:afterLines="100" w:after="312" w:line="240" w:lineRule="atLeast"/>
      <w:contextualSpacing/>
    </w:pPr>
    <w:rPr>
      <w:rFonts w:ascii="微软雅黑" w:eastAsia="微软雅黑" w:hAnsi="微软雅黑"/>
      <w:b/>
      <w:bCs/>
      <w:color w:val="000000" w:themeColor="text1"/>
      <w:sz w:val="28"/>
      <w:szCs w:val="28"/>
    </w:rPr>
  </w:style>
  <w:style w:type="character" w:customStyle="1" w:styleId="2Char">
    <w:name w:val="样式2 Char"/>
    <w:basedOn w:val="a0"/>
    <w:link w:val="2"/>
    <w:rsid w:val="005909CE"/>
    <w:rPr>
      <w:rFonts w:ascii="微软雅黑" w:eastAsia="微软雅黑" w:hAnsi="微软雅黑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8CC7-1850-4E4E-A4C9-289CBC2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275</Words>
  <Characters>1569</Characters>
  <Application>Microsoft Office Word</Application>
  <DocSecurity>0</DocSecurity>
  <Lines>13</Lines>
  <Paragraphs>3</Paragraphs>
  <ScaleCrop>false</ScaleCrop>
  <Company>FAWCAR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马燃</dc:creator>
  <cp:lastModifiedBy>Administrator</cp:lastModifiedBy>
  <cp:revision>9</cp:revision>
  <cp:lastPrinted>2023-04-06T09:12:00Z</cp:lastPrinted>
  <dcterms:created xsi:type="dcterms:W3CDTF">2024-01-05T00:48:00Z</dcterms:created>
  <dcterms:modified xsi:type="dcterms:W3CDTF">2024-01-05T02:20:00Z</dcterms:modified>
</cp:coreProperties>
</file>