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31" w:rsidRDefault="00EF0931" w:rsidP="00EF0931">
      <w:pPr>
        <w:pStyle w:val="a5"/>
        <w:tabs>
          <w:tab w:val="left" w:pos="6359"/>
        </w:tabs>
        <w:spacing w:before="5"/>
        <w:ind w:left="0" w:right="245" w:firstLine="0"/>
        <w:rPr>
          <w:rFonts w:ascii="Times New Roman" w:eastAsia="Times New Roman" w:hAnsi="Times New Roman" w:cs="Times New Roman"/>
          <w:lang w:eastAsia="zh-CN"/>
        </w:rPr>
      </w:pPr>
      <w:r>
        <w:rPr>
          <w:lang w:eastAsia="zh-CN"/>
        </w:rPr>
        <w:t>证券简称：</w:t>
      </w:r>
      <w:r>
        <w:rPr>
          <w:rFonts w:hint="eastAsia"/>
          <w:lang w:eastAsia="zh-CN"/>
        </w:rPr>
        <w:t>丸</w:t>
      </w:r>
      <w:proofErr w:type="gramStart"/>
      <w:r>
        <w:rPr>
          <w:rFonts w:hint="eastAsia"/>
          <w:lang w:eastAsia="zh-CN"/>
        </w:rPr>
        <w:t>美股份</w:t>
      </w:r>
      <w:proofErr w:type="gramEnd"/>
      <w:r>
        <w:rPr>
          <w:lang w:eastAsia="zh-CN"/>
        </w:rPr>
        <w:t xml:space="preserve">                               证券代码：</w:t>
      </w:r>
      <w:r>
        <w:rPr>
          <w:rFonts w:ascii="Times New Roman" w:eastAsia="Times New Roman" w:hAnsi="Times New Roman" w:cs="Times New Roman"/>
          <w:lang w:eastAsia="zh-CN"/>
        </w:rPr>
        <w:t>603983</w:t>
      </w:r>
    </w:p>
    <w:p w:rsidR="00EF0931" w:rsidRPr="000D2F4D" w:rsidRDefault="00EF0931" w:rsidP="00EF0931">
      <w:pPr>
        <w:pStyle w:val="Default"/>
        <w:spacing w:line="360" w:lineRule="auto"/>
        <w:ind w:firstLine="460"/>
        <w:rPr>
          <w:sz w:val="23"/>
          <w:szCs w:val="23"/>
        </w:rPr>
      </w:pPr>
    </w:p>
    <w:p w:rsidR="00EF0931" w:rsidRPr="006725A7" w:rsidRDefault="00EF0931" w:rsidP="00EF0931">
      <w:pPr>
        <w:pStyle w:val="Default"/>
        <w:spacing w:line="360" w:lineRule="auto"/>
        <w:ind w:firstLine="723"/>
        <w:jc w:val="center"/>
        <w:rPr>
          <w:rFonts w:ascii="黑体" w:eastAsia="黑体" w:cs="黑体"/>
          <w:b/>
          <w:color w:val="FF0000"/>
          <w:sz w:val="36"/>
          <w:szCs w:val="36"/>
        </w:rPr>
      </w:pPr>
      <w:r w:rsidRPr="006725A7">
        <w:rPr>
          <w:rFonts w:ascii="黑体" w:eastAsia="黑体" w:cs="黑体" w:hint="eastAsia"/>
          <w:b/>
          <w:color w:val="FF0000"/>
          <w:sz w:val="36"/>
          <w:szCs w:val="36"/>
        </w:rPr>
        <w:t>广东丸美生物技术股份有限公司</w:t>
      </w:r>
    </w:p>
    <w:p w:rsidR="00EF0931" w:rsidRDefault="00EF0931" w:rsidP="00EF0931">
      <w:pPr>
        <w:pStyle w:val="Default"/>
        <w:spacing w:line="360" w:lineRule="auto"/>
        <w:ind w:firstLine="723"/>
        <w:jc w:val="center"/>
        <w:rPr>
          <w:rFonts w:ascii="黑体" w:eastAsia="黑体" w:cs="黑体"/>
          <w:b/>
          <w:color w:val="FF0000"/>
          <w:sz w:val="36"/>
          <w:szCs w:val="36"/>
        </w:rPr>
      </w:pPr>
      <w:r>
        <w:rPr>
          <w:rFonts w:ascii="黑体" w:eastAsia="黑体" w:cs="黑体" w:hint="eastAsia"/>
          <w:b/>
          <w:color w:val="FF0000"/>
          <w:sz w:val="36"/>
          <w:szCs w:val="36"/>
        </w:rPr>
        <w:t>投资者关系活动记录表</w:t>
      </w:r>
    </w:p>
    <w:p w:rsidR="00EF0931" w:rsidRPr="00EA37DD" w:rsidRDefault="00EF0931" w:rsidP="00EF0931">
      <w:pPr>
        <w:pStyle w:val="1"/>
        <w:spacing w:before="293" w:afterLines="50" w:after="156"/>
        <w:ind w:left="0" w:right="221"/>
        <w:jc w:val="right"/>
        <w:rPr>
          <w:rFonts w:ascii="Times New Roman" w:hAnsi="Times New Roman" w:cs="Times New Roman"/>
          <w:lang w:eastAsia="zh-CN"/>
        </w:rPr>
      </w:pPr>
      <w:r>
        <w:rPr>
          <w:w w:val="95"/>
          <w:lang w:eastAsia="zh-CN"/>
        </w:rPr>
        <w:t>编号：</w:t>
      </w:r>
      <w:r>
        <w:rPr>
          <w:rFonts w:ascii="Times New Roman" w:eastAsia="Times New Roman" w:hAnsi="Times New Roman" w:cs="Times New Roman"/>
          <w:w w:val="95"/>
          <w:lang w:eastAsia="zh-CN"/>
        </w:rPr>
        <w:t>202</w:t>
      </w:r>
      <w:r>
        <w:rPr>
          <w:rFonts w:ascii="Times New Roman" w:eastAsiaTheme="minorEastAsia" w:hAnsi="Times New Roman" w:cs="Times New Roman" w:hint="eastAsia"/>
          <w:w w:val="95"/>
          <w:lang w:eastAsia="zh-CN"/>
        </w:rPr>
        <w:t>4</w:t>
      </w:r>
      <w:r>
        <w:rPr>
          <w:rFonts w:ascii="Times New Roman" w:eastAsia="Times New Roman" w:hAnsi="Times New Roman" w:cs="Times New Roman"/>
          <w:w w:val="95"/>
          <w:lang w:eastAsia="zh-CN"/>
        </w:rPr>
        <w:t>-00</w:t>
      </w:r>
      <w:r>
        <w:rPr>
          <w:rFonts w:ascii="Times New Roman" w:eastAsiaTheme="minorEastAsia" w:hAnsi="Times New Roman" w:cs="Times New Roman" w:hint="eastAsia"/>
          <w:w w:val="95"/>
          <w:lang w:eastAsia="zh-CN"/>
        </w:rPr>
        <w:t>1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174"/>
      </w:tblGrid>
      <w:tr w:rsidR="00EF0931" w:rsidTr="007C0BCC">
        <w:trPr>
          <w:jc w:val="center"/>
        </w:trPr>
        <w:tc>
          <w:tcPr>
            <w:tcW w:w="2122" w:type="dxa"/>
            <w:vAlign w:val="center"/>
          </w:tcPr>
          <w:p w:rsidR="00EF0931" w:rsidRPr="000D2F4D" w:rsidRDefault="00EF0931" w:rsidP="007C0BCC">
            <w:pPr>
              <w:adjustRightInd w:val="0"/>
              <w:snapToGrid w:val="0"/>
              <w:spacing w:afterLines="50" w:after="156" w:line="430" w:lineRule="exact"/>
              <w:rPr>
                <w:rFonts w:ascii="宋体" w:eastAsia="宋体" w:hAnsi="宋体" w:cs="Arial"/>
                <w:szCs w:val="21"/>
              </w:rPr>
            </w:pPr>
            <w:r w:rsidRPr="000D2F4D">
              <w:rPr>
                <w:rFonts w:ascii="宋体" w:eastAsia="宋体" w:hAnsi="宋体" w:cs="Arial" w:hint="eastAsia"/>
                <w:szCs w:val="21"/>
              </w:rPr>
              <w:t>投资者关系活动类别</w:t>
            </w:r>
          </w:p>
        </w:tc>
        <w:tc>
          <w:tcPr>
            <w:tcW w:w="6174" w:type="dxa"/>
          </w:tcPr>
          <w:p w:rsidR="00EF0931" w:rsidRPr="000D2F4D" w:rsidRDefault="00EF0931" w:rsidP="007C0BCC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Arial"/>
                <w:szCs w:val="21"/>
              </w:rPr>
            </w:pPr>
            <w:r>
              <w:rPr>
                <w:rFonts w:ascii="ingdings 2" w:eastAsia="宋体" w:hAnsi="ingdings 2" w:cs="Wingdings"/>
                <w:szCs w:val="21"/>
              </w:rPr>
              <w:sym w:font="Wingdings 2" w:char="F052"/>
            </w:r>
            <w:r w:rsidRPr="000D2F4D">
              <w:rPr>
                <w:rFonts w:ascii="宋体" w:eastAsia="宋体" w:hAnsi="宋体" w:cs="Arial" w:hint="eastAsia"/>
                <w:szCs w:val="21"/>
              </w:rPr>
              <w:t>特定对象调研</w:t>
            </w:r>
            <w:r w:rsidRPr="000D2F4D">
              <w:rPr>
                <w:rFonts w:ascii="宋体" w:eastAsia="宋体" w:hAnsi="宋体" w:cs="Arial"/>
                <w:szCs w:val="21"/>
              </w:rPr>
              <w:tab/>
            </w:r>
            <w:r w:rsidRPr="000D2F4D">
              <w:rPr>
                <w:rFonts w:ascii="宋体" w:eastAsia="宋体" w:hAnsi="宋体" w:cs="Arial"/>
                <w:szCs w:val="21"/>
              </w:rPr>
              <w:tab/>
            </w:r>
            <w:r w:rsidRPr="000D2F4D">
              <w:rPr>
                <w:rFonts w:ascii="宋体" w:eastAsia="宋体" w:hAnsi="宋体" w:cs="Arial"/>
                <w:szCs w:val="21"/>
              </w:rPr>
              <w:tab/>
            </w:r>
            <w:r w:rsidRPr="000D2F4D">
              <w:rPr>
                <w:rFonts w:ascii="宋体" w:eastAsia="宋体" w:hAnsi="宋体" w:cs="Arial"/>
                <w:szCs w:val="21"/>
              </w:rPr>
              <w:tab/>
            </w:r>
            <w:r w:rsidRPr="000D2F4D">
              <w:rPr>
                <w:rFonts w:ascii="宋体" w:eastAsia="宋体" w:hAnsi="宋体" w:cs="Arial" w:hint="eastAsia"/>
                <w:szCs w:val="21"/>
              </w:rPr>
              <w:t>□分析师会议</w:t>
            </w:r>
          </w:p>
          <w:p w:rsidR="00EF0931" w:rsidRPr="000D2F4D" w:rsidRDefault="00EF0931" w:rsidP="007C0BCC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Arial"/>
                <w:szCs w:val="21"/>
              </w:rPr>
            </w:pPr>
            <w:r w:rsidRPr="000D2F4D">
              <w:rPr>
                <w:rFonts w:ascii="宋体" w:eastAsia="宋体" w:hAnsi="宋体" w:cs="Arial" w:hint="eastAsia"/>
                <w:szCs w:val="21"/>
              </w:rPr>
              <w:t>□媒体采访</w:t>
            </w:r>
            <w:r w:rsidRPr="000D2F4D">
              <w:rPr>
                <w:rFonts w:ascii="宋体" w:eastAsia="宋体" w:hAnsi="宋体" w:cs="Arial"/>
                <w:szCs w:val="21"/>
              </w:rPr>
              <w:tab/>
            </w:r>
            <w:r w:rsidRPr="000D2F4D">
              <w:rPr>
                <w:rFonts w:ascii="宋体" w:eastAsia="宋体" w:hAnsi="宋体" w:cs="Arial"/>
                <w:szCs w:val="21"/>
              </w:rPr>
              <w:tab/>
            </w:r>
            <w:r w:rsidRPr="000D2F4D">
              <w:rPr>
                <w:rFonts w:ascii="宋体" w:eastAsia="宋体" w:hAnsi="宋体" w:cs="Arial"/>
                <w:szCs w:val="21"/>
              </w:rPr>
              <w:tab/>
            </w:r>
            <w:r w:rsidRPr="000D2F4D">
              <w:rPr>
                <w:rFonts w:ascii="宋体" w:eastAsia="宋体" w:hAnsi="宋体" w:cs="Arial"/>
                <w:szCs w:val="21"/>
              </w:rPr>
              <w:tab/>
            </w:r>
            <w:r w:rsidRPr="000D2F4D">
              <w:rPr>
                <w:rFonts w:ascii="宋体" w:eastAsia="宋体" w:hAnsi="宋体" w:cs="Arial"/>
                <w:szCs w:val="21"/>
              </w:rPr>
              <w:tab/>
            </w:r>
            <w:r w:rsidRPr="000D2F4D">
              <w:rPr>
                <w:rFonts w:ascii="宋体" w:eastAsia="宋体" w:hAnsi="宋体" w:cs="Arial" w:hint="eastAsia"/>
                <w:szCs w:val="21"/>
              </w:rPr>
              <w:t>□业绩说明会</w:t>
            </w:r>
          </w:p>
          <w:p w:rsidR="00EF0931" w:rsidRPr="000D2F4D" w:rsidRDefault="00EF0931" w:rsidP="007C0BCC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Arial"/>
                <w:szCs w:val="21"/>
              </w:rPr>
            </w:pPr>
            <w:r w:rsidRPr="000D2F4D">
              <w:rPr>
                <w:rFonts w:ascii="宋体" w:eastAsia="宋体" w:hAnsi="宋体" w:cs="Arial" w:hint="eastAsia"/>
                <w:szCs w:val="21"/>
              </w:rPr>
              <w:t>□新闻发布会</w:t>
            </w:r>
            <w:r w:rsidRPr="000D2F4D">
              <w:rPr>
                <w:rFonts w:ascii="宋体" w:eastAsia="宋体" w:hAnsi="宋体" w:cs="Arial"/>
                <w:szCs w:val="21"/>
              </w:rPr>
              <w:tab/>
            </w:r>
            <w:r w:rsidRPr="000D2F4D">
              <w:rPr>
                <w:rFonts w:ascii="宋体" w:eastAsia="宋体" w:hAnsi="宋体" w:cs="Arial"/>
                <w:szCs w:val="21"/>
              </w:rPr>
              <w:tab/>
              <w:t xml:space="preserve">        </w:t>
            </w:r>
            <w:r w:rsidRPr="000D2F4D">
              <w:rPr>
                <w:rFonts w:ascii="宋体" w:eastAsia="宋体" w:hAnsi="宋体" w:cs="Arial" w:hint="eastAsia"/>
                <w:szCs w:val="21"/>
              </w:rPr>
              <w:t>□路演活动</w:t>
            </w:r>
          </w:p>
          <w:p w:rsidR="00EF0931" w:rsidRPr="000D2F4D" w:rsidRDefault="00EF0931" w:rsidP="007C0BCC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Arial"/>
                <w:szCs w:val="21"/>
              </w:rPr>
            </w:pPr>
            <w:r w:rsidRPr="000D2F4D">
              <w:rPr>
                <w:rFonts w:ascii="宋体" w:eastAsia="宋体" w:hAnsi="宋体" w:cs="Arial" w:hint="eastAsia"/>
                <w:szCs w:val="21"/>
              </w:rPr>
              <w:t xml:space="preserve">□现场参观 </w:t>
            </w:r>
            <w:r w:rsidRPr="000D2F4D">
              <w:rPr>
                <w:rFonts w:ascii="宋体" w:eastAsia="宋体" w:hAnsi="宋体" w:cs="Arial"/>
                <w:szCs w:val="21"/>
              </w:rPr>
              <w:t xml:space="preserve">                 </w:t>
            </w:r>
            <w:r w:rsidRPr="000D2F4D">
              <w:rPr>
                <w:rFonts w:ascii="宋体" w:eastAsia="宋体" w:hAnsi="宋体" w:cs="Arial" w:hint="eastAsia"/>
                <w:szCs w:val="21"/>
              </w:rPr>
              <w:t>□一对一沟通</w:t>
            </w:r>
          </w:p>
          <w:p w:rsidR="00EF0931" w:rsidRPr="000D2F4D" w:rsidRDefault="00EF0931" w:rsidP="007C0BCC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Arial"/>
                <w:szCs w:val="21"/>
              </w:rPr>
            </w:pPr>
            <w:r w:rsidRPr="000D2F4D">
              <w:rPr>
                <w:rFonts w:ascii="宋体" w:eastAsia="宋体" w:hAnsi="宋体" w:cs="Arial" w:hint="eastAsia"/>
                <w:szCs w:val="21"/>
              </w:rPr>
              <w:t>□电话会议</w:t>
            </w:r>
          </w:p>
        </w:tc>
      </w:tr>
      <w:tr w:rsidR="00EF0931" w:rsidTr="007C0BCC">
        <w:trPr>
          <w:jc w:val="center"/>
        </w:trPr>
        <w:tc>
          <w:tcPr>
            <w:tcW w:w="2122" w:type="dxa"/>
            <w:vAlign w:val="center"/>
          </w:tcPr>
          <w:p w:rsidR="00EF0931" w:rsidRPr="000D2F4D" w:rsidRDefault="00EF0931" w:rsidP="00813E34">
            <w:pPr>
              <w:pStyle w:val="TableParagraph"/>
              <w:spacing w:line="276" w:lineRule="exact"/>
              <w:jc w:val="both"/>
              <w:rPr>
                <w:rFonts w:ascii="宋体" w:eastAsia="宋体" w:hAnsi="宋体" w:cs="Arial"/>
                <w:kern w:val="2"/>
                <w:sz w:val="21"/>
                <w:szCs w:val="21"/>
                <w:lang w:eastAsia="zh-CN"/>
              </w:rPr>
            </w:pPr>
            <w:r w:rsidRPr="000D2F4D">
              <w:rPr>
                <w:rFonts w:ascii="宋体" w:eastAsia="宋体" w:hAnsi="宋体" w:cs="Arial"/>
                <w:kern w:val="2"/>
                <w:sz w:val="21"/>
                <w:szCs w:val="21"/>
                <w:lang w:eastAsia="zh-CN"/>
              </w:rPr>
              <w:t>参与单位</w:t>
            </w:r>
          </w:p>
        </w:tc>
        <w:tc>
          <w:tcPr>
            <w:tcW w:w="6174" w:type="dxa"/>
          </w:tcPr>
          <w:p w:rsidR="00EF0931" w:rsidRPr="000D2F4D" w:rsidRDefault="00813E34" w:rsidP="00813E34">
            <w:pPr>
              <w:adjustRightInd w:val="0"/>
              <w:snapToGrid w:val="0"/>
              <w:spacing w:afterLines="50" w:after="156" w:line="430" w:lineRule="exact"/>
              <w:rPr>
                <w:rFonts w:ascii="宋体" w:eastAsia="宋体" w:hAnsi="宋体" w:cs="Arial"/>
                <w:szCs w:val="21"/>
              </w:rPr>
            </w:pPr>
            <w:r w:rsidRPr="00813E34">
              <w:rPr>
                <w:rFonts w:ascii="宋体" w:eastAsia="宋体" w:hAnsi="宋体" w:cs="Arial" w:hint="eastAsia"/>
                <w:szCs w:val="21"/>
              </w:rPr>
              <w:t>24</w:t>
            </w:r>
            <w:r w:rsidR="00EF0931" w:rsidRPr="00813E34">
              <w:rPr>
                <w:rFonts w:ascii="宋体" w:eastAsia="宋体" w:hAnsi="宋体" w:cs="Arial"/>
                <w:szCs w:val="21"/>
              </w:rPr>
              <w:t>家机构</w:t>
            </w:r>
            <w:r w:rsidR="00EF0931" w:rsidRPr="00EA37DD">
              <w:rPr>
                <w:rFonts w:ascii="宋体" w:eastAsia="宋体" w:hAnsi="宋体" w:cs="Arial"/>
                <w:szCs w:val="21"/>
              </w:rPr>
              <w:t>（详见附件《与会</w:t>
            </w:r>
            <w:r>
              <w:rPr>
                <w:rFonts w:ascii="宋体" w:eastAsia="宋体" w:hAnsi="宋体" w:cs="Arial" w:hint="eastAsia"/>
                <w:szCs w:val="21"/>
              </w:rPr>
              <w:t>机构</w:t>
            </w:r>
            <w:r w:rsidR="00EF0931" w:rsidRPr="00EA37DD">
              <w:rPr>
                <w:rFonts w:ascii="宋体" w:eastAsia="宋体" w:hAnsi="宋体" w:cs="Arial"/>
                <w:szCs w:val="21"/>
              </w:rPr>
              <w:t>清单》）</w:t>
            </w:r>
          </w:p>
        </w:tc>
      </w:tr>
      <w:tr w:rsidR="00EF0931" w:rsidTr="007C0BCC">
        <w:trPr>
          <w:jc w:val="center"/>
        </w:trPr>
        <w:tc>
          <w:tcPr>
            <w:tcW w:w="2122" w:type="dxa"/>
            <w:vAlign w:val="center"/>
          </w:tcPr>
          <w:p w:rsidR="00EF0931" w:rsidRPr="000D2F4D" w:rsidRDefault="00EF0931" w:rsidP="007C0BCC">
            <w:pPr>
              <w:adjustRightInd w:val="0"/>
              <w:snapToGrid w:val="0"/>
              <w:spacing w:afterLines="50" w:after="156" w:line="430" w:lineRule="exact"/>
              <w:rPr>
                <w:rFonts w:ascii="宋体" w:eastAsia="宋体" w:hAnsi="宋体" w:cs="Arial"/>
                <w:szCs w:val="21"/>
              </w:rPr>
            </w:pPr>
            <w:r w:rsidRPr="000D2F4D">
              <w:rPr>
                <w:rFonts w:ascii="宋体" w:eastAsia="宋体" w:hAnsi="宋体" w:cs="Arial"/>
                <w:szCs w:val="21"/>
              </w:rPr>
              <w:t>时间</w:t>
            </w:r>
            <w:r w:rsidR="009A4F41">
              <w:rPr>
                <w:rFonts w:ascii="宋体" w:eastAsia="宋体" w:hAnsi="宋体" w:cs="Arial" w:hint="eastAsia"/>
                <w:szCs w:val="21"/>
              </w:rPr>
              <w:t>与参会方式</w:t>
            </w:r>
          </w:p>
        </w:tc>
        <w:tc>
          <w:tcPr>
            <w:tcW w:w="6174" w:type="dxa"/>
          </w:tcPr>
          <w:p w:rsidR="00EF0931" w:rsidRPr="000D2F4D" w:rsidRDefault="00EF0931" w:rsidP="009A4F41">
            <w:pPr>
              <w:adjustRightInd w:val="0"/>
              <w:snapToGrid w:val="0"/>
              <w:spacing w:afterLines="50" w:after="156" w:line="430" w:lineRule="exac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202</w:t>
            </w:r>
            <w:r>
              <w:rPr>
                <w:rFonts w:ascii="宋体" w:eastAsia="宋体" w:hAnsi="宋体" w:cs="Arial" w:hint="eastAsia"/>
                <w:szCs w:val="21"/>
              </w:rPr>
              <w:t>4</w:t>
            </w:r>
            <w:r w:rsidRPr="000D2F4D">
              <w:rPr>
                <w:rFonts w:ascii="宋体" w:eastAsia="宋体" w:hAnsi="宋体" w:cs="Arial" w:hint="eastAsia"/>
                <w:szCs w:val="21"/>
              </w:rPr>
              <w:t>年</w:t>
            </w:r>
            <w:r>
              <w:rPr>
                <w:rFonts w:ascii="宋体" w:eastAsia="宋体" w:hAnsi="宋体" w:cs="Arial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szCs w:val="21"/>
              </w:rPr>
              <w:t>1</w:t>
            </w:r>
            <w:r w:rsidRPr="000D2F4D">
              <w:rPr>
                <w:rFonts w:ascii="宋体" w:eastAsia="宋体" w:hAnsi="宋体" w:cs="Arial" w:hint="eastAsia"/>
                <w:szCs w:val="21"/>
              </w:rPr>
              <w:t>月</w:t>
            </w:r>
            <w:r>
              <w:rPr>
                <w:rFonts w:ascii="宋体" w:eastAsia="宋体" w:hAnsi="宋体" w:cs="Arial" w:hint="eastAsia"/>
                <w:szCs w:val="21"/>
              </w:rPr>
              <w:t>8</w:t>
            </w:r>
            <w:r w:rsidRPr="000D2F4D">
              <w:rPr>
                <w:rFonts w:ascii="宋体" w:eastAsia="宋体" w:hAnsi="宋体" w:cs="Arial" w:hint="eastAsia"/>
                <w:szCs w:val="21"/>
              </w:rPr>
              <w:t>日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 w:rsidR="00DF0932"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 w:rsidR="009A4F41">
              <w:rPr>
                <w:rFonts w:ascii="宋体" w:eastAsia="宋体" w:hAnsi="宋体" w:cs="Arial" w:hint="eastAsia"/>
                <w:szCs w:val="21"/>
              </w:rPr>
              <w:t>广州公司总部及线上</w:t>
            </w:r>
          </w:p>
        </w:tc>
      </w:tr>
      <w:tr w:rsidR="00EF0931" w:rsidTr="007C0BCC">
        <w:trPr>
          <w:trHeight w:val="440"/>
          <w:jc w:val="center"/>
        </w:trPr>
        <w:tc>
          <w:tcPr>
            <w:tcW w:w="2122" w:type="dxa"/>
          </w:tcPr>
          <w:p w:rsidR="00EF0931" w:rsidRPr="000D2F4D" w:rsidRDefault="00EF0931" w:rsidP="007C0BCC">
            <w:pPr>
              <w:adjustRightInd w:val="0"/>
              <w:snapToGrid w:val="0"/>
              <w:spacing w:afterLines="50" w:after="156" w:line="430" w:lineRule="exact"/>
              <w:rPr>
                <w:rFonts w:ascii="宋体" w:eastAsia="宋体" w:hAnsi="宋体" w:cs="Arial"/>
                <w:szCs w:val="21"/>
              </w:rPr>
            </w:pPr>
            <w:r w:rsidRPr="000D2F4D">
              <w:rPr>
                <w:rFonts w:ascii="宋体" w:eastAsia="宋体" w:hAnsi="宋体" w:cs="Arial" w:hint="eastAsia"/>
                <w:szCs w:val="21"/>
              </w:rPr>
              <w:t>接待人员</w:t>
            </w:r>
          </w:p>
        </w:tc>
        <w:tc>
          <w:tcPr>
            <w:tcW w:w="6174" w:type="dxa"/>
            <w:vAlign w:val="center"/>
          </w:tcPr>
          <w:p w:rsidR="00EF0931" w:rsidRPr="000D2F4D" w:rsidRDefault="00EF0931" w:rsidP="007C0BCC">
            <w:pPr>
              <w:adjustRightInd w:val="0"/>
              <w:snapToGrid w:val="0"/>
              <w:spacing w:line="276" w:lineRule="auto"/>
              <w:rPr>
                <w:rFonts w:ascii="宋体" w:eastAsia="宋体" w:hAnsi="宋体" w:cs="Arial"/>
                <w:szCs w:val="21"/>
              </w:rPr>
            </w:pPr>
            <w:r w:rsidRPr="000D2F4D">
              <w:rPr>
                <w:rFonts w:ascii="宋体" w:eastAsia="宋体" w:hAnsi="宋体" w:cs="Arial" w:hint="eastAsia"/>
                <w:szCs w:val="21"/>
              </w:rPr>
              <w:t>公司管理层</w:t>
            </w:r>
          </w:p>
        </w:tc>
      </w:tr>
      <w:tr w:rsidR="00EF0931" w:rsidTr="007C0BCC">
        <w:trPr>
          <w:jc w:val="center"/>
        </w:trPr>
        <w:tc>
          <w:tcPr>
            <w:tcW w:w="8296" w:type="dxa"/>
            <w:gridSpan w:val="2"/>
            <w:shd w:val="clear" w:color="auto" w:fill="DBE5F1" w:themeFill="accent1" w:themeFillTint="33"/>
          </w:tcPr>
          <w:p w:rsidR="00EF0931" w:rsidRPr="000D2F4D" w:rsidRDefault="00EF0931" w:rsidP="007C0BCC">
            <w:pPr>
              <w:adjustRightInd w:val="0"/>
              <w:snapToGrid w:val="0"/>
              <w:spacing w:afterLines="50" w:after="156" w:line="430" w:lineRule="exact"/>
              <w:ind w:firstLineChars="1200" w:firstLine="2530"/>
              <w:rPr>
                <w:rFonts w:ascii="宋体" w:eastAsia="宋体" w:hAnsi="宋体" w:cs="Arial"/>
                <w:b/>
                <w:szCs w:val="21"/>
              </w:rPr>
            </w:pPr>
            <w:r w:rsidRPr="000D2F4D">
              <w:rPr>
                <w:rFonts w:ascii="宋体" w:eastAsia="宋体" w:hAnsi="宋体" w:cs="Arial" w:hint="eastAsia"/>
                <w:b/>
                <w:szCs w:val="21"/>
              </w:rPr>
              <w:t>投资者关系活动主要内容</w:t>
            </w:r>
          </w:p>
        </w:tc>
      </w:tr>
      <w:tr w:rsidR="00EF0931" w:rsidTr="007C0BCC">
        <w:trPr>
          <w:jc w:val="center"/>
        </w:trPr>
        <w:tc>
          <w:tcPr>
            <w:tcW w:w="8296" w:type="dxa"/>
            <w:gridSpan w:val="2"/>
          </w:tcPr>
          <w:p w:rsidR="00EF0931" w:rsidRDefault="003B0A90" w:rsidP="00900FDE">
            <w:pPr>
              <w:adjustRightInd w:val="0"/>
              <w:snapToGrid w:val="0"/>
              <w:spacing w:beforeLines="50" w:before="156" w:afterLines="50" w:after="156" w:line="276" w:lineRule="auto"/>
              <w:ind w:firstLineChars="200" w:firstLine="420"/>
              <w:rPr>
                <w:rFonts w:ascii="宋体" w:eastAsia="宋体" w:hAnsi="宋体" w:cs="Arial"/>
                <w:b/>
                <w:sz w:val="24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对</w:t>
            </w:r>
            <w:r>
              <w:rPr>
                <w:rFonts w:ascii="宋体" w:eastAsia="宋体" w:hAnsi="宋体" w:cs="Arial"/>
                <w:szCs w:val="21"/>
              </w:rPr>
              <w:t>公司</w:t>
            </w:r>
            <w:r w:rsidR="005E0840">
              <w:rPr>
                <w:rFonts w:ascii="宋体" w:eastAsia="宋体" w:hAnsi="宋体" w:cs="Arial" w:hint="eastAsia"/>
                <w:szCs w:val="21"/>
              </w:rPr>
              <w:t>近几年</w:t>
            </w:r>
            <w:r w:rsidR="00EF0931" w:rsidRPr="000D2F4D">
              <w:rPr>
                <w:rFonts w:ascii="宋体" w:eastAsia="宋体" w:hAnsi="宋体" w:cs="Arial"/>
                <w:szCs w:val="21"/>
              </w:rPr>
              <w:t>经营情况、市场</w:t>
            </w:r>
            <w:r w:rsidR="00EF0931">
              <w:rPr>
                <w:rFonts w:ascii="宋体" w:eastAsia="宋体" w:hAnsi="宋体" w:cs="Arial" w:hint="eastAsia"/>
                <w:szCs w:val="21"/>
              </w:rPr>
              <w:t>情况</w:t>
            </w:r>
            <w:r w:rsidR="00EF0931" w:rsidRPr="000D2F4D">
              <w:rPr>
                <w:rFonts w:ascii="宋体" w:eastAsia="宋体" w:hAnsi="宋体" w:cs="Arial"/>
                <w:szCs w:val="21"/>
              </w:rPr>
              <w:t>、</w:t>
            </w:r>
            <w:r>
              <w:rPr>
                <w:rFonts w:ascii="宋体" w:eastAsia="宋体" w:hAnsi="宋体" w:cs="Arial" w:hint="eastAsia"/>
                <w:szCs w:val="21"/>
              </w:rPr>
              <w:t>渠道转型</w:t>
            </w:r>
            <w:r w:rsidR="00EF0931" w:rsidRPr="000D2F4D">
              <w:rPr>
                <w:rFonts w:ascii="宋体" w:eastAsia="宋体" w:hAnsi="宋体" w:cs="Arial"/>
                <w:szCs w:val="21"/>
              </w:rPr>
              <w:t>等内容做了介绍。</w:t>
            </w:r>
          </w:p>
        </w:tc>
      </w:tr>
      <w:tr w:rsidR="00EF0931" w:rsidTr="007C0BCC">
        <w:trPr>
          <w:jc w:val="center"/>
        </w:trPr>
        <w:tc>
          <w:tcPr>
            <w:tcW w:w="8296" w:type="dxa"/>
            <w:gridSpan w:val="2"/>
            <w:shd w:val="clear" w:color="auto" w:fill="DBE5F1" w:themeFill="accent1" w:themeFillTint="33"/>
          </w:tcPr>
          <w:p w:rsidR="00EF0931" w:rsidRPr="000D2F4D" w:rsidRDefault="00EF0931" w:rsidP="007C0BCC">
            <w:pPr>
              <w:adjustRightInd w:val="0"/>
              <w:snapToGrid w:val="0"/>
              <w:spacing w:afterLines="50" w:after="156" w:line="430" w:lineRule="exact"/>
              <w:ind w:firstLineChars="1300" w:firstLine="2741"/>
              <w:rPr>
                <w:rFonts w:ascii="宋体" w:eastAsia="宋体" w:hAnsi="宋体" w:cs="Arial"/>
                <w:b/>
                <w:sz w:val="24"/>
                <w:szCs w:val="21"/>
              </w:rPr>
            </w:pPr>
            <w:r w:rsidRPr="000D2F4D">
              <w:rPr>
                <w:rFonts w:ascii="宋体" w:eastAsia="宋体" w:hAnsi="宋体" w:cs="Arial" w:hint="eastAsia"/>
                <w:b/>
                <w:szCs w:val="21"/>
              </w:rPr>
              <w:t>主要互动问答部分</w:t>
            </w:r>
          </w:p>
        </w:tc>
      </w:tr>
      <w:tr w:rsidR="00EF0931" w:rsidTr="007C0BCC">
        <w:trPr>
          <w:jc w:val="center"/>
        </w:trPr>
        <w:tc>
          <w:tcPr>
            <w:tcW w:w="8296" w:type="dxa"/>
            <w:gridSpan w:val="2"/>
            <w:shd w:val="clear" w:color="auto" w:fill="auto"/>
          </w:tcPr>
          <w:p w:rsidR="00EF0931" w:rsidRPr="00EA5647" w:rsidRDefault="00EF0931" w:rsidP="007C0BCC">
            <w:pPr>
              <w:spacing w:beforeLines="100" w:before="312" w:line="276" w:lineRule="auto"/>
              <w:rPr>
                <w:rFonts w:ascii="宋体" w:eastAsia="宋体" w:hAnsi="宋体"/>
                <w:b/>
                <w:bCs/>
              </w:rPr>
            </w:pPr>
            <w:r w:rsidRPr="00EA5647">
              <w:rPr>
                <w:rFonts w:ascii="宋体" w:eastAsia="宋体" w:hAnsi="宋体" w:hint="eastAsia"/>
                <w:b/>
                <w:bCs/>
              </w:rPr>
              <w:t>Q1、</w:t>
            </w:r>
            <w:r w:rsidR="00DF0932">
              <w:rPr>
                <w:rFonts w:ascii="宋体" w:eastAsia="宋体" w:hAnsi="宋体" w:hint="eastAsia"/>
                <w:b/>
                <w:bCs/>
              </w:rPr>
              <w:t>如何平衡线上线下销售布局</w:t>
            </w:r>
            <w:r w:rsidR="0081401B">
              <w:rPr>
                <w:rFonts w:ascii="宋体" w:eastAsia="宋体" w:hAnsi="宋体" w:hint="eastAsia"/>
                <w:b/>
                <w:bCs/>
              </w:rPr>
              <w:t>？</w:t>
            </w:r>
            <w:r w:rsidR="0081401B" w:rsidRPr="00EA5647">
              <w:rPr>
                <w:rFonts w:ascii="宋体" w:eastAsia="宋体" w:hAnsi="宋体"/>
                <w:b/>
                <w:bCs/>
              </w:rPr>
              <w:t xml:space="preserve"> </w:t>
            </w:r>
          </w:p>
          <w:p w:rsidR="00EF0931" w:rsidRDefault="00D84D68" w:rsidP="00D84D68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宋体" w:eastAsia="宋体" w:hAnsi="宋体"/>
              </w:rPr>
            </w:pPr>
            <w:r w:rsidRPr="00D84D68">
              <w:rPr>
                <w:rFonts w:ascii="宋体" w:eastAsia="宋体" w:hAnsi="宋体" w:hint="eastAsia"/>
              </w:rPr>
              <w:t>坚持做</w:t>
            </w:r>
            <w:proofErr w:type="gramStart"/>
            <w:r w:rsidRPr="00D84D68">
              <w:rPr>
                <w:rFonts w:ascii="宋体" w:eastAsia="宋体" w:hAnsi="宋体" w:hint="eastAsia"/>
              </w:rPr>
              <w:t>分渠分品</w:t>
            </w:r>
            <w:proofErr w:type="gramEnd"/>
            <w:r w:rsidRPr="00D84D68">
              <w:rPr>
                <w:rFonts w:ascii="宋体" w:eastAsia="宋体" w:hAnsi="宋体" w:hint="eastAsia"/>
              </w:rPr>
              <w:t>，线上线下两盘货，线下主</w:t>
            </w:r>
            <w:r w:rsidR="00FE1BC8">
              <w:rPr>
                <w:rFonts w:ascii="宋体" w:eastAsia="宋体" w:hAnsi="宋体" w:hint="eastAsia"/>
              </w:rPr>
              <w:t>打系列，</w:t>
            </w:r>
            <w:proofErr w:type="gramStart"/>
            <w:r w:rsidR="00FE1BC8">
              <w:rPr>
                <w:rFonts w:ascii="宋体" w:eastAsia="宋体" w:hAnsi="宋体" w:hint="eastAsia"/>
              </w:rPr>
              <w:t>晶致系列</w:t>
            </w:r>
            <w:proofErr w:type="gramEnd"/>
            <w:r w:rsidR="00FE1BC8">
              <w:rPr>
                <w:rFonts w:ascii="宋体" w:eastAsia="宋体" w:hAnsi="宋体" w:hint="eastAsia"/>
              </w:rPr>
              <w:t>、重组胶原蛋白系列、多肽系列、弹力蛋白系列等</w:t>
            </w:r>
            <w:r w:rsidR="001F45FE">
              <w:rPr>
                <w:rFonts w:ascii="宋体" w:eastAsia="宋体" w:hAnsi="宋体" w:hint="eastAsia"/>
              </w:rPr>
              <w:t>，300-500客单价，35岁以上人群，主要针对三四线以下城市</w:t>
            </w:r>
            <w:r w:rsidR="00A25FDA">
              <w:rPr>
                <w:rFonts w:ascii="宋体" w:eastAsia="宋体" w:hAnsi="宋体" w:hint="eastAsia"/>
              </w:rPr>
              <w:t>；线上</w:t>
            </w:r>
            <w:r w:rsidRPr="00D84D68">
              <w:rPr>
                <w:rFonts w:ascii="宋体" w:eastAsia="宋体" w:hAnsi="宋体" w:hint="eastAsia"/>
              </w:rPr>
              <w:t>主推大单品策略</w:t>
            </w:r>
            <w:r>
              <w:rPr>
                <w:rFonts w:ascii="宋体" w:eastAsia="宋体" w:hAnsi="宋体" w:hint="eastAsia"/>
              </w:rPr>
              <w:t>，</w:t>
            </w:r>
            <w:r w:rsidR="00DF0932">
              <w:rPr>
                <w:rFonts w:ascii="宋体" w:eastAsia="宋体" w:hAnsi="宋体" w:hint="eastAsia"/>
              </w:rPr>
              <w:t>眼</w:t>
            </w:r>
            <w:proofErr w:type="gramStart"/>
            <w:r w:rsidR="00DF0932">
              <w:rPr>
                <w:rFonts w:ascii="宋体" w:eastAsia="宋体" w:hAnsi="宋体" w:hint="eastAsia"/>
              </w:rPr>
              <w:t>霜与按摩仪二</w:t>
            </w:r>
            <w:proofErr w:type="gramEnd"/>
            <w:r w:rsidR="00DF0932">
              <w:rPr>
                <w:rFonts w:ascii="宋体" w:eastAsia="宋体" w:hAnsi="宋体" w:hint="eastAsia"/>
              </w:rPr>
              <w:t>合一的</w:t>
            </w:r>
            <w:r>
              <w:rPr>
                <w:rFonts w:ascii="宋体" w:eastAsia="宋体" w:hAnsi="宋体" w:hint="eastAsia"/>
              </w:rPr>
              <w:t>小红笔眼霜、</w:t>
            </w:r>
            <w:r w:rsidR="00DF0932">
              <w:rPr>
                <w:rFonts w:ascii="宋体" w:eastAsia="宋体" w:hAnsi="宋体" w:hint="eastAsia"/>
              </w:rPr>
              <w:t>重组双胶原</w:t>
            </w:r>
            <w:r>
              <w:rPr>
                <w:rFonts w:ascii="宋体" w:eastAsia="宋体" w:hAnsi="宋体" w:hint="eastAsia"/>
              </w:rPr>
              <w:t>小</w:t>
            </w:r>
            <w:proofErr w:type="gramStart"/>
            <w:r>
              <w:rPr>
                <w:rFonts w:ascii="宋体" w:eastAsia="宋体" w:hAnsi="宋体" w:hint="eastAsia"/>
              </w:rPr>
              <w:t>金针次抛精华</w:t>
            </w:r>
            <w:proofErr w:type="gramEnd"/>
            <w:r w:rsidR="001F45FE">
              <w:rPr>
                <w:rFonts w:ascii="宋体" w:eastAsia="宋体" w:hAnsi="宋体" w:hint="eastAsia"/>
              </w:rPr>
              <w:t>，200-300客单价，25-35岁</w:t>
            </w:r>
            <w:r w:rsidR="00DF0932">
              <w:rPr>
                <w:rFonts w:ascii="宋体" w:eastAsia="宋体" w:hAnsi="宋体" w:hint="eastAsia"/>
              </w:rPr>
              <w:t>为主</w:t>
            </w:r>
            <w:r w:rsidR="001F45FE">
              <w:rPr>
                <w:rFonts w:ascii="宋体" w:eastAsia="宋体" w:hAnsi="宋体" w:hint="eastAsia"/>
              </w:rPr>
              <w:t>，</w:t>
            </w:r>
            <w:r w:rsidR="00DF0932">
              <w:rPr>
                <w:rFonts w:ascii="宋体" w:eastAsia="宋体" w:hAnsi="宋体" w:hint="eastAsia"/>
              </w:rPr>
              <w:t>向</w:t>
            </w:r>
            <w:proofErr w:type="gramStart"/>
            <w:r w:rsidR="00DF0932">
              <w:rPr>
                <w:rFonts w:ascii="宋体" w:eastAsia="宋体" w:hAnsi="宋体" w:hint="eastAsia"/>
              </w:rPr>
              <w:t>一</w:t>
            </w:r>
            <w:proofErr w:type="gramEnd"/>
            <w:r w:rsidR="00DF0932">
              <w:rPr>
                <w:rFonts w:ascii="宋体" w:eastAsia="宋体" w:hAnsi="宋体" w:hint="eastAsia"/>
              </w:rPr>
              <w:t>二线城市</w:t>
            </w:r>
            <w:r w:rsidR="00A25FDA">
              <w:rPr>
                <w:rFonts w:ascii="宋体" w:eastAsia="宋体" w:hAnsi="宋体" w:hint="eastAsia"/>
              </w:rPr>
              <w:t>反渗透</w:t>
            </w:r>
            <w:r w:rsidR="00DF0932">
              <w:rPr>
                <w:rFonts w:ascii="宋体" w:eastAsia="宋体" w:hAnsi="宋体" w:hint="eastAsia"/>
              </w:rPr>
              <w:t>明显</w:t>
            </w:r>
            <w:r>
              <w:rPr>
                <w:rFonts w:ascii="宋体" w:eastAsia="宋体" w:hAnsi="宋体" w:hint="eastAsia"/>
              </w:rPr>
              <w:t>。</w:t>
            </w:r>
            <w:r w:rsidR="00B11817">
              <w:rPr>
                <w:rFonts w:ascii="宋体" w:eastAsia="宋体" w:hAnsi="宋体" w:hint="eastAsia"/>
              </w:rPr>
              <w:t>公司</w:t>
            </w:r>
            <w:r>
              <w:rPr>
                <w:rFonts w:ascii="宋体" w:eastAsia="宋体" w:hAnsi="宋体" w:hint="eastAsia"/>
              </w:rPr>
              <w:t>通过</w:t>
            </w:r>
            <w:r w:rsidR="00B11817">
              <w:rPr>
                <w:rFonts w:ascii="宋体" w:eastAsia="宋体" w:hAnsi="宋体" w:hint="eastAsia"/>
              </w:rPr>
              <w:t>调整货</w:t>
            </w:r>
            <w:r>
              <w:rPr>
                <w:rFonts w:ascii="宋体" w:eastAsia="宋体" w:hAnsi="宋体" w:hint="eastAsia"/>
              </w:rPr>
              <w:t>品</w:t>
            </w:r>
            <w:r w:rsidR="00B11817">
              <w:rPr>
                <w:rFonts w:ascii="宋体" w:eastAsia="宋体" w:hAnsi="宋体" w:hint="eastAsia"/>
              </w:rPr>
              <w:t>结构进行</w:t>
            </w:r>
            <w:r>
              <w:rPr>
                <w:rFonts w:ascii="宋体" w:eastAsia="宋体" w:hAnsi="宋体" w:hint="eastAsia"/>
              </w:rPr>
              <w:t>渠道区隔，平衡渠道销售。</w:t>
            </w:r>
          </w:p>
          <w:p w:rsidR="00D84D68" w:rsidRPr="00D84D68" w:rsidRDefault="00D84D68" w:rsidP="00D84D68">
            <w:pPr>
              <w:pStyle w:val="a3"/>
              <w:spacing w:line="276" w:lineRule="auto"/>
              <w:ind w:left="440" w:firstLineChars="0" w:firstLine="0"/>
              <w:rPr>
                <w:rFonts w:ascii="宋体" w:eastAsia="宋体" w:hAnsi="宋体"/>
              </w:rPr>
            </w:pPr>
          </w:p>
          <w:p w:rsidR="00EF0931" w:rsidRDefault="00EF0931" w:rsidP="007C0BCC">
            <w:pPr>
              <w:spacing w:line="276" w:lineRule="auto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/>
                <w:b/>
                <w:bCs/>
              </w:rPr>
              <w:t>Q</w:t>
            </w:r>
            <w:r>
              <w:rPr>
                <w:rFonts w:ascii="宋体" w:eastAsia="宋体" w:hAnsi="宋体" w:hint="eastAsia"/>
                <w:b/>
                <w:bCs/>
              </w:rPr>
              <w:t>2</w:t>
            </w:r>
            <w:r w:rsidRPr="00EA5647">
              <w:rPr>
                <w:rFonts w:ascii="宋体" w:eastAsia="宋体" w:hAnsi="宋体"/>
                <w:b/>
                <w:bCs/>
              </w:rPr>
              <w:t>、</w:t>
            </w:r>
            <w:r w:rsidR="0081401B">
              <w:rPr>
                <w:rFonts w:ascii="宋体" w:eastAsia="宋体" w:hAnsi="宋体" w:hint="eastAsia"/>
                <w:b/>
                <w:bCs/>
              </w:rPr>
              <w:t>未来会不会依赖超头？</w:t>
            </w:r>
          </w:p>
          <w:p w:rsidR="00EF0931" w:rsidRPr="00EA5647" w:rsidRDefault="0099790E" w:rsidP="0099790E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公司要运用</w:t>
            </w:r>
            <w:r w:rsidR="001F45FE">
              <w:rPr>
                <w:rFonts w:ascii="宋体" w:eastAsia="宋体" w:hAnsi="宋体" w:hint="eastAsia"/>
              </w:rPr>
              <w:t>超头，但绝对不能形成依赖。</w:t>
            </w:r>
            <w:r w:rsidRPr="0099790E">
              <w:rPr>
                <w:rFonts w:ascii="宋体" w:eastAsia="宋体" w:hAnsi="宋体" w:hint="eastAsia"/>
              </w:rPr>
              <w:t>公司内部严格要求：绝不允许任何部门，在任何平台，以任何理由破价、内卷，如果发生一定严肃处理。我们要健康和良性。我们已基本掌握平台玩法并开始创新玩法，已初见成效。做品牌不能只看当下，要有自己内心的坚持。</w:t>
            </w:r>
            <w:r w:rsidR="00AF43CE">
              <w:rPr>
                <w:rFonts w:ascii="宋体" w:eastAsia="宋体" w:hAnsi="宋体" w:hint="eastAsia"/>
              </w:rPr>
              <w:t>控价</w:t>
            </w:r>
            <w:r w:rsidR="00DF0932">
              <w:rPr>
                <w:rFonts w:ascii="宋体" w:eastAsia="宋体" w:hAnsi="宋体" w:hint="eastAsia"/>
              </w:rPr>
              <w:t>是公司一直非常重视的工作并且也</w:t>
            </w:r>
            <w:r w:rsidR="00AF43CE">
              <w:rPr>
                <w:rFonts w:ascii="宋体" w:eastAsia="宋体" w:hAnsi="宋体" w:hint="eastAsia"/>
              </w:rPr>
              <w:t>会是</w:t>
            </w:r>
            <w:r w:rsidR="00DD172C">
              <w:rPr>
                <w:rFonts w:ascii="宋体" w:eastAsia="宋体" w:hAnsi="宋体" w:hint="eastAsia"/>
              </w:rPr>
              <w:t>2024</w:t>
            </w:r>
            <w:r w:rsidR="00AF43CE">
              <w:rPr>
                <w:rFonts w:ascii="宋体" w:eastAsia="宋体" w:hAnsi="宋体" w:hint="eastAsia"/>
              </w:rPr>
              <w:t>年公司非常重要的工作</w:t>
            </w:r>
            <w:r w:rsidR="00DD172C">
              <w:rPr>
                <w:rFonts w:ascii="宋体" w:eastAsia="宋体" w:hAnsi="宋体" w:hint="eastAsia"/>
              </w:rPr>
              <w:t>。</w:t>
            </w:r>
          </w:p>
          <w:p w:rsidR="00EF0931" w:rsidRPr="00B42E9F" w:rsidRDefault="00EF0931" w:rsidP="007C0BCC">
            <w:pPr>
              <w:spacing w:line="276" w:lineRule="auto"/>
              <w:rPr>
                <w:rFonts w:ascii="宋体" w:eastAsia="宋体" w:hAnsi="宋体"/>
              </w:rPr>
            </w:pPr>
          </w:p>
          <w:p w:rsidR="00EF0931" w:rsidRPr="00EA37DD" w:rsidRDefault="00EF0931" w:rsidP="007C0BCC">
            <w:pPr>
              <w:spacing w:beforeLines="50" w:before="156" w:line="276" w:lineRule="auto"/>
              <w:rPr>
                <w:rFonts w:ascii="宋体" w:eastAsia="宋体" w:hAnsi="宋体"/>
                <w:b/>
                <w:bCs/>
              </w:rPr>
            </w:pPr>
            <w:r w:rsidRPr="00EA5647">
              <w:rPr>
                <w:rFonts w:ascii="宋体" w:eastAsia="宋体" w:hAnsi="宋体" w:hint="eastAsia"/>
                <w:b/>
                <w:bCs/>
              </w:rPr>
              <w:t>Q</w:t>
            </w:r>
            <w:r>
              <w:rPr>
                <w:rFonts w:ascii="宋体" w:eastAsia="宋体" w:hAnsi="宋体" w:hint="eastAsia"/>
                <w:b/>
                <w:bCs/>
              </w:rPr>
              <w:t>3</w:t>
            </w:r>
            <w:r w:rsidRPr="00EA5647">
              <w:rPr>
                <w:rFonts w:ascii="宋体" w:eastAsia="宋体" w:hAnsi="宋体" w:hint="eastAsia"/>
                <w:b/>
                <w:bCs/>
              </w:rPr>
              <w:t>、</w:t>
            </w:r>
            <w:r w:rsidR="009F6986" w:rsidRPr="009F6986">
              <w:rPr>
                <w:rFonts w:ascii="宋体" w:eastAsia="宋体" w:hAnsi="宋体" w:hint="eastAsia"/>
                <w:b/>
              </w:rPr>
              <w:t>SPG的技术特点和专利情况</w:t>
            </w:r>
            <w:r w:rsidR="000B28FA">
              <w:rPr>
                <w:rFonts w:ascii="宋体" w:eastAsia="宋体" w:hAnsi="宋体" w:hint="eastAsia"/>
                <w:b/>
              </w:rPr>
              <w:t>？</w:t>
            </w:r>
          </w:p>
          <w:p w:rsidR="00783232" w:rsidRPr="00783232" w:rsidRDefault="00783232" w:rsidP="00783232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宋体" w:eastAsia="宋体" w:hAnsi="宋体"/>
              </w:rPr>
            </w:pPr>
            <w:r w:rsidRPr="00783232">
              <w:rPr>
                <w:rFonts w:ascii="宋体" w:eastAsia="宋体" w:hAnsi="宋体" w:hint="eastAsia"/>
              </w:rPr>
              <w:lastRenderedPageBreak/>
              <w:t>SPG</w:t>
            </w:r>
            <w:r w:rsidR="00580E91">
              <w:rPr>
                <w:rFonts w:ascii="宋体" w:eastAsia="宋体" w:hAnsi="宋体" w:hint="eastAsia"/>
              </w:rPr>
              <w:t>是</w:t>
            </w:r>
            <w:r w:rsidRPr="00783232">
              <w:rPr>
                <w:rFonts w:ascii="宋体" w:eastAsia="宋体" w:hAnsi="宋体" w:hint="eastAsia"/>
              </w:rPr>
              <w:t>基于药食同源植物葛根与</w:t>
            </w:r>
            <w:proofErr w:type="gramStart"/>
            <w:r w:rsidRPr="00783232">
              <w:rPr>
                <w:rFonts w:ascii="宋体" w:eastAsia="宋体" w:hAnsi="宋体" w:hint="eastAsia"/>
              </w:rPr>
              <w:t>裂褶菌液体</w:t>
            </w:r>
            <w:proofErr w:type="gramEnd"/>
            <w:r w:rsidRPr="00783232">
              <w:rPr>
                <w:rFonts w:ascii="宋体" w:eastAsia="宋体" w:hAnsi="宋体" w:hint="eastAsia"/>
              </w:rPr>
              <w:t>双向发酵体系所研究的</w:t>
            </w:r>
            <w:r w:rsidR="009F6986" w:rsidRPr="00783232">
              <w:rPr>
                <w:rFonts w:ascii="宋体" w:eastAsia="宋体" w:hAnsi="宋体" w:hint="eastAsia"/>
              </w:rPr>
              <w:t>裂褶多糖</w:t>
            </w:r>
            <w:r w:rsidR="009F6986">
              <w:rPr>
                <w:rFonts w:ascii="宋体" w:eastAsia="宋体" w:hAnsi="宋体" w:hint="eastAsia"/>
              </w:rPr>
              <w:t>，</w:t>
            </w:r>
            <w:r w:rsidR="00E95080">
              <w:rPr>
                <w:rFonts w:ascii="宋体" w:eastAsia="宋体" w:hAnsi="宋体" w:hint="eastAsia"/>
              </w:rPr>
              <w:t>安全、环保</w:t>
            </w:r>
            <w:r w:rsidR="009F6986">
              <w:rPr>
                <w:rFonts w:ascii="宋体" w:eastAsia="宋体" w:hAnsi="宋体" w:hint="eastAsia"/>
              </w:rPr>
              <w:t>，</w:t>
            </w:r>
            <w:r w:rsidR="00E95080">
              <w:rPr>
                <w:rFonts w:ascii="宋体" w:eastAsia="宋体" w:hAnsi="宋体" w:hint="eastAsia"/>
              </w:rPr>
              <w:t>且</w:t>
            </w:r>
            <w:r w:rsidRPr="00783232">
              <w:rPr>
                <w:rFonts w:ascii="宋体" w:eastAsia="宋体" w:hAnsi="宋体" w:hint="eastAsia"/>
              </w:rPr>
              <w:t>具有优异的</w:t>
            </w:r>
            <w:r w:rsidR="00E95080">
              <w:rPr>
                <w:rFonts w:ascii="宋体" w:eastAsia="宋体" w:hAnsi="宋体" w:hint="eastAsia"/>
              </w:rPr>
              <w:t>补水</w:t>
            </w:r>
            <w:r w:rsidRPr="00783232">
              <w:rPr>
                <w:rFonts w:ascii="宋体" w:eastAsia="宋体" w:hAnsi="宋体" w:hint="eastAsia"/>
              </w:rPr>
              <w:t>保湿、抗敏、修复</w:t>
            </w:r>
            <w:r w:rsidR="009F6986">
              <w:rPr>
                <w:rFonts w:ascii="宋体" w:eastAsia="宋体" w:hAnsi="宋体" w:hint="eastAsia"/>
              </w:rPr>
              <w:t>等</w:t>
            </w:r>
            <w:r w:rsidR="009F1597">
              <w:rPr>
                <w:rFonts w:ascii="宋体" w:eastAsia="宋体" w:hAnsi="宋体" w:hint="eastAsia"/>
              </w:rPr>
              <w:t>多重</w:t>
            </w:r>
            <w:r w:rsidR="009F6986">
              <w:rPr>
                <w:rFonts w:ascii="宋体" w:eastAsia="宋体" w:hAnsi="宋体" w:hint="eastAsia"/>
              </w:rPr>
              <w:t>功效</w:t>
            </w:r>
            <w:r w:rsidRPr="00783232">
              <w:rPr>
                <w:rFonts w:ascii="宋体" w:eastAsia="宋体" w:hAnsi="宋体" w:hint="eastAsia"/>
              </w:rPr>
              <w:t>。SPG-</w:t>
            </w:r>
            <w:r w:rsidR="009F6986">
              <w:rPr>
                <w:rFonts w:ascii="宋体" w:eastAsia="宋体" w:hAnsi="宋体" w:hint="eastAsia"/>
              </w:rPr>
              <w:t>裂褶多糖已可实现规模化量产，在公司产品中也会进一步推广应用。公司对SPG已经进行了非常完善的专利布局。</w:t>
            </w:r>
          </w:p>
          <w:p w:rsidR="00EF0931" w:rsidRPr="00A11618" w:rsidRDefault="00EF0931" w:rsidP="007C0BCC">
            <w:pPr>
              <w:spacing w:line="276" w:lineRule="auto"/>
              <w:rPr>
                <w:rFonts w:ascii="宋体" w:eastAsia="宋体" w:hAnsi="宋体"/>
              </w:rPr>
            </w:pPr>
          </w:p>
          <w:p w:rsidR="00EF0931" w:rsidRDefault="00EF0931" w:rsidP="007C0BCC">
            <w:pPr>
              <w:spacing w:line="276" w:lineRule="auto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/>
                <w:b/>
                <w:bCs/>
              </w:rPr>
              <w:t>Q</w:t>
            </w:r>
            <w:r>
              <w:rPr>
                <w:rFonts w:ascii="宋体" w:eastAsia="宋体" w:hAnsi="宋体" w:hint="eastAsia"/>
                <w:b/>
                <w:bCs/>
              </w:rPr>
              <w:t>4</w:t>
            </w:r>
            <w:r w:rsidRPr="00EA5647">
              <w:rPr>
                <w:rFonts w:ascii="宋体" w:eastAsia="宋体" w:hAnsi="宋体"/>
                <w:b/>
                <w:bCs/>
              </w:rPr>
              <w:t>、</w:t>
            </w:r>
            <w:r w:rsidR="00F63947">
              <w:rPr>
                <w:rFonts w:ascii="宋体" w:eastAsia="宋体" w:hAnsi="宋体" w:hint="eastAsia"/>
                <w:b/>
                <w:bCs/>
              </w:rPr>
              <w:t>胶原蛋白的布局？</w:t>
            </w:r>
          </w:p>
          <w:p w:rsidR="00F63947" w:rsidRPr="00F63947" w:rsidRDefault="00061CBE" w:rsidP="00F63947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中国</w:t>
            </w:r>
            <w:r w:rsidR="00F63947">
              <w:rPr>
                <w:rFonts w:ascii="宋体" w:eastAsia="宋体" w:hAnsi="宋体" w:hint="eastAsia"/>
              </w:rPr>
              <w:t>重组胶原蛋白</w:t>
            </w:r>
            <w:r>
              <w:rPr>
                <w:rFonts w:ascii="宋体" w:eastAsia="宋体" w:hAnsi="宋体" w:hint="eastAsia"/>
              </w:rPr>
              <w:t>技术国际领先，目前尚处于成长期，</w:t>
            </w:r>
            <w:r w:rsidR="00FB0C2A">
              <w:rPr>
                <w:rFonts w:ascii="宋体" w:eastAsia="宋体" w:hAnsi="宋体" w:hint="eastAsia"/>
              </w:rPr>
              <w:t>未来赛道机会</w:t>
            </w:r>
            <w:r w:rsidR="00F63947" w:rsidRPr="00F63947">
              <w:rPr>
                <w:rFonts w:ascii="宋体" w:eastAsia="宋体" w:hAnsi="宋体" w:hint="eastAsia"/>
              </w:rPr>
              <w:t>长</w:t>
            </w:r>
            <w:r w:rsidR="00E566D0">
              <w:rPr>
                <w:rFonts w:ascii="宋体" w:eastAsia="宋体" w:hAnsi="宋体" w:hint="eastAsia"/>
              </w:rPr>
              <w:t>。公司</w:t>
            </w:r>
            <w:r w:rsidR="00F63947" w:rsidRPr="00F63947">
              <w:rPr>
                <w:rFonts w:ascii="宋体" w:eastAsia="宋体" w:hAnsi="宋体" w:hint="eastAsia"/>
              </w:rPr>
              <w:t>重组胶原蛋白的核心竞争力要拉长来看，坚定研发、产品、营销等各维度都会持续投入力量，做大做强。</w:t>
            </w:r>
            <w:r w:rsidR="006D77C6">
              <w:rPr>
                <w:rFonts w:ascii="宋体" w:eastAsia="宋体" w:hAnsi="宋体" w:hint="eastAsia"/>
              </w:rPr>
              <w:t>坚持很重要</w:t>
            </w:r>
            <w:r w:rsidR="00F63947" w:rsidRPr="00F63947">
              <w:rPr>
                <w:rFonts w:ascii="宋体" w:eastAsia="宋体" w:hAnsi="宋体" w:hint="eastAsia"/>
              </w:rPr>
              <w:t>。</w:t>
            </w:r>
          </w:p>
          <w:p w:rsidR="00F63947" w:rsidRPr="00F63947" w:rsidRDefault="00F63947" w:rsidP="00F63947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宋体" w:eastAsia="宋体" w:hAnsi="宋体"/>
              </w:rPr>
            </w:pPr>
            <w:r w:rsidRPr="00F63947">
              <w:rPr>
                <w:rFonts w:ascii="宋体" w:eastAsia="宋体" w:hAnsi="宋体" w:hint="eastAsia"/>
              </w:rPr>
              <w:t>公司</w:t>
            </w:r>
            <w:r>
              <w:rPr>
                <w:rFonts w:ascii="宋体" w:eastAsia="宋体" w:hAnsi="宋体" w:hint="eastAsia"/>
              </w:rPr>
              <w:t>2023</w:t>
            </w:r>
            <w:r w:rsidRPr="00F63947">
              <w:rPr>
                <w:rFonts w:ascii="宋体" w:eastAsia="宋体" w:hAnsi="宋体" w:hint="eastAsia"/>
              </w:rPr>
              <w:t>年9月举办了</w:t>
            </w:r>
            <w:proofErr w:type="gramStart"/>
            <w:r w:rsidRPr="00F63947">
              <w:rPr>
                <w:rFonts w:ascii="宋体" w:eastAsia="宋体" w:hAnsi="宋体" w:hint="eastAsia"/>
              </w:rPr>
              <w:t>第三届丸</w:t>
            </w:r>
            <w:proofErr w:type="gramEnd"/>
            <w:r w:rsidRPr="00F63947">
              <w:rPr>
                <w:rFonts w:ascii="宋体" w:eastAsia="宋体" w:hAnsi="宋体" w:hint="eastAsia"/>
              </w:rPr>
              <w:t>美重组胶原蛋白年度科学家论坛，展示了在重组胶原蛋白领域的研究和成果，也发布了重组胶原蛋白</w:t>
            </w:r>
            <w:proofErr w:type="gramStart"/>
            <w:r w:rsidRPr="00F63947">
              <w:rPr>
                <w:rFonts w:ascii="宋体" w:eastAsia="宋体" w:hAnsi="宋体" w:hint="eastAsia"/>
              </w:rPr>
              <w:t>医</w:t>
            </w:r>
            <w:proofErr w:type="gramEnd"/>
            <w:r w:rsidRPr="00F63947">
              <w:rPr>
                <w:rFonts w:ascii="宋体" w:eastAsia="宋体" w:hAnsi="宋体" w:hint="eastAsia"/>
              </w:rPr>
              <w:t>美术后面膜和修复精华（二类医疗器械证产品）。公司有10年的重组胶原蛋白发展蓝图，研究开发等各项工作正按照计划持续推进。</w:t>
            </w:r>
          </w:p>
          <w:p w:rsidR="00EF0931" w:rsidRPr="00EA5647" w:rsidRDefault="00EF0931" w:rsidP="007C0BCC">
            <w:pPr>
              <w:spacing w:line="276" w:lineRule="auto"/>
              <w:rPr>
                <w:rFonts w:ascii="宋体" w:eastAsia="宋体" w:hAnsi="宋体"/>
              </w:rPr>
            </w:pPr>
          </w:p>
          <w:p w:rsidR="00EF0931" w:rsidRPr="00EA37DD" w:rsidRDefault="00EF0931" w:rsidP="007C0BCC">
            <w:pPr>
              <w:spacing w:line="276" w:lineRule="auto"/>
              <w:rPr>
                <w:rFonts w:ascii="宋体" w:eastAsia="宋体" w:hAnsi="宋体"/>
                <w:b/>
                <w:bCs/>
              </w:rPr>
            </w:pPr>
            <w:r w:rsidRPr="00EA5647">
              <w:rPr>
                <w:rFonts w:ascii="宋体" w:eastAsia="宋体" w:hAnsi="宋体" w:hint="eastAsia"/>
                <w:b/>
                <w:bCs/>
              </w:rPr>
              <w:t>Q</w:t>
            </w:r>
            <w:r>
              <w:rPr>
                <w:rFonts w:ascii="宋体" w:eastAsia="宋体" w:hAnsi="宋体" w:hint="eastAsia"/>
                <w:b/>
                <w:bCs/>
              </w:rPr>
              <w:t>5</w:t>
            </w:r>
            <w:r w:rsidRPr="00EA5647">
              <w:rPr>
                <w:rFonts w:ascii="宋体" w:eastAsia="宋体" w:hAnsi="宋体" w:hint="eastAsia"/>
                <w:b/>
                <w:bCs/>
              </w:rPr>
              <w:t>、</w:t>
            </w:r>
            <w:r w:rsidR="00AE7234">
              <w:rPr>
                <w:rFonts w:ascii="宋体" w:eastAsia="宋体" w:hAnsi="宋体" w:hint="eastAsia"/>
                <w:b/>
                <w:bCs/>
              </w:rPr>
              <w:t>公司研发情况？</w:t>
            </w:r>
          </w:p>
          <w:p w:rsidR="00AE7234" w:rsidRDefault="00AE7234" w:rsidP="00AE7234">
            <w:pPr>
              <w:pStyle w:val="a3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丸</w:t>
            </w:r>
            <w:proofErr w:type="gramStart"/>
            <w:r>
              <w:rPr>
                <w:rFonts w:ascii="宋体" w:eastAsia="宋体" w:hAnsi="宋体" w:hint="eastAsia"/>
              </w:rPr>
              <w:t>美品牌</w:t>
            </w:r>
            <w:proofErr w:type="gramEnd"/>
            <w:r>
              <w:rPr>
                <w:rFonts w:ascii="宋体" w:eastAsia="宋体" w:hAnsi="宋体" w:hint="eastAsia"/>
              </w:rPr>
              <w:t>自成立初便定位眼部护理及抗衰老领域，至今21年，品牌定位一直非常清晰未曾改变，基于品牌定位的</w:t>
            </w:r>
            <w:r w:rsidRPr="00AE7234">
              <w:rPr>
                <w:rFonts w:ascii="宋体" w:eastAsia="宋体" w:hAnsi="宋体" w:hint="eastAsia"/>
              </w:rPr>
              <w:t>笃定</w:t>
            </w:r>
            <w:r>
              <w:rPr>
                <w:rFonts w:ascii="宋体" w:eastAsia="宋体" w:hAnsi="宋体" w:hint="eastAsia"/>
              </w:rPr>
              <w:t>，丸美研发</w:t>
            </w:r>
            <w:r w:rsidR="00042A26">
              <w:rPr>
                <w:rFonts w:ascii="宋体" w:eastAsia="宋体" w:hAnsi="宋体" w:hint="eastAsia"/>
              </w:rPr>
              <w:t>也有着深厚的积累</w:t>
            </w:r>
            <w:r w:rsidR="00F97F9F">
              <w:rPr>
                <w:rFonts w:ascii="宋体" w:eastAsia="宋体" w:hAnsi="宋体" w:hint="eastAsia"/>
              </w:rPr>
              <w:t>且</w:t>
            </w:r>
            <w:r w:rsidR="009E4EC6">
              <w:rPr>
                <w:rFonts w:ascii="宋体" w:eastAsia="宋体" w:hAnsi="宋体" w:hint="eastAsia"/>
              </w:rPr>
              <w:t>非常聚焦，公司这次能够快速的</w:t>
            </w:r>
            <w:proofErr w:type="gramStart"/>
            <w:r w:rsidR="009E4EC6">
              <w:rPr>
                <w:rFonts w:ascii="宋体" w:eastAsia="宋体" w:hAnsi="宋体" w:hint="eastAsia"/>
              </w:rPr>
              <w:t>实现线上渠道</w:t>
            </w:r>
            <w:proofErr w:type="gramEnd"/>
            <w:r w:rsidR="009E4EC6">
              <w:rPr>
                <w:rFonts w:ascii="宋体" w:eastAsia="宋体" w:hAnsi="宋体" w:hint="eastAsia"/>
              </w:rPr>
              <w:t>转型，</w:t>
            </w:r>
            <w:r w:rsidR="00B42E9F">
              <w:rPr>
                <w:rFonts w:ascii="宋体" w:eastAsia="宋体" w:hAnsi="宋体" w:hint="eastAsia"/>
              </w:rPr>
              <w:t>扎实的</w:t>
            </w:r>
            <w:r w:rsidR="009E4EC6">
              <w:rPr>
                <w:rFonts w:ascii="宋体" w:eastAsia="宋体" w:hAnsi="宋体" w:hint="eastAsia"/>
              </w:rPr>
              <w:t>研发和供应链</w:t>
            </w:r>
            <w:r w:rsidR="000F5033">
              <w:rPr>
                <w:rFonts w:ascii="宋体" w:eastAsia="宋体" w:hAnsi="宋体" w:hint="eastAsia"/>
              </w:rPr>
              <w:t>在背后</w:t>
            </w:r>
            <w:r w:rsidR="009E4EC6">
              <w:rPr>
                <w:rFonts w:ascii="宋体" w:eastAsia="宋体" w:hAnsi="宋体" w:hint="eastAsia"/>
              </w:rPr>
              <w:t>给予了很大的支持。</w:t>
            </w:r>
          </w:p>
          <w:p w:rsidR="009E4EC6" w:rsidRDefault="00357C0B" w:rsidP="009E4EC6">
            <w:pPr>
              <w:pStyle w:val="a3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公司</w:t>
            </w:r>
            <w:r w:rsidR="009E4EC6" w:rsidRPr="009E4EC6">
              <w:rPr>
                <w:rFonts w:ascii="宋体" w:eastAsia="宋体" w:hAnsi="宋体" w:hint="eastAsia"/>
              </w:rPr>
              <w:t>连续四届被评为国家高新技术企业，获评广东省“专精特新”中小企业、广州市黄埔区博士后创新中心等技术称号。截止2023年6月公司累计申请各项专利457项，其中发明专利349项（含国际专利39项）；累计获得授权专利241项，其中发明专利161项（含国际专利31项）</w:t>
            </w:r>
            <w:r w:rsidR="009E4EC6">
              <w:rPr>
                <w:rFonts w:ascii="宋体" w:eastAsia="宋体" w:hAnsi="宋体" w:hint="eastAsia"/>
              </w:rPr>
              <w:t>，</w:t>
            </w:r>
            <w:r w:rsidR="00656474">
              <w:rPr>
                <w:rFonts w:ascii="宋体" w:eastAsia="宋体" w:hAnsi="宋体" w:hint="eastAsia"/>
              </w:rPr>
              <w:t>发明专利</w:t>
            </w:r>
            <w:r w:rsidR="009E4EC6">
              <w:rPr>
                <w:rFonts w:ascii="宋体" w:eastAsia="宋体" w:hAnsi="宋体" w:hint="eastAsia"/>
              </w:rPr>
              <w:t>占比近70%</w:t>
            </w:r>
            <w:r w:rsidR="009E4EC6" w:rsidRPr="009E4EC6">
              <w:rPr>
                <w:rFonts w:ascii="宋体" w:eastAsia="宋体" w:hAnsi="宋体" w:hint="eastAsia"/>
              </w:rPr>
              <w:t>，其中3项发明专利获得中国专利奖-优秀奖，1项专利获得广东省专利奖，公司基于基因工程、干细胞与再生医学、天然植物化学、生物发酵工程、高分子材料等领域的研究成果相继在国内外学术期刊上发表总计近30篇学术论文，其中8篇SCI国际期刊论文，SCI期刊</w:t>
            </w:r>
            <w:proofErr w:type="gramStart"/>
            <w:r w:rsidR="009E4EC6" w:rsidRPr="009E4EC6">
              <w:rPr>
                <w:rFonts w:ascii="宋体" w:eastAsia="宋体" w:hAnsi="宋体" w:hint="eastAsia"/>
              </w:rPr>
              <w:t>总影响</w:t>
            </w:r>
            <w:proofErr w:type="gramEnd"/>
            <w:r w:rsidR="009E4EC6" w:rsidRPr="009E4EC6">
              <w:rPr>
                <w:rFonts w:ascii="宋体" w:eastAsia="宋体" w:hAnsi="宋体" w:hint="eastAsia"/>
              </w:rPr>
              <w:t>因子近50（47.162），平均每篇6分（5.895），论文质量高，公司累计主导及参于标准起草30多项。</w:t>
            </w:r>
          </w:p>
          <w:p w:rsidR="00AE7234" w:rsidRDefault="00AE7234" w:rsidP="009E4EC6">
            <w:pPr>
              <w:pStyle w:val="a3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宋体" w:eastAsia="宋体" w:hAnsi="宋体"/>
              </w:rPr>
            </w:pPr>
            <w:r w:rsidRPr="00AE7234">
              <w:rPr>
                <w:rFonts w:ascii="宋体" w:eastAsia="宋体" w:hAnsi="宋体" w:hint="eastAsia"/>
              </w:rPr>
              <w:t>公司坚持自主研发，国内外多地联合驱动，聚焦皮肤抗衰，</w:t>
            </w:r>
            <w:proofErr w:type="gramStart"/>
            <w:r w:rsidRPr="00AE7234">
              <w:rPr>
                <w:rFonts w:ascii="宋体" w:eastAsia="宋体" w:hAnsi="宋体" w:hint="eastAsia"/>
              </w:rPr>
              <w:t>深耕美</w:t>
            </w:r>
            <w:proofErr w:type="gramEnd"/>
            <w:r w:rsidRPr="00AE7234">
              <w:rPr>
                <w:rFonts w:ascii="宋体" w:eastAsia="宋体" w:hAnsi="宋体" w:hint="eastAsia"/>
              </w:rPr>
              <w:t>与健康，主力发展基因工程、合成生物、生物发酵、植物提取等生物技术，2022年公司自有原料工厂和化妆品检测公司全面投入使用，实现了从原料自</w:t>
            </w:r>
            <w:proofErr w:type="gramStart"/>
            <w:r w:rsidRPr="00AE7234">
              <w:rPr>
                <w:rFonts w:ascii="宋体" w:eastAsia="宋体" w:hAnsi="宋体" w:hint="eastAsia"/>
              </w:rPr>
              <w:t>研</w:t>
            </w:r>
            <w:proofErr w:type="gramEnd"/>
            <w:r w:rsidRPr="00AE7234">
              <w:rPr>
                <w:rFonts w:ascii="宋体" w:eastAsia="宋体" w:hAnsi="宋体" w:hint="eastAsia"/>
              </w:rPr>
              <w:t>自产到产品开发再到功效评测等的科研全链路打通，为未来公司核心原料及技术的闭环研究和转化提供有力保障，为公司保持行业技术领先优势奠定了坚实基础。</w:t>
            </w:r>
            <w:r w:rsidR="00656474">
              <w:rPr>
                <w:rFonts w:ascii="宋体" w:eastAsia="宋体" w:hAnsi="宋体" w:hint="eastAsia"/>
              </w:rPr>
              <w:t>同时，公司与国内外多家高校、研究</w:t>
            </w:r>
            <w:r w:rsidRPr="00AE7234">
              <w:rPr>
                <w:rFonts w:ascii="宋体" w:eastAsia="宋体" w:hAnsi="宋体" w:hint="eastAsia"/>
              </w:rPr>
              <w:t>机构</w:t>
            </w:r>
            <w:r w:rsidR="00656474">
              <w:rPr>
                <w:rFonts w:ascii="宋体" w:eastAsia="宋体" w:hAnsi="宋体" w:hint="eastAsia"/>
              </w:rPr>
              <w:t>、皮肤科医院</w:t>
            </w:r>
            <w:r w:rsidRPr="00AE7234">
              <w:rPr>
                <w:rFonts w:ascii="宋体" w:eastAsia="宋体" w:hAnsi="宋体" w:hint="eastAsia"/>
              </w:rPr>
              <w:t>开展多维度共</w:t>
            </w:r>
            <w:proofErr w:type="gramStart"/>
            <w:r w:rsidRPr="00AE7234">
              <w:rPr>
                <w:rFonts w:ascii="宋体" w:eastAsia="宋体" w:hAnsi="宋体" w:hint="eastAsia"/>
              </w:rPr>
              <w:t>研</w:t>
            </w:r>
            <w:proofErr w:type="gramEnd"/>
            <w:r w:rsidRPr="00AE7234">
              <w:rPr>
                <w:rFonts w:ascii="宋体" w:eastAsia="宋体" w:hAnsi="宋体" w:hint="eastAsia"/>
              </w:rPr>
              <w:t>共创。</w:t>
            </w:r>
          </w:p>
          <w:p w:rsidR="00EF0931" w:rsidRPr="00EA5647" w:rsidRDefault="00EF0931" w:rsidP="007C0BCC">
            <w:pPr>
              <w:spacing w:line="276" w:lineRule="auto"/>
              <w:rPr>
                <w:rFonts w:ascii="宋体" w:eastAsia="宋体" w:hAnsi="宋体"/>
              </w:rPr>
            </w:pPr>
          </w:p>
          <w:p w:rsidR="00EF0931" w:rsidRPr="00EA5647" w:rsidRDefault="00EF0931" w:rsidP="007C0BCC">
            <w:pPr>
              <w:spacing w:line="276" w:lineRule="auto"/>
              <w:rPr>
                <w:rFonts w:ascii="宋体" w:eastAsia="宋体" w:hAnsi="宋体"/>
                <w:b/>
                <w:bCs/>
              </w:rPr>
            </w:pPr>
            <w:r w:rsidRPr="00EA5647">
              <w:rPr>
                <w:rFonts w:ascii="宋体" w:eastAsia="宋体" w:hAnsi="宋体" w:hint="eastAsia"/>
                <w:b/>
                <w:bCs/>
              </w:rPr>
              <w:t>Q</w:t>
            </w:r>
            <w:r>
              <w:rPr>
                <w:rFonts w:ascii="宋体" w:eastAsia="宋体" w:hAnsi="宋体" w:hint="eastAsia"/>
                <w:b/>
                <w:bCs/>
              </w:rPr>
              <w:t>6、</w:t>
            </w:r>
            <w:r w:rsidR="00102D5F">
              <w:rPr>
                <w:rFonts w:ascii="宋体" w:eastAsia="宋体" w:hAnsi="宋体" w:hint="eastAsia"/>
                <w:b/>
                <w:bCs/>
              </w:rPr>
              <w:t>消费升级对公司更有利，还是消费降级对公司更有利？</w:t>
            </w:r>
          </w:p>
          <w:p w:rsidR="006020B9" w:rsidRPr="006020B9" w:rsidRDefault="00102D5F" w:rsidP="006020B9">
            <w:pPr>
              <w:pStyle w:val="a3"/>
              <w:numPr>
                <w:ilvl w:val="0"/>
                <w:numId w:val="5"/>
              </w:numPr>
              <w:spacing w:line="276" w:lineRule="auto"/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国货崛起是大势，不论是消费升级还是消费降级，都阻挡不了大势。丸美覆盖了</w:t>
            </w:r>
            <w:r w:rsidR="006020B9">
              <w:rPr>
                <w:rFonts w:ascii="宋体" w:eastAsia="宋体" w:hAnsi="宋体" w:hint="eastAsia"/>
              </w:rPr>
              <w:t>线上线下多</w:t>
            </w:r>
            <w:r>
              <w:rPr>
                <w:rFonts w:ascii="宋体" w:eastAsia="宋体" w:hAnsi="宋体" w:hint="eastAsia"/>
              </w:rPr>
              <w:t>渠道，拥有非常完善的针对面部各种抗衰</w:t>
            </w:r>
            <w:r w:rsidR="006020B9">
              <w:rPr>
                <w:rFonts w:ascii="宋体" w:eastAsia="宋体" w:hAnsi="宋体" w:hint="eastAsia"/>
              </w:rPr>
              <w:t>表征</w:t>
            </w:r>
            <w:r>
              <w:rPr>
                <w:rFonts w:ascii="宋体" w:eastAsia="宋体" w:hAnsi="宋体" w:hint="eastAsia"/>
              </w:rPr>
              <w:t>的产品，价格从200-800不等。</w:t>
            </w:r>
            <w:r w:rsidR="006020B9">
              <w:rPr>
                <w:rFonts w:ascii="宋体" w:eastAsia="宋体" w:hAnsi="宋体" w:hint="eastAsia"/>
              </w:rPr>
              <w:t>现在要做的就是踏实做好产品、做好品牌、</w:t>
            </w:r>
            <w:r w:rsidR="007C1541">
              <w:rPr>
                <w:rFonts w:ascii="宋体" w:eastAsia="宋体" w:hAnsi="宋体" w:hint="eastAsia"/>
              </w:rPr>
              <w:t>做好营销、做好服务，做好用户体验，我们国货品牌</w:t>
            </w:r>
            <w:r w:rsidR="006020B9">
              <w:rPr>
                <w:rFonts w:ascii="宋体" w:eastAsia="宋体" w:hAnsi="宋体" w:hint="eastAsia"/>
              </w:rPr>
              <w:t>通过更</w:t>
            </w:r>
            <w:r w:rsidR="007C1541">
              <w:rPr>
                <w:rFonts w:ascii="宋体" w:eastAsia="宋体" w:hAnsi="宋体" w:hint="eastAsia"/>
              </w:rPr>
              <w:t>强的供应链更</w:t>
            </w:r>
            <w:r w:rsidR="006020B9">
              <w:rPr>
                <w:rFonts w:ascii="宋体" w:eastAsia="宋体" w:hAnsi="宋体" w:hint="eastAsia"/>
              </w:rPr>
              <w:t>好</w:t>
            </w:r>
            <w:r w:rsidR="001562F3">
              <w:rPr>
                <w:rFonts w:ascii="宋体" w:eastAsia="宋体" w:hAnsi="宋体" w:hint="eastAsia"/>
              </w:rPr>
              <w:t>的</w:t>
            </w:r>
            <w:bookmarkStart w:id="0" w:name="_GoBack"/>
            <w:bookmarkEnd w:id="0"/>
            <w:r w:rsidR="006020B9">
              <w:rPr>
                <w:rFonts w:ascii="宋体" w:eastAsia="宋体" w:hAnsi="宋体" w:hint="eastAsia"/>
              </w:rPr>
              <w:t>运营去抢占国际大牌可能会放出的份额。</w:t>
            </w:r>
          </w:p>
          <w:p w:rsidR="00EF0931" w:rsidRPr="00EA5647" w:rsidRDefault="00EF0931" w:rsidP="007C0BCC">
            <w:pPr>
              <w:pStyle w:val="a3"/>
              <w:spacing w:line="276" w:lineRule="auto"/>
              <w:ind w:left="440" w:firstLineChars="0" w:firstLine="0"/>
              <w:rPr>
                <w:rFonts w:ascii="宋体" w:eastAsia="宋体" w:hAnsi="宋体"/>
              </w:rPr>
            </w:pPr>
          </w:p>
          <w:p w:rsidR="00EF0931" w:rsidRPr="00EA5647" w:rsidRDefault="00EF0931" w:rsidP="007C0BCC">
            <w:pPr>
              <w:spacing w:line="276" w:lineRule="auto"/>
              <w:rPr>
                <w:rFonts w:ascii="宋体" w:eastAsia="宋体" w:hAnsi="宋体"/>
                <w:b/>
                <w:bCs/>
              </w:rPr>
            </w:pPr>
            <w:r w:rsidRPr="00EA5647">
              <w:rPr>
                <w:rFonts w:ascii="宋体" w:eastAsia="宋体" w:hAnsi="宋体" w:hint="eastAsia"/>
                <w:b/>
                <w:bCs/>
              </w:rPr>
              <w:t>Q</w:t>
            </w:r>
            <w:r>
              <w:rPr>
                <w:rFonts w:ascii="宋体" w:eastAsia="宋体" w:hAnsi="宋体" w:hint="eastAsia"/>
                <w:b/>
                <w:bCs/>
              </w:rPr>
              <w:t>7</w:t>
            </w:r>
            <w:r w:rsidRPr="00EA5647">
              <w:rPr>
                <w:rFonts w:ascii="宋体" w:eastAsia="宋体" w:hAnsi="宋体" w:hint="eastAsia"/>
                <w:b/>
                <w:bCs/>
              </w:rPr>
              <w:t>、</w:t>
            </w:r>
            <w:r w:rsidR="00512287">
              <w:rPr>
                <w:rFonts w:ascii="宋体" w:eastAsia="宋体" w:hAnsi="宋体" w:hint="eastAsia"/>
                <w:b/>
                <w:bCs/>
              </w:rPr>
              <w:t>PL</w:t>
            </w:r>
            <w:proofErr w:type="gramStart"/>
            <w:r w:rsidR="00640F9E">
              <w:rPr>
                <w:rFonts w:ascii="宋体" w:eastAsia="宋体" w:hAnsi="宋体" w:hint="eastAsia"/>
                <w:b/>
                <w:bCs/>
              </w:rPr>
              <w:t>恋火</w:t>
            </w:r>
            <w:r w:rsidR="00512287">
              <w:rPr>
                <w:rFonts w:ascii="宋体" w:eastAsia="宋体" w:hAnsi="宋体" w:hint="eastAsia"/>
                <w:b/>
                <w:bCs/>
              </w:rPr>
              <w:t>产品</w:t>
            </w:r>
            <w:proofErr w:type="gramEnd"/>
            <w:r w:rsidR="00512287">
              <w:rPr>
                <w:rFonts w:ascii="宋体" w:eastAsia="宋体" w:hAnsi="宋体" w:hint="eastAsia"/>
                <w:b/>
                <w:bCs/>
              </w:rPr>
              <w:t>的</w:t>
            </w:r>
            <w:r w:rsidR="00640F9E">
              <w:rPr>
                <w:rFonts w:ascii="宋体" w:eastAsia="宋体" w:hAnsi="宋体" w:hint="eastAsia"/>
                <w:b/>
                <w:bCs/>
              </w:rPr>
              <w:t>定位、</w:t>
            </w:r>
            <w:r w:rsidR="00512287">
              <w:rPr>
                <w:rFonts w:ascii="宋体" w:eastAsia="宋体" w:hAnsi="宋体" w:hint="eastAsia"/>
                <w:b/>
                <w:bCs/>
              </w:rPr>
              <w:t>消费群体？</w:t>
            </w:r>
          </w:p>
          <w:p w:rsidR="00EF0931" w:rsidRPr="00EA5647" w:rsidRDefault="00512287" w:rsidP="007C0BCC">
            <w:pPr>
              <w:pStyle w:val="a3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PL</w:t>
            </w:r>
            <w:proofErr w:type="gramStart"/>
            <w:r w:rsidR="00640F9E">
              <w:rPr>
                <w:rFonts w:ascii="宋体" w:eastAsia="宋体" w:hAnsi="宋体" w:hint="eastAsia"/>
              </w:rPr>
              <w:t>恋火</w:t>
            </w:r>
            <w:r>
              <w:rPr>
                <w:rFonts w:ascii="宋体" w:eastAsia="宋体" w:hAnsi="宋体" w:hint="eastAsia"/>
              </w:rPr>
              <w:t>从</w:t>
            </w:r>
            <w:proofErr w:type="gramEnd"/>
            <w:r>
              <w:rPr>
                <w:rFonts w:ascii="宋体" w:eastAsia="宋体" w:hAnsi="宋体" w:hint="eastAsia"/>
              </w:rPr>
              <w:t>2021年6月</w:t>
            </w:r>
            <w:proofErr w:type="gramStart"/>
            <w:r>
              <w:rPr>
                <w:rFonts w:ascii="宋体" w:eastAsia="宋体" w:hAnsi="宋体" w:hint="eastAsia"/>
              </w:rPr>
              <w:t>焕</w:t>
            </w:r>
            <w:proofErr w:type="gramEnd"/>
            <w:r>
              <w:rPr>
                <w:rFonts w:ascii="宋体" w:eastAsia="宋体" w:hAnsi="宋体" w:hint="eastAsia"/>
              </w:rPr>
              <w:t>新以来，表现非常优异，不仅收入高速增长，还能保有利润，这在现阶段非常难得。就像丸美会深耕</w:t>
            </w:r>
            <w:proofErr w:type="gramStart"/>
            <w:r>
              <w:rPr>
                <w:rFonts w:ascii="宋体" w:eastAsia="宋体" w:hAnsi="宋体" w:hint="eastAsia"/>
              </w:rPr>
              <w:t>在眼护及</w:t>
            </w:r>
            <w:proofErr w:type="gramEnd"/>
            <w:r>
              <w:rPr>
                <w:rFonts w:ascii="宋体" w:eastAsia="宋体" w:hAnsi="宋体" w:hint="eastAsia"/>
              </w:rPr>
              <w:t>抗衰老领域，PL品牌定位是底妆品类，</w:t>
            </w:r>
            <w:r w:rsidR="004E091C">
              <w:rPr>
                <w:rFonts w:ascii="宋体" w:eastAsia="宋体" w:hAnsi="宋体" w:hint="eastAsia"/>
              </w:rPr>
              <w:t>未来也会深耕在底妆领域，坚定要</w:t>
            </w:r>
            <w:r>
              <w:rPr>
                <w:rFonts w:ascii="宋体" w:eastAsia="宋体" w:hAnsi="宋体" w:hint="eastAsia"/>
              </w:rPr>
              <w:t>做底妆第一梯队</w:t>
            </w:r>
            <w:r w:rsidR="00640F9E">
              <w:rPr>
                <w:rFonts w:ascii="宋体" w:eastAsia="宋体" w:hAnsi="宋体" w:hint="eastAsia"/>
              </w:rPr>
              <w:t>。PL主要消费人群是25-35岁精致白领，客单价100-200，品质极好，性价比极高，营销也做得非常精准高效，这也是为什么PL两三年便可</w:t>
            </w:r>
            <w:proofErr w:type="gramStart"/>
            <w:r w:rsidR="00640F9E">
              <w:rPr>
                <w:rFonts w:ascii="宋体" w:eastAsia="宋体" w:hAnsi="宋体" w:hint="eastAsia"/>
              </w:rPr>
              <w:t>快速起量的</w:t>
            </w:r>
            <w:proofErr w:type="gramEnd"/>
            <w:r w:rsidR="00640F9E">
              <w:rPr>
                <w:rFonts w:ascii="宋体" w:eastAsia="宋体" w:hAnsi="宋体" w:hint="eastAsia"/>
              </w:rPr>
              <w:t>根本所在。</w:t>
            </w:r>
          </w:p>
          <w:p w:rsidR="00EF0931" w:rsidRPr="00EA5647" w:rsidRDefault="00EF0931" w:rsidP="007C0BCC">
            <w:pPr>
              <w:spacing w:line="276" w:lineRule="auto"/>
              <w:rPr>
                <w:rFonts w:ascii="宋体" w:eastAsia="宋体" w:hAnsi="宋体"/>
              </w:rPr>
            </w:pPr>
          </w:p>
          <w:p w:rsidR="00EF0931" w:rsidRPr="00EA37DD" w:rsidRDefault="00EF0931" w:rsidP="00ED242B">
            <w:pPr>
              <w:spacing w:line="276" w:lineRule="auto"/>
              <w:ind w:left="440"/>
              <w:rPr>
                <w:rFonts w:ascii="宋体" w:eastAsia="宋体" w:hAnsi="宋体" w:cs="Arial"/>
                <w:szCs w:val="21"/>
              </w:rPr>
            </w:pPr>
          </w:p>
        </w:tc>
      </w:tr>
    </w:tbl>
    <w:p w:rsidR="00EF0931" w:rsidRDefault="00EF0931" w:rsidP="00EF0931">
      <w:pPr>
        <w:rPr>
          <w:rFonts w:ascii="微软雅黑" w:eastAsia="微软雅黑" w:hAnsi="微软雅黑"/>
          <w:b/>
          <w:bCs/>
        </w:rPr>
      </w:pPr>
    </w:p>
    <w:p w:rsidR="00EF0931" w:rsidRDefault="00EF0931" w:rsidP="00EF0931">
      <w:pPr>
        <w:widowControl/>
        <w:jc w:val="left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/>
          <w:b/>
          <w:bCs/>
        </w:rPr>
        <w:br w:type="page"/>
      </w:r>
    </w:p>
    <w:p w:rsidR="00EF0931" w:rsidRPr="00EA37DD" w:rsidRDefault="00EF0931" w:rsidP="00EF0931">
      <w:pPr>
        <w:widowControl/>
        <w:spacing w:beforeLines="50" w:before="156" w:afterLines="50" w:after="156" w:line="276" w:lineRule="auto"/>
        <w:jc w:val="left"/>
        <w:rPr>
          <w:rFonts w:ascii="宋体" w:eastAsia="宋体" w:hAnsi="宋体"/>
          <w:b/>
          <w:bCs/>
          <w:szCs w:val="21"/>
        </w:rPr>
      </w:pPr>
      <w:r w:rsidRPr="00EA37DD">
        <w:rPr>
          <w:rFonts w:ascii="宋体" w:eastAsia="宋体" w:hAnsi="宋体" w:hint="eastAsia"/>
          <w:b/>
          <w:bCs/>
          <w:szCs w:val="21"/>
        </w:rPr>
        <w:t>附件</w:t>
      </w:r>
      <w:r w:rsidRPr="00EA37DD">
        <w:rPr>
          <w:rFonts w:ascii="宋体" w:eastAsia="宋体" w:hAnsi="宋体"/>
          <w:b/>
          <w:bCs/>
          <w:szCs w:val="21"/>
        </w:rPr>
        <w:t xml:space="preserve"> </w:t>
      </w:r>
      <w:r w:rsidR="003309FA">
        <w:rPr>
          <w:rFonts w:ascii="宋体" w:eastAsia="宋体" w:hAnsi="宋体"/>
          <w:b/>
          <w:bCs/>
          <w:szCs w:val="21"/>
        </w:rPr>
        <w:t>《与会</w:t>
      </w:r>
      <w:r w:rsidR="003309FA">
        <w:rPr>
          <w:rFonts w:ascii="宋体" w:eastAsia="宋体" w:hAnsi="宋体" w:hint="eastAsia"/>
          <w:b/>
          <w:bCs/>
          <w:szCs w:val="21"/>
        </w:rPr>
        <w:t>机构</w:t>
      </w:r>
      <w:r w:rsidRPr="00EA37DD">
        <w:rPr>
          <w:rFonts w:ascii="宋体" w:eastAsia="宋体" w:hAnsi="宋体"/>
          <w:b/>
          <w:bCs/>
          <w:szCs w:val="21"/>
        </w:rPr>
        <w:t>清单》</w:t>
      </w:r>
    </w:p>
    <w:tbl>
      <w:tblPr>
        <w:tblStyle w:val="TableNormal"/>
        <w:tblW w:w="8120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9"/>
        <w:gridCol w:w="4111"/>
      </w:tblGrid>
      <w:tr w:rsidR="003309FA" w:rsidRPr="00EA37DD" w:rsidTr="003309FA">
        <w:trPr>
          <w:trHeight w:hRule="exact" w:val="503"/>
        </w:trPr>
        <w:tc>
          <w:tcPr>
            <w:tcW w:w="4009" w:type="dxa"/>
            <w:vAlign w:val="center"/>
          </w:tcPr>
          <w:p w:rsidR="003309FA" w:rsidRDefault="003309F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proofErr w:type="spellStart"/>
            <w:r>
              <w:rPr>
                <w:rFonts w:hint="eastAsia"/>
                <w:color w:val="000000"/>
              </w:rPr>
              <w:t>杭州橡木资产</w:t>
            </w:r>
            <w:proofErr w:type="spellEnd"/>
          </w:p>
        </w:tc>
        <w:tc>
          <w:tcPr>
            <w:tcW w:w="4111" w:type="dxa"/>
            <w:vAlign w:val="center"/>
          </w:tcPr>
          <w:p w:rsidR="003309FA" w:rsidRDefault="003309F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宁波永禧宝莱特私募</w:t>
            </w:r>
          </w:p>
        </w:tc>
      </w:tr>
      <w:tr w:rsidR="003309FA" w:rsidRPr="00EA37DD" w:rsidTr="003309FA">
        <w:trPr>
          <w:trHeight w:hRule="exact" w:val="567"/>
        </w:trPr>
        <w:tc>
          <w:tcPr>
            <w:tcW w:w="4009" w:type="dxa"/>
            <w:vAlign w:val="center"/>
          </w:tcPr>
          <w:p w:rsidR="003309FA" w:rsidRDefault="003309F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光大证券</w:t>
            </w:r>
          </w:p>
        </w:tc>
        <w:tc>
          <w:tcPr>
            <w:tcW w:w="4111" w:type="dxa"/>
            <w:vAlign w:val="center"/>
          </w:tcPr>
          <w:p w:rsidR="003309FA" w:rsidRDefault="003309F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杭州化雨均沾私募</w:t>
            </w:r>
          </w:p>
        </w:tc>
      </w:tr>
      <w:tr w:rsidR="003309FA" w:rsidRPr="00EA37DD" w:rsidTr="003309FA">
        <w:trPr>
          <w:trHeight w:hRule="exact" w:val="567"/>
        </w:trPr>
        <w:tc>
          <w:tcPr>
            <w:tcW w:w="4009" w:type="dxa"/>
            <w:vAlign w:val="center"/>
          </w:tcPr>
          <w:p w:rsidR="003309FA" w:rsidRDefault="003309F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财通证券</w:t>
            </w:r>
          </w:p>
        </w:tc>
        <w:tc>
          <w:tcPr>
            <w:tcW w:w="4111" w:type="dxa"/>
            <w:vAlign w:val="center"/>
          </w:tcPr>
          <w:p w:rsidR="003309FA" w:rsidRDefault="003309F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浙江金河投资</w:t>
            </w:r>
          </w:p>
        </w:tc>
      </w:tr>
      <w:tr w:rsidR="003309FA" w:rsidTr="003309FA">
        <w:trPr>
          <w:trHeight w:hRule="exact" w:val="567"/>
        </w:trPr>
        <w:tc>
          <w:tcPr>
            <w:tcW w:w="4009" w:type="dxa"/>
            <w:vAlign w:val="center"/>
          </w:tcPr>
          <w:p w:rsidR="003309FA" w:rsidRDefault="003309F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申万菱信基金</w:t>
            </w:r>
          </w:p>
        </w:tc>
        <w:tc>
          <w:tcPr>
            <w:tcW w:w="4111" w:type="dxa"/>
            <w:vAlign w:val="center"/>
          </w:tcPr>
          <w:p w:rsidR="003309FA" w:rsidRDefault="003309F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浙江致宸投资</w:t>
            </w:r>
          </w:p>
        </w:tc>
      </w:tr>
      <w:tr w:rsidR="003309FA" w:rsidTr="003309FA">
        <w:trPr>
          <w:trHeight w:hRule="exact" w:val="567"/>
        </w:trPr>
        <w:tc>
          <w:tcPr>
            <w:tcW w:w="4009" w:type="dxa"/>
            <w:vAlign w:val="center"/>
          </w:tcPr>
          <w:p w:rsidR="003309FA" w:rsidRDefault="003309F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东方证券自营</w:t>
            </w:r>
          </w:p>
        </w:tc>
        <w:tc>
          <w:tcPr>
            <w:tcW w:w="4111" w:type="dxa"/>
            <w:vAlign w:val="center"/>
          </w:tcPr>
          <w:p w:rsidR="003309FA" w:rsidRDefault="003309F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上海递归资产</w:t>
            </w:r>
          </w:p>
        </w:tc>
      </w:tr>
      <w:tr w:rsidR="003309FA" w:rsidTr="003309FA">
        <w:trPr>
          <w:trHeight w:hRule="exact" w:val="567"/>
        </w:trPr>
        <w:tc>
          <w:tcPr>
            <w:tcW w:w="4009" w:type="dxa"/>
            <w:vAlign w:val="center"/>
          </w:tcPr>
          <w:p w:rsidR="003309FA" w:rsidRDefault="003309F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华泰资管</w:t>
            </w:r>
          </w:p>
        </w:tc>
        <w:tc>
          <w:tcPr>
            <w:tcW w:w="4111" w:type="dxa"/>
            <w:vAlign w:val="center"/>
          </w:tcPr>
          <w:p w:rsidR="003309FA" w:rsidRDefault="003309F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天风证券</w:t>
            </w:r>
          </w:p>
        </w:tc>
      </w:tr>
      <w:tr w:rsidR="003309FA" w:rsidTr="003309FA">
        <w:trPr>
          <w:trHeight w:hRule="exact" w:val="567"/>
        </w:trPr>
        <w:tc>
          <w:tcPr>
            <w:tcW w:w="4009" w:type="dxa"/>
            <w:vAlign w:val="center"/>
          </w:tcPr>
          <w:p w:rsidR="003309FA" w:rsidRDefault="003309F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甬兴证券自营</w:t>
            </w:r>
          </w:p>
        </w:tc>
        <w:tc>
          <w:tcPr>
            <w:tcW w:w="4111" w:type="dxa"/>
            <w:vAlign w:val="center"/>
          </w:tcPr>
          <w:p w:rsidR="003309FA" w:rsidRDefault="003309F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申万宏源证券</w:t>
            </w:r>
          </w:p>
        </w:tc>
      </w:tr>
      <w:tr w:rsidR="003309FA" w:rsidTr="003309FA">
        <w:trPr>
          <w:trHeight w:hRule="exact" w:val="567"/>
        </w:trPr>
        <w:tc>
          <w:tcPr>
            <w:tcW w:w="4009" w:type="dxa"/>
            <w:vAlign w:val="center"/>
          </w:tcPr>
          <w:p w:rsidR="003309FA" w:rsidRDefault="003309F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申万菱信基金</w:t>
            </w:r>
          </w:p>
        </w:tc>
        <w:tc>
          <w:tcPr>
            <w:tcW w:w="4111" w:type="dxa"/>
            <w:vAlign w:val="center"/>
          </w:tcPr>
          <w:p w:rsidR="003309FA" w:rsidRDefault="003309F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国海证券</w:t>
            </w:r>
          </w:p>
        </w:tc>
      </w:tr>
      <w:tr w:rsidR="003309FA" w:rsidTr="003309FA">
        <w:trPr>
          <w:trHeight w:hRule="exact" w:val="567"/>
        </w:trPr>
        <w:tc>
          <w:tcPr>
            <w:tcW w:w="4009" w:type="dxa"/>
            <w:vAlign w:val="center"/>
          </w:tcPr>
          <w:p w:rsidR="003309FA" w:rsidRDefault="003309F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方正证券</w:t>
            </w:r>
          </w:p>
        </w:tc>
        <w:tc>
          <w:tcPr>
            <w:tcW w:w="4111" w:type="dxa"/>
            <w:vAlign w:val="center"/>
          </w:tcPr>
          <w:p w:rsidR="003309FA" w:rsidRDefault="003309F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西部证券</w:t>
            </w:r>
          </w:p>
        </w:tc>
      </w:tr>
      <w:tr w:rsidR="003309FA" w:rsidTr="003309FA">
        <w:trPr>
          <w:trHeight w:hRule="exact" w:val="567"/>
        </w:trPr>
        <w:tc>
          <w:tcPr>
            <w:tcW w:w="4009" w:type="dxa"/>
            <w:vAlign w:val="center"/>
          </w:tcPr>
          <w:p w:rsidR="003309FA" w:rsidRDefault="003309F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建信基金</w:t>
            </w:r>
          </w:p>
        </w:tc>
        <w:tc>
          <w:tcPr>
            <w:tcW w:w="4111" w:type="dxa"/>
            <w:vAlign w:val="center"/>
          </w:tcPr>
          <w:p w:rsidR="003309FA" w:rsidRDefault="003309F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东方财富证券</w:t>
            </w:r>
          </w:p>
        </w:tc>
      </w:tr>
      <w:tr w:rsidR="003309FA" w:rsidTr="003309FA">
        <w:trPr>
          <w:trHeight w:hRule="exact" w:val="567"/>
        </w:trPr>
        <w:tc>
          <w:tcPr>
            <w:tcW w:w="4009" w:type="dxa"/>
            <w:vAlign w:val="center"/>
          </w:tcPr>
          <w:p w:rsidR="003309FA" w:rsidRDefault="003309F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广发基金</w:t>
            </w:r>
          </w:p>
        </w:tc>
        <w:tc>
          <w:tcPr>
            <w:tcW w:w="4111" w:type="dxa"/>
            <w:vAlign w:val="center"/>
          </w:tcPr>
          <w:p w:rsidR="003309FA" w:rsidRDefault="003309F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广东昆辰基金</w:t>
            </w:r>
          </w:p>
        </w:tc>
      </w:tr>
      <w:tr w:rsidR="003309FA" w:rsidTr="003309FA">
        <w:trPr>
          <w:trHeight w:hRule="exact" w:val="567"/>
        </w:trPr>
        <w:tc>
          <w:tcPr>
            <w:tcW w:w="4009" w:type="dxa"/>
            <w:vAlign w:val="center"/>
          </w:tcPr>
          <w:p w:rsidR="003309FA" w:rsidRDefault="003309F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华福证券</w:t>
            </w:r>
          </w:p>
        </w:tc>
        <w:tc>
          <w:tcPr>
            <w:tcW w:w="4111" w:type="dxa"/>
            <w:vAlign w:val="center"/>
          </w:tcPr>
          <w:p w:rsidR="003309FA" w:rsidRDefault="003309FA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华美投资</w:t>
            </w:r>
          </w:p>
        </w:tc>
      </w:tr>
    </w:tbl>
    <w:p w:rsidR="00EF0931" w:rsidRPr="0042655D" w:rsidRDefault="00EF0931" w:rsidP="00EF0931">
      <w:pPr>
        <w:rPr>
          <w:rFonts w:ascii="微软雅黑" w:eastAsia="微软雅黑" w:hAnsi="微软雅黑"/>
        </w:rPr>
      </w:pPr>
    </w:p>
    <w:p w:rsidR="00242781" w:rsidRDefault="00242781"/>
    <w:sectPr w:rsidR="00242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gdings 2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000"/>
    <w:multiLevelType w:val="hybridMultilevel"/>
    <w:tmpl w:val="868E91C2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>
    <w:nsid w:val="0C9842E6"/>
    <w:multiLevelType w:val="hybridMultilevel"/>
    <w:tmpl w:val="9B0A3A08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>
    <w:nsid w:val="4A7F2F44"/>
    <w:multiLevelType w:val="hybridMultilevel"/>
    <w:tmpl w:val="E2F221DE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>
    <w:nsid w:val="6DA51199"/>
    <w:multiLevelType w:val="hybridMultilevel"/>
    <w:tmpl w:val="E4F63CE4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>
    <w:nsid w:val="726D0002"/>
    <w:multiLevelType w:val="hybridMultilevel"/>
    <w:tmpl w:val="F9CC9410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>
    <w:nsid w:val="7BD90D56"/>
    <w:multiLevelType w:val="hybridMultilevel"/>
    <w:tmpl w:val="BB86804C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>
    <w:nsid w:val="7C870CD6"/>
    <w:multiLevelType w:val="hybridMultilevel"/>
    <w:tmpl w:val="43D4A9BC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A5"/>
    <w:rsid w:val="00042A26"/>
    <w:rsid w:val="00061CBE"/>
    <w:rsid w:val="000B28FA"/>
    <w:rsid w:val="000F5033"/>
    <w:rsid w:val="00102D5F"/>
    <w:rsid w:val="001562F3"/>
    <w:rsid w:val="00167939"/>
    <w:rsid w:val="001F201C"/>
    <w:rsid w:val="001F45FE"/>
    <w:rsid w:val="00211AF2"/>
    <w:rsid w:val="00242781"/>
    <w:rsid w:val="00252677"/>
    <w:rsid w:val="003309FA"/>
    <w:rsid w:val="00357C0B"/>
    <w:rsid w:val="00397405"/>
    <w:rsid w:val="003B0A90"/>
    <w:rsid w:val="004D3551"/>
    <w:rsid w:val="004E091C"/>
    <w:rsid w:val="005050A9"/>
    <w:rsid w:val="00512287"/>
    <w:rsid w:val="00580E91"/>
    <w:rsid w:val="005E0840"/>
    <w:rsid w:val="006020B9"/>
    <w:rsid w:val="00640F9E"/>
    <w:rsid w:val="00656474"/>
    <w:rsid w:val="006A0336"/>
    <w:rsid w:val="006D77C6"/>
    <w:rsid w:val="006E4A01"/>
    <w:rsid w:val="0070485D"/>
    <w:rsid w:val="00747D49"/>
    <w:rsid w:val="007763A5"/>
    <w:rsid w:val="00783232"/>
    <w:rsid w:val="007C1541"/>
    <w:rsid w:val="007D14DC"/>
    <w:rsid w:val="00813E34"/>
    <w:rsid w:val="0081401B"/>
    <w:rsid w:val="008C18C3"/>
    <w:rsid w:val="008E3D40"/>
    <w:rsid w:val="00900FDE"/>
    <w:rsid w:val="00924701"/>
    <w:rsid w:val="0099790E"/>
    <w:rsid w:val="009A4F41"/>
    <w:rsid w:val="009E4EC6"/>
    <w:rsid w:val="009F1597"/>
    <w:rsid w:val="009F6986"/>
    <w:rsid w:val="00A25FDA"/>
    <w:rsid w:val="00A545A5"/>
    <w:rsid w:val="00A93B10"/>
    <w:rsid w:val="00AE7234"/>
    <w:rsid w:val="00AF43CE"/>
    <w:rsid w:val="00B11817"/>
    <w:rsid w:val="00B42E9F"/>
    <w:rsid w:val="00B75417"/>
    <w:rsid w:val="00BA4E54"/>
    <w:rsid w:val="00C523CC"/>
    <w:rsid w:val="00C757F1"/>
    <w:rsid w:val="00CA53C4"/>
    <w:rsid w:val="00CC5B43"/>
    <w:rsid w:val="00CF2EAA"/>
    <w:rsid w:val="00D84D68"/>
    <w:rsid w:val="00DD172C"/>
    <w:rsid w:val="00DF0932"/>
    <w:rsid w:val="00E566D0"/>
    <w:rsid w:val="00E95080"/>
    <w:rsid w:val="00ED242B"/>
    <w:rsid w:val="00ED35FC"/>
    <w:rsid w:val="00EF0931"/>
    <w:rsid w:val="00F63947"/>
    <w:rsid w:val="00F97F9F"/>
    <w:rsid w:val="00FB0C2A"/>
    <w:rsid w:val="00FE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31"/>
    <w:pPr>
      <w:widowControl w:val="0"/>
      <w:jc w:val="both"/>
    </w:pPr>
  </w:style>
  <w:style w:type="paragraph" w:styleId="1">
    <w:name w:val="heading 1"/>
    <w:basedOn w:val="a"/>
    <w:link w:val="1Char"/>
    <w:uiPriority w:val="1"/>
    <w:qFormat/>
    <w:rsid w:val="00EF0931"/>
    <w:pPr>
      <w:spacing w:before="192"/>
      <w:ind w:left="700"/>
      <w:jc w:val="left"/>
      <w:outlineLvl w:val="0"/>
    </w:pPr>
    <w:rPr>
      <w:rFonts w:ascii="宋体" w:eastAsia="宋体" w:hAnsi="宋体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EF0931"/>
    <w:rPr>
      <w:rFonts w:ascii="宋体" w:eastAsia="宋体" w:hAnsi="宋体"/>
      <w:b/>
      <w:bCs/>
      <w:kern w:val="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EF0931"/>
    <w:pPr>
      <w:ind w:firstLineChars="200" w:firstLine="420"/>
    </w:pPr>
  </w:style>
  <w:style w:type="table" w:styleId="a4">
    <w:name w:val="Table Grid"/>
    <w:basedOn w:val="a1"/>
    <w:uiPriority w:val="39"/>
    <w:rsid w:val="00EF0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093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F0931"/>
    <w:pPr>
      <w:jc w:val="left"/>
    </w:pPr>
    <w:rPr>
      <w:kern w:val="0"/>
      <w:sz w:val="22"/>
      <w:lang w:eastAsia="en-US"/>
    </w:rPr>
  </w:style>
  <w:style w:type="paragraph" w:styleId="a5">
    <w:name w:val="Body Text"/>
    <w:basedOn w:val="a"/>
    <w:link w:val="Char"/>
    <w:uiPriority w:val="1"/>
    <w:qFormat/>
    <w:rsid w:val="00EF0931"/>
    <w:pPr>
      <w:ind w:left="220" w:firstLine="480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character" w:customStyle="1" w:styleId="Char">
    <w:name w:val="正文文本 Char"/>
    <w:basedOn w:val="a0"/>
    <w:link w:val="a5"/>
    <w:uiPriority w:val="1"/>
    <w:rsid w:val="00EF0931"/>
    <w:rPr>
      <w:rFonts w:ascii="宋体" w:eastAsia="宋体" w:hAnsi="宋体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F093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DF0932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DF09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31"/>
    <w:pPr>
      <w:widowControl w:val="0"/>
      <w:jc w:val="both"/>
    </w:pPr>
  </w:style>
  <w:style w:type="paragraph" w:styleId="1">
    <w:name w:val="heading 1"/>
    <w:basedOn w:val="a"/>
    <w:link w:val="1Char"/>
    <w:uiPriority w:val="1"/>
    <w:qFormat/>
    <w:rsid w:val="00EF0931"/>
    <w:pPr>
      <w:spacing w:before="192"/>
      <w:ind w:left="700"/>
      <w:jc w:val="left"/>
      <w:outlineLvl w:val="0"/>
    </w:pPr>
    <w:rPr>
      <w:rFonts w:ascii="宋体" w:eastAsia="宋体" w:hAnsi="宋体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EF0931"/>
    <w:rPr>
      <w:rFonts w:ascii="宋体" w:eastAsia="宋体" w:hAnsi="宋体"/>
      <w:b/>
      <w:bCs/>
      <w:kern w:val="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EF0931"/>
    <w:pPr>
      <w:ind w:firstLineChars="200" w:firstLine="420"/>
    </w:pPr>
  </w:style>
  <w:style w:type="table" w:styleId="a4">
    <w:name w:val="Table Grid"/>
    <w:basedOn w:val="a1"/>
    <w:uiPriority w:val="39"/>
    <w:rsid w:val="00EF0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093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F0931"/>
    <w:pPr>
      <w:jc w:val="left"/>
    </w:pPr>
    <w:rPr>
      <w:kern w:val="0"/>
      <w:sz w:val="22"/>
      <w:lang w:eastAsia="en-US"/>
    </w:rPr>
  </w:style>
  <w:style w:type="paragraph" w:styleId="a5">
    <w:name w:val="Body Text"/>
    <w:basedOn w:val="a"/>
    <w:link w:val="Char"/>
    <w:uiPriority w:val="1"/>
    <w:qFormat/>
    <w:rsid w:val="00EF0931"/>
    <w:pPr>
      <w:ind w:left="220" w:firstLine="480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character" w:customStyle="1" w:styleId="Char">
    <w:name w:val="正文文本 Char"/>
    <w:basedOn w:val="a0"/>
    <w:link w:val="a5"/>
    <w:uiPriority w:val="1"/>
    <w:rsid w:val="00EF0931"/>
    <w:rPr>
      <w:rFonts w:ascii="宋体" w:eastAsia="宋体" w:hAnsi="宋体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F093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DF0932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DF09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335</Words>
  <Characters>1914</Characters>
  <Application>Microsoft Office Word</Application>
  <DocSecurity>0</DocSecurity>
  <Lines>15</Lines>
  <Paragraphs>4</Paragraphs>
  <ScaleCrop>false</ScaleCrop>
  <Company>Microsoft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cd</cp:lastModifiedBy>
  <cp:revision>66</cp:revision>
  <cp:lastPrinted>2024-01-08T11:10:00Z</cp:lastPrinted>
  <dcterms:created xsi:type="dcterms:W3CDTF">2024-01-08T04:03:00Z</dcterms:created>
  <dcterms:modified xsi:type="dcterms:W3CDTF">2024-01-08T12:03:00Z</dcterms:modified>
</cp:coreProperties>
</file>