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76A5" w14:textId="77777777" w:rsidR="00110B1D" w:rsidRPr="009E7B2A" w:rsidRDefault="00110B1D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9E7B2A">
        <w:rPr>
          <w:rFonts w:ascii="宋体" w:eastAsia="宋体" w:hAnsi="宋体" w:cs="宋体" w:hint="eastAsia"/>
          <w:b/>
          <w:bCs/>
          <w:sz w:val="36"/>
          <w:szCs w:val="36"/>
        </w:rPr>
        <w:t>宁波美诺华药业</w:t>
      </w:r>
      <w:r w:rsidR="00FF6EAF" w:rsidRPr="009E7B2A">
        <w:rPr>
          <w:rFonts w:ascii="宋体" w:eastAsia="宋体" w:hAnsi="宋体" w:cs="宋体" w:hint="eastAsia"/>
          <w:b/>
          <w:bCs/>
          <w:sz w:val="36"/>
          <w:szCs w:val="36"/>
        </w:rPr>
        <w:t>股份有限公司</w:t>
      </w:r>
    </w:p>
    <w:p w14:paraId="7262E645" w14:textId="170D887D" w:rsidR="0031346F" w:rsidRPr="009E7B2A" w:rsidRDefault="00FF6EAF">
      <w:pPr>
        <w:spacing w:line="360" w:lineRule="auto"/>
        <w:jc w:val="center"/>
        <w:rPr>
          <w:rFonts w:ascii="宋体" w:eastAsia="宋体" w:hAnsi="宋体" w:cs="宋体"/>
          <w:sz w:val="36"/>
          <w:szCs w:val="36"/>
        </w:rPr>
      </w:pPr>
      <w:r w:rsidRPr="009E7B2A">
        <w:rPr>
          <w:rFonts w:ascii="宋体" w:eastAsia="宋体" w:hAnsi="宋体" w:cs="宋体" w:hint="eastAsia"/>
          <w:b/>
          <w:bCs/>
          <w:sz w:val="36"/>
          <w:szCs w:val="36"/>
        </w:rPr>
        <w:t>投资者关系活动记录表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6148"/>
      </w:tblGrid>
      <w:tr w:rsidR="009E7B2A" w:rsidRPr="009E7B2A" w14:paraId="1233867C" w14:textId="77777777" w:rsidTr="00E84A45">
        <w:trPr>
          <w:trHeight w:val="2801"/>
          <w:jc w:val="center"/>
        </w:trPr>
        <w:tc>
          <w:tcPr>
            <w:tcW w:w="2377" w:type="dxa"/>
            <w:vAlign w:val="center"/>
          </w:tcPr>
          <w:p w14:paraId="57E1CEF3" w14:textId="77777777" w:rsidR="0031346F" w:rsidRPr="009E7B2A" w:rsidRDefault="0031346F">
            <w:pPr>
              <w:pStyle w:val="TableParagraph"/>
              <w:spacing w:before="7"/>
              <w:rPr>
                <w:rFonts w:ascii="宋体" w:eastAsia="宋体" w:hAnsi="宋体" w:cs="宋体"/>
                <w:sz w:val="18"/>
              </w:rPr>
            </w:pPr>
          </w:p>
          <w:p w14:paraId="0CCD1FBD" w14:textId="77777777" w:rsidR="0031346F" w:rsidRPr="009E7B2A" w:rsidRDefault="00FF6EAF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sz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</w:rPr>
              <w:t>投资者关系活动类别</w:t>
            </w:r>
          </w:p>
        </w:tc>
        <w:tc>
          <w:tcPr>
            <w:tcW w:w="6148" w:type="dxa"/>
            <w:vAlign w:val="center"/>
          </w:tcPr>
          <w:p w14:paraId="344758DF" w14:textId="77777777" w:rsidR="0031346F" w:rsidRPr="009E7B2A" w:rsidRDefault="0031346F">
            <w:pPr>
              <w:pStyle w:val="TableParagraph"/>
              <w:spacing w:before="7"/>
              <w:rPr>
                <w:rFonts w:ascii="宋体" w:eastAsia="宋体" w:hAnsi="宋体" w:cs="宋体"/>
                <w:sz w:val="18"/>
              </w:rPr>
            </w:pPr>
          </w:p>
          <w:p w14:paraId="30293A3B" w14:textId="597FA1F2" w:rsidR="0031346F" w:rsidRPr="009E7B2A" w:rsidRDefault="00110B1D">
            <w:pPr>
              <w:pStyle w:val="TableParagraph"/>
              <w:tabs>
                <w:tab w:val="left" w:pos="2418"/>
              </w:tabs>
              <w:spacing w:before="1"/>
              <w:ind w:left="107"/>
              <w:rPr>
                <w:rFonts w:ascii="宋体" w:eastAsia="宋体" w:hAnsi="宋体" w:cs="宋体"/>
                <w:sz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</w:rPr>
              <w:t>√</w:t>
            </w:r>
            <w:r w:rsidR="00FF6EAF" w:rsidRPr="009E7B2A">
              <w:rPr>
                <w:rFonts w:ascii="宋体" w:eastAsia="宋体" w:hAnsi="宋体" w:cs="宋体" w:hint="eastAsia"/>
                <w:sz w:val="21"/>
              </w:rPr>
              <w:t>特</w:t>
            </w:r>
            <w:r w:rsidR="00FF6EAF" w:rsidRPr="009E7B2A">
              <w:rPr>
                <w:rFonts w:ascii="宋体" w:eastAsia="宋体" w:hAnsi="宋体" w:cs="宋体" w:hint="eastAsia"/>
                <w:spacing w:val="-3"/>
                <w:sz w:val="21"/>
              </w:rPr>
              <w:t>定</w:t>
            </w:r>
            <w:r w:rsidR="00FF6EAF" w:rsidRPr="009E7B2A">
              <w:rPr>
                <w:rFonts w:ascii="宋体" w:eastAsia="宋体" w:hAnsi="宋体" w:cs="宋体" w:hint="eastAsia"/>
                <w:sz w:val="21"/>
              </w:rPr>
              <w:t>对</w:t>
            </w:r>
            <w:r w:rsidR="00FF6EAF" w:rsidRPr="009E7B2A">
              <w:rPr>
                <w:rFonts w:ascii="宋体" w:eastAsia="宋体" w:hAnsi="宋体" w:cs="宋体" w:hint="eastAsia"/>
                <w:spacing w:val="-3"/>
                <w:sz w:val="21"/>
              </w:rPr>
              <w:t>象</w:t>
            </w:r>
            <w:r w:rsidR="00FF6EAF" w:rsidRPr="009E7B2A">
              <w:rPr>
                <w:rFonts w:ascii="宋体" w:eastAsia="宋体" w:hAnsi="宋体" w:cs="宋体" w:hint="eastAsia"/>
                <w:sz w:val="21"/>
              </w:rPr>
              <w:t>调研</w:t>
            </w:r>
            <w:r w:rsidR="00FF6EAF" w:rsidRPr="009E7B2A">
              <w:rPr>
                <w:rFonts w:ascii="宋体" w:eastAsia="宋体" w:hAnsi="宋体" w:cs="宋体" w:hint="eastAsia"/>
                <w:sz w:val="21"/>
              </w:rPr>
              <w:tab/>
              <w:t>□分</w:t>
            </w:r>
            <w:r w:rsidR="00FF6EAF" w:rsidRPr="009E7B2A">
              <w:rPr>
                <w:rFonts w:ascii="宋体" w:eastAsia="宋体" w:hAnsi="宋体" w:cs="宋体" w:hint="eastAsia"/>
                <w:spacing w:val="-3"/>
                <w:sz w:val="21"/>
              </w:rPr>
              <w:t>析</w:t>
            </w:r>
            <w:r w:rsidR="00FF6EAF" w:rsidRPr="009E7B2A">
              <w:rPr>
                <w:rFonts w:ascii="宋体" w:eastAsia="宋体" w:hAnsi="宋体" w:cs="宋体" w:hint="eastAsia"/>
                <w:sz w:val="21"/>
              </w:rPr>
              <w:t>师</w:t>
            </w:r>
            <w:r w:rsidR="00FF6EAF" w:rsidRPr="009E7B2A">
              <w:rPr>
                <w:rFonts w:ascii="宋体" w:eastAsia="宋体" w:hAnsi="宋体" w:cs="宋体" w:hint="eastAsia"/>
                <w:spacing w:val="-3"/>
                <w:sz w:val="21"/>
              </w:rPr>
              <w:t>会</w:t>
            </w:r>
            <w:r w:rsidR="00FF6EAF" w:rsidRPr="009E7B2A">
              <w:rPr>
                <w:rFonts w:ascii="宋体" w:eastAsia="宋体" w:hAnsi="宋体" w:cs="宋体" w:hint="eastAsia"/>
                <w:sz w:val="21"/>
              </w:rPr>
              <w:t>议</w:t>
            </w:r>
          </w:p>
          <w:p w14:paraId="38ABAD65" w14:textId="77777777" w:rsidR="0031346F" w:rsidRPr="009E7B2A" w:rsidRDefault="0031346F">
            <w:pPr>
              <w:pStyle w:val="TableParagraph"/>
              <w:spacing w:before="11"/>
              <w:rPr>
                <w:rFonts w:ascii="宋体" w:eastAsia="宋体" w:hAnsi="宋体" w:cs="宋体"/>
              </w:rPr>
            </w:pPr>
          </w:p>
          <w:p w14:paraId="2D27CBDE" w14:textId="77777777" w:rsidR="0031346F" w:rsidRPr="009E7B2A" w:rsidRDefault="00FF6EAF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</w:rPr>
              <w:t>□媒</w:t>
            </w:r>
            <w:r w:rsidRPr="009E7B2A">
              <w:rPr>
                <w:rFonts w:ascii="宋体" w:eastAsia="宋体" w:hAnsi="宋体" w:cs="宋体" w:hint="eastAsia"/>
                <w:spacing w:val="-3"/>
                <w:sz w:val="21"/>
              </w:rPr>
              <w:t>体</w:t>
            </w:r>
            <w:r w:rsidRPr="009E7B2A">
              <w:rPr>
                <w:rFonts w:ascii="宋体" w:eastAsia="宋体" w:hAnsi="宋体" w:cs="宋体" w:hint="eastAsia"/>
                <w:sz w:val="21"/>
              </w:rPr>
              <w:t>采访</w:t>
            </w:r>
            <w:r w:rsidRPr="009E7B2A">
              <w:rPr>
                <w:rFonts w:ascii="宋体" w:eastAsia="宋体" w:hAnsi="宋体" w:cs="宋体" w:hint="eastAsia"/>
                <w:sz w:val="21"/>
              </w:rPr>
              <w:tab/>
              <w:t>□业</w:t>
            </w:r>
            <w:r w:rsidRPr="009E7B2A">
              <w:rPr>
                <w:rFonts w:ascii="宋体" w:eastAsia="宋体" w:hAnsi="宋体" w:cs="宋体" w:hint="eastAsia"/>
                <w:spacing w:val="-3"/>
                <w:sz w:val="21"/>
              </w:rPr>
              <w:t>绩</w:t>
            </w:r>
            <w:r w:rsidRPr="009E7B2A">
              <w:rPr>
                <w:rFonts w:ascii="宋体" w:eastAsia="宋体" w:hAnsi="宋体" w:cs="宋体" w:hint="eastAsia"/>
                <w:sz w:val="21"/>
              </w:rPr>
              <w:t>说</w:t>
            </w:r>
            <w:r w:rsidRPr="009E7B2A">
              <w:rPr>
                <w:rFonts w:ascii="宋体" w:eastAsia="宋体" w:hAnsi="宋体" w:cs="宋体" w:hint="eastAsia"/>
                <w:spacing w:val="-3"/>
                <w:sz w:val="21"/>
              </w:rPr>
              <w:t>明</w:t>
            </w:r>
            <w:r w:rsidRPr="009E7B2A">
              <w:rPr>
                <w:rFonts w:ascii="宋体" w:eastAsia="宋体" w:hAnsi="宋体" w:cs="宋体" w:hint="eastAsia"/>
                <w:sz w:val="21"/>
              </w:rPr>
              <w:t>会</w:t>
            </w:r>
          </w:p>
          <w:p w14:paraId="6AC4C4C2" w14:textId="77777777" w:rsidR="0031346F" w:rsidRPr="009E7B2A" w:rsidRDefault="0031346F">
            <w:pPr>
              <w:pStyle w:val="TableParagraph"/>
              <w:spacing w:before="8"/>
              <w:rPr>
                <w:rFonts w:ascii="宋体" w:eastAsia="宋体" w:hAnsi="宋体" w:cs="宋体"/>
              </w:rPr>
            </w:pPr>
          </w:p>
          <w:p w14:paraId="19BD40C3" w14:textId="77777777" w:rsidR="0031346F" w:rsidRPr="009E7B2A" w:rsidRDefault="00FF6EAF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</w:rPr>
              <w:t>□新</w:t>
            </w:r>
            <w:r w:rsidRPr="009E7B2A">
              <w:rPr>
                <w:rFonts w:ascii="宋体" w:eastAsia="宋体" w:hAnsi="宋体" w:cs="宋体" w:hint="eastAsia"/>
                <w:spacing w:val="-3"/>
                <w:sz w:val="21"/>
              </w:rPr>
              <w:t>闻</w:t>
            </w:r>
            <w:r w:rsidRPr="009E7B2A">
              <w:rPr>
                <w:rFonts w:ascii="宋体" w:eastAsia="宋体" w:hAnsi="宋体" w:cs="宋体" w:hint="eastAsia"/>
                <w:sz w:val="21"/>
              </w:rPr>
              <w:t>发</w:t>
            </w:r>
            <w:r w:rsidRPr="009E7B2A">
              <w:rPr>
                <w:rFonts w:ascii="宋体" w:eastAsia="宋体" w:hAnsi="宋体" w:cs="宋体" w:hint="eastAsia"/>
                <w:spacing w:val="-3"/>
                <w:sz w:val="21"/>
              </w:rPr>
              <w:t>布</w:t>
            </w:r>
            <w:r w:rsidRPr="009E7B2A">
              <w:rPr>
                <w:rFonts w:ascii="宋体" w:eastAsia="宋体" w:hAnsi="宋体" w:cs="宋体" w:hint="eastAsia"/>
                <w:sz w:val="21"/>
              </w:rPr>
              <w:t>会</w:t>
            </w:r>
            <w:r w:rsidRPr="009E7B2A">
              <w:rPr>
                <w:rFonts w:ascii="宋体" w:eastAsia="宋体" w:hAnsi="宋体" w:cs="宋体" w:hint="eastAsia"/>
                <w:sz w:val="21"/>
              </w:rPr>
              <w:tab/>
              <w:t>□路</w:t>
            </w:r>
            <w:r w:rsidRPr="009E7B2A">
              <w:rPr>
                <w:rFonts w:ascii="宋体" w:eastAsia="宋体" w:hAnsi="宋体" w:cs="宋体" w:hint="eastAsia"/>
                <w:spacing w:val="-3"/>
                <w:sz w:val="21"/>
              </w:rPr>
              <w:t>演</w:t>
            </w:r>
            <w:r w:rsidRPr="009E7B2A">
              <w:rPr>
                <w:rFonts w:ascii="宋体" w:eastAsia="宋体" w:hAnsi="宋体" w:cs="宋体" w:hint="eastAsia"/>
                <w:sz w:val="21"/>
              </w:rPr>
              <w:t>活动</w:t>
            </w:r>
          </w:p>
          <w:p w14:paraId="0C6A3D1A" w14:textId="77777777" w:rsidR="0031346F" w:rsidRPr="009E7B2A" w:rsidRDefault="0031346F">
            <w:pPr>
              <w:pStyle w:val="TableParagraph"/>
              <w:spacing w:before="8"/>
              <w:rPr>
                <w:rFonts w:ascii="宋体" w:eastAsia="宋体" w:hAnsi="宋体" w:cs="宋体"/>
              </w:rPr>
            </w:pPr>
          </w:p>
          <w:p w14:paraId="62B6D420" w14:textId="77777777" w:rsidR="0031346F" w:rsidRPr="009E7B2A" w:rsidRDefault="00FF6EAF">
            <w:pPr>
              <w:pStyle w:val="TableParagraph"/>
              <w:ind w:left="107"/>
              <w:rPr>
                <w:rFonts w:ascii="宋体" w:eastAsia="宋体" w:hAnsi="宋体" w:cs="宋体"/>
                <w:sz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</w:rPr>
              <w:t>□现场参观</w:t>
            </w:r>
          </w:p>
          <w:p w14:paraId="1AF4CCFC" w14:textId="77777777" w:rsidR="0031346F" w:rsidRPr="009E7B2A" w:rsidRDefault="0031346F">
            <w:pPr>
              <w:pStyle w:val="TableParagraph"/>
              <w:spacing w:before="11"/>
              <w:rPr>
                <w:rFonts w:ascii="宋体" w:eastAsia="宋体" w:hAnsi="宋体" w:cs="宋体"/>
              </w:rPr>
            </w:pPr>
          </w:p>
          <w:p w14:paraId="3C688E9A" w14:textId="01A9AE5C" w:rsidR="0031346F" w:rsidRPr="009E7B2A" w:rsidRDefault="00DF2EF8" w:rsidP="00DF2EF8">
            <w:pPr>
              <w:pStyle w:val="TableParagraph"/>
              <w:ind w:left="107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□其他</w:t>
            </w:r>
          </w:p>
        </w:tc>
      </w:tr>
      <w:tr w:rsidR="009E7B2A" w:rsidRPr="009E7B2A" w14:paraId="718A1DD3" w14:textId="77777777" w:rsidTr="00CD403F">
        <w:trPr>
          <w:trHeight w:val="1297"/>
          <w:jc w:val="center"/>
        </w:trPr>
        <w:tc>
          <w:tcPr>
            <w:tcW w:w="2377" w:type="dxa"/>
            <w:vAlign w:val="center"/>
          </w:tcPr>
          <w:p w14:paraId="5DBB0309" w14:textId="4AC93783" w:rsidR="0031346F" w:rsidRPr="009E7B2A" w:rsidRDefault="00FF6EAF" w:rsidP="00110B1D">
            <w:pPr>
              <w:pStyle w:val="TableParagraph"/>
              <w:spacing w:line="560" w:lineRule="exact"/>
              <w:ind w:left="107" w:right="96"/>
              <w:rPr>
                <w:rFonts w:ascii="宋体" w:eastAsia="宋体" w:hAnsi="宋体" w:cs="宋体"/>
                <w:sz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</w:rPr>
              <w:t>参与单位名称</w:t>
            </w:r>
          </w:p>
        </w:tc>
        <w:tc>
          <w:tcPr>
            <w:tcW w:w="6148" w:type="dxa"/>
            <w:vAlign w:val="center"/>
          </w:tcPr>
          <w:p w14:paraId="02D7254B" w14:textId="5B2049E1" w:rsidR="00714E15" w:rsidRPr="00714E15" w:rsidRDefault="00714E15" w:rsidP="00714E15">
            <w:pPr>
              <w:pStyle w:val="TableParagraph"/>
              <w:spacing w:line="360" w:lineRule="auto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泰康资产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中海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安信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宁银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理财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泰康基金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惠通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西部证券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proofErr w:type="gramStart"/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工银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瑞信</w:t>
            </w:r>
            <w:proofErr w:type="gramEnd"/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国泰君安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国金证券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proofErr w:type="gramStart"/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磐</w:t>
            </w:r>
            <w:proofErr w:type="gramEnd"/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耀资产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中欧基金</w:t>
            </w:r>
          </w:p>
          <w:p w14:paraId="6A704EC0" w14:textId="2F02D32B" w:rsidR="0031346F" w:rsidRPr="009E7B2A" w:rsidRDefault="00714E15" w:rsidP="00784704">
            <w:pPr>
              <w:pStyle w:val="TableParagraph"/>
              <w:spacing w:line="360" w:lineRule="auto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财通证券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上海证券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proofErr w:type="gramStart"/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甬兴证券</w:t>
            </w:r>
            <w:proofErr w:type="gramEnd"/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太平洋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proofErr w:type="gramStart"/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汇添富</w:t>
            </w:r>
            <w:proofErr w:type="gramEnd"/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东方红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长信基金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光大证券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博时基金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建信基金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广</w:t>
            </w:r>
            <w:proofErr w:type="gramStart"/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发资管</w:t>
            </w:r>
            <w:proofErr w:type="gramEnd"/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融通基金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华安基金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海富通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中泰证券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东吴证券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华创证券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方正证券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兴业证券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莫尼塔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招商证券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光大保德信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华兴资本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中航信托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山西证券自营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东方阿尔法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国泰基金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财通基金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平安证券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东方阿尔法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Pr="00714E15">
              <w:rPr>
                <w:rFonts w:ascii="宋体" w:eastAsia="宋体" w:hAnsi="宋体" w:cs="宋体" w:hint="eastAsia"/>
                <w:sz w:val="21"/>
                <w:szCs w:val="21"/>
              </w:rPr>
              <w:t>华林证券资管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="003878B1">
              <w:rPr>
                <w:rFonts w:ascii="宋体" w:eastAsia="宋体" w:hAnsi="宋体" w:cs="宋体"/>
                <w:sz w:val="21"/>
                <w:szCs w:val="21"/>
              </w:rPr>
              <w:t>杭银理财</w:t>
            </w:r>
            <w:r w:rsidR="00784704">
              <w:rPr>
                <w:rFonts w:ascii="宋体" w:eastAsia="宋体" w:hAnsi="宋体" w:cs="宋体"/>
                <w:sz w:val="21"/>
                <w:szCs w:val="21"/>
              </w:rPr>
              <w:t>、</w:t>
            </w:r>
            <w:r w:rsidR="003878B1">
              <w:rPr>
                <w:rFonts w:ascii="宋体" w:eastAsia="宋体" w:hAnsi="宋体" w:cs="宋体" w:hint="eastAsia"/>
                <w:sz w:val="21"/>
                <w:szCs w:val="21"/>
              </w:rPr>
              <w:t>中信证券</w:t>
            </w:r>
            <w:r w:rsidR="00784704">
              <w:rPr>
                <w:rFonts w:ascii="宋体" w:eastAsia="宋体" w:hAnsi="宋体" w:cs="宋体" w:hint="eastAsia"/>
                <w:sz w:val="21"/>
                <w:szCs w:val="21"/>
              </w:rPr>
              <w:t>、</w:t>
            </w:r>
            <w:r w:rsidR="003878B1">
              <w:rPr>
                <w:rFonts w:ascii="宋体" w:eastAsia="宋体" w:hAnsi="宋体" w:cs="宋体"/>
                <w:sz w:val="21"/>
                <w:szCs w:val="21"/>
              </w:rPr>
              <w:t>易方达基金</w:t>
            </w:r>
            <w:r w:rsidR="00784704">
              <w:rPr>
                <w:rFonts w:ascii="宋体" w:eastAsia="宋体" w:hAnsi="宋体" w:cs="宋体"/>
                <w:sz w:val="21"/>
                <w:szCs w:val="21"/>
              </w:rPr>
              <w:t>、</w:t>
            </w:r>
            <w:r w:rsidR="003878B1">
              <w:rPr>
                <w:rFonts w:ascii="宋体" w:eastAsia="宋体" w:hAnsi="宋体" w:cs="宋体"/>
                <w:sz w:val="21"/>
                <w:szCs w:val="21"/>
              </w:rPr>
              <w:t>苏泊尔集团</w:t>
            </w:r>
            <w:r w:rsidR="00784704">
              <w:rPr>
                <w:rFonts w:ascii="宋体" w:eastAsia="宋体" w:hAnsi="宋体" w:cs="宋体"/>
                <w:sz w:val="21"/>
                <w:szCs w:val="21"/>
              </w:rPr>
              <w:t>、</w:t>
            </w:r>
            <w:r w:rsidR="003878B1">
              <w:rPr>
                <w:rFonts w:ascii="宋体" w:eastAsia="宋体" w:hAnsi="宋体" w:cs="宋体"/>
                <w:sz w:val="21"/>
                <w:szCs w:val="21"/>
              </w:rPr>
              <w:t>华林证券</w:t>
            </w:r>
          </w:p>
        </w:tc>
      </w:tr>
      <w:tr w:rsidR="009E7B2A" w:rsidRPr="009E7B2A" w14:paraId="4FCFBF04" w14:textId="77777777" w:rsidTr="00E84A45">
        <w:trPr>
          <w:trHeight w:val="558"/>
          <w:jc w:val="center"/>
        </w:trPr>
        <w:tc>
          <w:tcPr>
            <w:tcW w:w="2377" w:type="dxa"/>
            <w:vAlign w:val="center"/>
          </w:tcPr>
          <w:p w14:paraId="55D3FACB" w14:textId="77777777" w:rsidR="0031346F" w:rsidRPr="009E7B2A" w:rsidRDefault="00FF6EAF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sz w:val="21"/>
                <w:szCs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6148" w:type="dxa"/>
            <w:vAlign w:val="center"/>
          </w:tcPr>
          <w:p w14:paraId="40491C4E" w14:textId="1F7C0197" w:rsidR="0031346F" w:rsidRPr="009E7B2A" w:rsidRDefault="00110B1D" w:rsidP="009E21EA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202</w:t>
            </w:r>
            <w:r w:rsidR="009E21EA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="009E21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="009E21EA"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9E7B2A" w:rsidRPr="009E7B2A" w14:paraId="7D7A49EB" w14:textId="77777777" w:rsidTr="00E84A45">
        <w:trPr>
          <w:trHeight w:val="561"/>
          <w:jc w:val="center"/>
        </w:trPr>
        <w:tc>
          <w:tcPr>
            <w:tcW w:w="2377" w:type="dxa"/>
            <w:vAlign w:val="center"/>
          </w:tcPr>
          <w:p w14:paraId="7A719E4D" w14:textId="657550EE" w:rsidR="0031346F" w:rsidRPr="009E7B2A" w:rsidRDefault="00110B1D">
            <w:pPr>
              <w:pStyle w:val="TableParagraph"/>
              <w:ind w:left="107"/>
              <w:rPr>
                <w:rFonts w:ascii="宋体" w:eastAsia="宋体" w:hAnsi="宋体" w:cs="宋体"/>
                <w:sz w:val="21"/>
                <w:szCs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地</w:t>
            </w:r>
            <w:r w:rsidR="00FF6EAF" w:rsidRPr="009E7B2A">
              <w:rPr>
                <w:rFonts w:ascii="宋体" w:eastAsia="宋体" w:hAnsi="宋体" w:cs="宋体" w:hint="eastAsia"/>
                <w:sz w:val="21"/>
                <w:szCs w:val="21"/>
              </w:rPr>
              <w:t>点</w:t>
            </w: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、形式</w:t>
            </w:r>
          </w:p>
        </w:tc>
        <w:tc>
          <w:tcPr>
            <w:tcW w:w="6148" w:type="dxa"/>
            <w:vAlign w:val="center"/>
          </w:tcPr>
          <w:p w14:paraId="73D2EA7A" w14:textId="11A5A438" w:rsidR="0031346F" w:rsidRPr="009E7B2A" w:rsidRDefault="00784704" w:rsidP="00784704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宁波美诺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华天康药业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有限公司，</w:t>
            </w:r>
            <w:r w:rsidR="00E24A8A">
              <w:rPr>
                <w:rFonts w:ascii="宋体" w:eastAsia="宋体" w:hAnsi="宋体" w:cs="宋体"/>
                <w:sz w:val="21"/>
                <w:szCs w:val="21"/>
              </w:rPr>
              <w:t>投资者交流会</w:t>
            </w:r>
          </w:p>
        </w:tc>
      </w:tr>
      <w:tr w:rsidR="009E7B2A" w:rsidRPr="009E7B2A" w14:paraId="25730F3D" w14:textId="77777777" w:rsidTr="00F42864">
        <w:trPr>
          <w:trHeight w:val="824"/>
          <w:jc w:val="center"/>
        </w:trPr>
        <w:tc>
          <w:tcPr>
            <w:tcW w:w="2377" w:type="dxa"/>
            <w:vAlign w:val="center"/>
          </w:tcPr>
          <w:p w14:paraId="69A78EE7" w14:textId="77777777" w:rsidR="0031346F" w:rsidRPr="009E7B2A" w:rsidRDefault="00FF6EAF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sz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</w:rPr>
              <w:t>上市公司接待人员姓名</w:t>
            </w:r>
          </w:p>
        </w:tc>
        <w:tc>
          <w:tcPr>
            <w:tcW w:w="6148" w:type="dxa"/>
            <w:vAlign w:val="center"/>
          </w:tcPr>
          <w:p w14:paraId="5C22285B" w14:textId="0FCF7C3C" w:rsidR="00FE0730" w:rsidRPr="009E7B2A" w:rsidRDefault="00967660" w:rsidP="000B3A2C">
            <w:pPr>
              <w:pStyle w:val="TableParagraph"/>
              <w:rPr>
                <w:rFonts w:ascii="宋体" w:eastAsia="宋体" w:hAnsi="宋体" w:cs="宋体"/>
                <w:sz w:val="21"/>
                <w:szCs w:val="21"/>
                <w:lang w:val="en-US"/>
              </w:rPr>
            </w:pPr>
            <w:r w:rsidRPr="009E7B2A"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董事长：姚成志</w:t>
            </w:r>
            <w:r w:rsidR="00165BF0" w:rsidRPr="009E7B2A"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，</w:t>
            </w:r>
            <w:r w:rsidR="00D54DA9" w:rsidRPr="009E7B2A"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董事会秘书</w:t>
            </w:r>
            <w:r w:rsidR="00D54DA9" w:rsidRPr="000B3A2C"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：应高峰</w:t>
            </w:r>
            <w:r w:rsidR="000B3A2C" w:rsidRPr="000B3A2C"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，</w:t>
            </w:r>
            <w:r w:rsidR="009E21EA" w:rsidRPr="000B3A2C"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制剂负责人：王飞云</w:t>
            </w:r>
          </w:p>
        </w:tc>
      </w:tr>
      <w:tr w:rsidR="009E7B2A" w:rsidRPr="009E7B2A" w14:paraId="74B6F805" w14:textId="77777777" w:rsidTr="00E84A45">
        <w:trPr>
          <w:trHeight w:val="2800"/>
          <w:jc w:val="center"/>
        </w:trPr>
        <w:tc>
          <w:tcPr>
            <w:tcW w:w="2377" w:type="dxa"/>
            <w:vAlign w:val="center"/>
          </w:tcPr>
          <w:p w14:paraId="29E3D84A" w14:textId="77777777" w:rsidR="003B6913" w:rsidRPr="009E7B2A" w:rsidRDefault="00FF6EAF">
            <w:pPr>
              <w:pStyle w:val="TableParagraph"/>
              <w:spacing w:before="1" w:line="499" w:lineRule="auto"/>
              <w:ind w:left="107" w:right="96"/>
              <w:rPr>
                <w:rFonts w:ascii="宋体" w:eastAsia="宋体" w:hAnsi="宋体" w:cs="宋体"/>
                <w:sz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</w:rPr>
              <w:t>投资者关系活动</w:t>
            </w:r>
          </w:p>
          <w:p w14:paraId="2CA7F165" w14:textId="24ED4C7A" w:rsidR="0031346F" w:rsidRPr="009E7B2A" w:rsidRDefault="00FF6EAF">
            <w:pPr>
              <w:pStyle w:val="TableParagraph"/>
              <w:spacing w:before="1" w:line="499" w:lineRule="auto"/>
              <w:ind w:left="107" w:right="96"/>
              <w:rPr>
                <w:rFonts w:ascii="宋体" w:eastAsia="宋体" w:hAnsi="宋体" w:cs="宋体"/>
                <w:sz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</w:rPr>
              <w:t>主要内容介绍</w:t>
            </w:r>
          </w:p>
        </w:tc>
        <w:tc>
          <w:tcPr>
            <w:tcW w:w="6148" w:type="dxa"/>
            <w:vAlign w:val="center"/>
          </w:tcPr>
          <w:p w14:paraId="05CB772E" w14:textId="383C80C7" w:rsidR="006C7F70" w:rsidRDefault="008579C6" w:rsidP="006C7F70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介绍环节：</w:t>
            </w:r>
          </w:p>
          <w:p w14:paraId="401DBC33" w14:textId="58A13EDD" w:rsidR="008579C6" w:rsidRPr="008579C6" w:rsidRDefault="008579C6" w:rsidP="00784704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 w:rsidRPr="008579C6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在全球局势、市场环境波动</w:t>
            </w:r>
            <w:r w:rsid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的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2023年，</w:t>
            </w:r>
            <w:r w:rsidR="00784704" w:rsidRP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宁波美诺华药业股份有限公司（以下简称“美诺华”或“公司”）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对产能、业务重心、发展模式进行了全方位的升</w:t>
            </w:r>
            <w:r w:rsidR="00784704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级优化，完成了从</w:t>
            </w:r>
            <w:r w:rsidR="000B3A2C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主营原料药生产</w:t>
            </w:r>
            <w:r w:rsidR="00784704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到制剂一体化的高附加值模式的过渡</w:t>
            </w:r>
            <w:r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。</w:t>
            </w:r>
            <w:r w:rsidR="00784704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</w:t>
            </w:r>
            <w:r w:rsidR="00784704" w:rsidRP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024年，</w:t>
            </w:r>
            <w:r w:rsidRPr="00784704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作为</w:t>
            </w:r>
            <w:r w:rsidR="00784704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公司制剂一体化进程中最重要的生产基地，</w:t>
            </w:r>
            <w:r w:rsidR="00784704" w:rsidRP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宁波美诺</w:t>
            </w:r>
            <w:proofErr w:type="gramStart"/>
            <w:r w:rsidR="00784704" w:rsidRP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华天康药业</w:t>
            </w:r>
            <w:proofErr w:type="gramEnd"/>
            <w:r w:rsidR="00784704" w:rsidRP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有限公司</w:t>
            </w:r>
            <w:r w:rsid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（以下简称“美诺华天康”）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将是我们进入发展快车道的核心点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。</w:t>
            </w:r>
          </w:p>
          <w:p w14:paraId="7C98C9A4" w14:textId="398BD37D" w:rsidR="008579C6" w:rsidRPr="008579C6" w:rsidRDefault="008579C6" w:rsidP="00784704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美诺华天康</w:t>
            </w:r>
            <w:r w:rsidRPr="008579C6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成立</w:t>
            </w:r>
            <w:proofErr w:type="gramEnd"/>
            <w:r w:rsidRPr="008579C6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于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2004年，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注册资金为2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亿</w:t>
            </w:r>
            <w:r w:rsidR="00784704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元，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是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公司的全资子公司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，是</w:t>
            </w:r>
            <w:r w:rsidR="00784704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目前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的制剂生产制造基地，它承载美诺华原料药</w:t>
            </w:r>
            <w:r w:rsidR="00784704" w:rsidRP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制剂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一体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lastRenderedPageBreak/>
              <w:t>化的重要环节，</w:t>
            </w:r>
            <w:r w:rsidR="005504DE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占地</w:t>
            </w:r>
            <w:r w:rsidRPr="008579C6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面积一共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56</w:t>
            </w:r>
            <w:r w:rsid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,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000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平方，</w:t>
            </w:r>
            <w:r w:rsidR="00784704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目前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共有三个车间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，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药品的洁净区域达到12</w:t>
            </w:r>
            <w:r w:rsid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,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000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平</w:t>
            </w:r>
            <w:r w:rsidR="001D7C9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方</w:t>
            </w:r>
            <w:r w:rsidRPr="00DB485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。主要业务来自中国市场和欧盟市场</w:t>
            </w:r>
            <w:r w:rsidR="00784704" w:rsidRPr="00DB4852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，</w:t>
            </w:r>
            <w:r w:rsidRPr="00DB485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是宁波唯一具有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欧盟认证的制剂生产基地。</w:t>
            </w:r>
            <w:r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 xml:space="preserve"> </w:t>
            </w:r>
            <w:r w:rsidR="00DD0FE8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美诺华</w:t>
            </w:r>
            <w:proofErr w:type="gramStart"/>
            <w:r w:rsidR="00DD0FE8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天康拥有</w:t>
            </w:r>
            <w:proofErr w:type="gramEnd"/>
            <w:r w:rsidR="00DD0FE8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国内</w:t>
            </w:r>
            <w:r w:rsidR="00DD0FE8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一流的</w:t>
            </w:r>
            <w:r w:rsidR="00DD0FE8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制剂转移研发团队，拥有丰富的经验和能力，2</w:t>
            </w:r>
            <w:r w:rsidR="00DD0FE8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023年半年报统计</w:t>
            </w:r>
            <w:r w:rsidR="00DD0FE8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在</w:t>
            </w:r>
            <w:proofErr w:type="gramStart"/>
            <w:r w:rsidR="00DD0FE8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研</w:t>
            </w:r>
            <w:proofErr w:type="gramEnd"/>
            <w:r w:rsidR="00DD0FE8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、转移管线</w:t>
            </w:r>
            <w:r w:rsidR="00784704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项目</w:t>
            </w:r>
            <w:r w:rsidR="00DD0FE8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4</w:t>
            </w:r>
            <w:r w:rsidR="00DD0FE8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0多个，</w:t>
            </w:r>
            <w:r w:rsidR="00DD0FE8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拥有一流的</w:t>
            </w:r>
            <w:r w:rsidR="005504DE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自动化</w:t>
            </w:r>
            <w:r w:rsidR="00DD0FE8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生产</w:t>
            </w:r>
            <w:r w:rsidR="005504DE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设备以及环保和</w:t>
            </w:r>
            <w:r w:rsidR="00DD0FE8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管理体系。</w:t>
            </w:r>
          </w:p>
          <w:p w14:paraId="707621B4" w14:textId="162774C2" w:rsidR="008579C6" w:rsidRPr="000B3A2C" w:rsidRDefault="005504DE" w:rsidP="00784704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美诺华为制剂业务的发展配备了两个制剂研究院，一个在宁波，一个在杭州，能够快速的响应和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配合美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诺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华天康的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研发需求，为客户提供一站式的服务。在客户资源</w:t>
            </w:r>
            <w:r w:rsidR="00784704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方面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，公司与欧洲战略核心客户深度</w:t>
            </w:r>
            <w:r w:rsidR="008579C6" w:rsidRPr="008579C6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绑定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为其提供制剂C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MO/CDMO业务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，同时公司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自研制剂业务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正在进入快速发展的阶段。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在过去的几年的发展中，公司制剂业务获得了来自国内外客户的</w:t>
            </w:r>
            <w:r w:rsidR="008C726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高度赞扬。随着美诺</w:t>
            </w:r>
            <w:proofErr w:type="gramStart"/>
            <w:r w:rsidR="008C726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华天康的</w:t>
            </w:r>
            <w:proofErr w:type="gramEnd"/>
            <w:r w:rsidR="008C726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不断发展，</w:t>
            </w:r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通过过去几年的布局，</w:t>
            </w:r>
            <w:r w:rsidR="00987975" w:rsidRPr="00987975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成品</w:t>
            </w:r>
            <w:proofErr w:type="gramStart"/>
            <w:r w:rsidR="00987975" w:rsidRPr="00987975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药业务</w:t>
            </w:r>
            <w:proofErr w:type="gramEnd"/>
            <w:r w:rsidR="00987975" w:rsidRPr="00987975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已经成为美诺</w:t>
            </w:r>
            <w:proofErr w:type="gramStart"/>
            <w:r w:rsidR="00987975" w:rsidRPr="00987975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华增长</w:t>
            </w:r>
            <w:proofErr w:type="gramEnd"/>
            <w:r w:rsidR="00987975" w:rsidRPr="00987975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最快的业务，</w:t>
            </w:r>
            <w:r w:rsidR="00987975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并</w:t>
            </w:r>
            <w:r w:rsidR="00E601D0"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打</w:t>
            </w:r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下了坚实的</w:t>
            </w:r>
            <w:r w:rsidR="00E601D0"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基础</w:t>
            </w:r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</w:t>
            </w:r>
            <w:r w:rsidR="008C726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美诺华制剂业务已经进</w:t>
            </w:r>
            <w:r w:rsidR="008C7262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入到发展的快车道。</w:t>
            </w:r>
          </w:p>
          <w:p w14:paraId="36059151" w14:textId="3B96BBB7" w:rsidR="008C7262" w:rsidRPr="008579C6" w:rsidRDefault="008C7262" w:rsidP="00987975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美诺华在过去的岁月里，多次通过欧洲、中国以及多个海内外国家</w:t>
            </w:r>
            <w:r w:rsidR="000B3A2C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官方及客户</w:t>
            </w:r>
            <w:r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的审计</w:t>
            </w:r>
            <w:r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，在产品的质量上获得</w:t>
            </w:r>
            <w:r w:rsidR="001D7C96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了客户一致好评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，在过去几年与全球竞争对手的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激烈竞争中展现了公司的核心竞争力。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未来</w:t>
            </w:r>
            <w:r w:rsidR="00987975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美诺华将持续不断地加大对产品技术的投入，装备质量的提升，为客户提供最优质的药品。</w:t>
            </w:r>
          </w:p>
          <w:p w14:paraId="45191E69" w14:textId="77777777" w:rsidR="00987975" w:rsidRDefault="00E601D0" w:rsidP="00987975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color w:val="FF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在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C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DMO业务上</w:t>
            </w:r>
            <w:r w:rsidR="00987975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我们通过各方面的努力，逐步将公司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CDMO</w:t>
            </w:r>
            <w:r w:rsidR="008579C6"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板块做得更强、更</w:t>
            </w:r>
            <w:r w:rsidR="008579C6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好。</w:t>
            </w:r>
            <w:r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与大客户在宠物药和兽药的战略合作正在持续进行中，例如拓展宠物药的成品药领域，与客户达成了初步构想，同时在人用药</w:t>
            </w:r>
            <w:r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C</w:t>
            </w:r>
            <w:r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DMO合作上也进行了沟通和推进。</w:t>
            </w:r>
          </w:p>
          <w:p w14:paraId="63D12777" w14:textId="451A087C" w:rsidR="006C7F70" w:rsidRPr="00987975" w:rsidRDefault="00987975" w:rsidP="00987975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trike/>
                <w:color w:val="FF0000"/>
                <w:sz w:val="21"/>
                <w:szCs w:val="21"/>
                <w:lang w:val="en-US"/>
              </w:rPr>
            </w:pPr>
            <w:r w:rsidRPr="00987975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在</w:t>
            </w:r>
            <w:r w:rsidR="00E601D0" w:rsidRPr="00987975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创</w:t>
            </w:r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新技术领域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，正如定期报告中披露</w:t>
            </w:r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的</w:t>
            </w:r>
            <w:r w:rsidR="008579C6" w:rsidRPr="008579C6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多肽</w:t>
            </w:r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、</w:t>
            </w:r>
            <w:proofErr w:type="spellStart"/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siRNA</w:t>
            </w:r>
            <w:proofErr w:type="spellEnd"/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、</w:t>
            </w:r>
            <w:r w:rsidR="00E601D0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A</w:t>
            </w:r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DC等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，美诺华也在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不同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方向不断地深入布局</w:t>
            </w:r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。CDMO领域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核心</w:t>
            </w:r>
            <w:r w:rsidR="00E601D0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是快速响应和反应市场，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美诺华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已经做好了准备，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希望并且有信心在这一次机会中再分一杯羹，做好业绩回馈广大投资者。</w:t>
            </w:r>
          </w:p>
          <w:p w14:paraId="257F2D70" w14:textId="4C06A4C6" w:rsidR="00DC07B2" w:rsidRDefault="00DC07B2" w:rsidP="006C7F70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问答环节：</w:t>
            </w:r>
          </w:p>
          <w:p w14:paraId="259F9BFD" w14:textId="08FF21AD" w:rsidR="00DC07B2" w:rsidRDefault="00987975" w:rsidP="00987975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问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1：</w:t>
            </w:r>
            <w:r w:rsidR="00DC07B2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023年沙坦产品量价走势情况，</w:t>
            </w:r>
            <w:r w:rsidR="00DC07B2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以及2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024年预测，专利到期产品布局以及未来增量预期？</w:t>
            </w:r>
          </w:p>
          <w:p w14:paraId="59A6F049" w14:textId="35E6B436" w:rsidR="00865B9B" w:rsidRDefault="00987975" w:rsidP="00987975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答：</w:t>
            </w:r>
            <w:r w:rsidR="000C23F7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</w:t>
            </w:r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023年价格竞争态势不佳，主要原因是国际环境导致中国产能有一定过剩，因为中国的产能是为世界准备的，所以国际环境波动会对这个行业有一定影响，</w:t>
            </w:r>
            <w:r w:rsidR="00F479D3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目前市场</w:t>
            </w:r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竞争很剧烈。</w:t>
            </w:r>
            <w:r w:rsidR="000C23F7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</w:t>
            </w:r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024年预计下半年情况会有所缓解，不过未来</w:t>
            </w:r>
            <w:proofErr w:type="gramStart"/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沙坦在</w:t>
            </w:r>
            <w:proofErr w:type="gramEnd"/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我们整体业务的占比会逐</w:t>
            </w:r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lastRenderedPageBreak/>
              <w:t>步下降，会有新产品逐步放量，像沙班、列汀、</w:t>
            </w:r>
            <w:proofErr w:type="gramStart"/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列净等</w:t>
            </w:r>
            <w:proofErr w:type="gramEnd"/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产品将会是新的增长点，</w:t>
            </w:r>
            <w:proofErr w:type="gramStart"/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列如</w:t>
            </w:r>
            <w:proofErr w:type="gramEnd"/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西格列汀</w:t>
            </w:r>
            <w:r w:rsidR="00F479D3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是</w:t>
            </w:r>
            <w:r w:rsidR="000C23F7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</w:t>
            </w:r>
            <w:r w:rsidR="000C23F7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024年增量较大的品种</w:t>
            </w:r>
            <w:r w:rsidR="001D7C96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。</w:t>
            </w:r>
          </w:p>
          <w:p w14:paraId="47D68D66" w14:textId="42D9385D" w:rsidR="00DC07B2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问</w:t>
            </w:r>
            <w:r w:rsidR="00DC07B2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2：制剂业务板块目前自</w:t>
            </w:r>
            <w:proofErr w:type="gramStart"/>
            <w:r w:rsidR="00DC07B2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研</w:t>
            </w:r>
            <w:proofErr w:type="gramEnd"/>
            <w:r w:rsidR="00DC07B2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产品和大客户产品的占比以及放量预期？</w:t>
            </w:r>
          </w:p>
          <w:p w14:paraId="25394D18" w14:textId="1254565F" w:rsidR="0027331D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答：</w:t>
            </w:r>
            <w:r w:rsidR="0027331D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目前公司制剂业务中，</w:t>
            </w:r>
            <w:r w:rsidR="0027331D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大客户部分</w:t>
            </w:r>
            <w:proofErr w:type="gramStart"/>
            <w:r w:rsidR="0027331D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占比较</w:t>
            </w:r>
            <w:proofErr w:type="gramEnd"/>
            <w:r w:rsidR="0027331D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大，自</w:t>
            </w:r>
            <w:proofErr w:type="gramStart"/>
            <w:r w:rsidR="0027331D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研</w:t>
            </w:r>
            <w:proofErr w:type="gramEnd"/>
            <w:r w:rsidR="0027331D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相对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少</w:t>
            </w:r>
            <w:r w:rsidR="0027331D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一点，</w:t>
            </w:r>
            <w:r w:rsidR="0027331D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但公司目前制剂在</w:t>
            </w:r>
            <w:proofErr w:type="gramStart"/>
            <w:r w:rsidR="0027331D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研</w:t>
            </w:r>
            <w:proofErr w:type="gramEnd"/>
            <w:r w:rsidR="0027331D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管线</w:t>
            </w:r>
            <w:proofErr w:type="gramStart"/>
            <w:r w:rsidR="0027331D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展速度</w:t>
            </w:r>
            <w:proofErr w:type="gramEnd"/>
            <w:r w:rsidR="0027331D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迅猛。在大客</w:t>
            </w:r>
            <w:r w:rsidR="0027331D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户需求旺盛，以及后续自</w:t>
            </w:r>
            <w:proofErr w:type="gramStart"/>
            <w:r w:rsidR="0027331D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研</w:t>
            </w:r>
            <w:proofErr w:type="gramEnd"/>
            <w:r w:rsidR="0027331D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产品梯队逐步兑现的基础上，我们认为未来制剂的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大客户和自</w:t>
            </w:r>
            <w:proofErr w:type="gramStart"/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研</w:t>
            </w:r>
            <w:proofErr w:type="gramEnd"/>
            <w:r w:rsidR="0027331D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两块业务都会快速增长，实现两翼齐飞的目标。</w:t>
            </w:r>
          </w:p>
          <w:p w14:paraId="04C55A6D" w14:textId="43B3EA3D" w:rsidR="00DC07B2" w:rsidRPr="000B3A2C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问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3：</w:t>
            </w:r>
            <w:r w:rsidR="00DC07B2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C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DMO</w:t>
            </w:r>
            <w:r w:rsidR="0027331D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板块默沙</w:t>
            </w:r>
            <w:proofErr w:type="gramStart"/>
            <w:r w:rsidR="0027331D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东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业务</w:t>
            </w:r>
            <w:proofErr w:type="gramEnd"/>
            <w:r w:rsidR="00DC07B2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023年情况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如何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，以及未来</w:t>
            </w:r>
            <w:r w:rsidR="00DC07B2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</w:t>
            </w:r>
            <w:r w:rsidR="00DC07B2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024年的放</w:t>
            </w:r>
            <w:r w:rsidR="00DC07B2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量预期？</w:t>
            </w:r>
          </w:p>
          <w:p w14:paraId="51965382" w14:textId="0DD7B0F9" w:rsidR="00DC07B2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答：</w:t>
            </w:r>
            <w:r w:rsidR="0027331D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这些产品具有较大潜力，未来发展潜力不容忽视。</w:t>
            </w:r>
            <w:r w:rsidR="004914BC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因为</w:t>
            </w:r>
            <w:proofErr w:type="gramStart"/>
            <w:r w:rsidR="004914BC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动保战略</w:t>
            </w:r>
            <w:proofErr w:type="gramEnd"/>
            <w:r w:rsidR="004914BC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合作取得了阶段性的成果，并受到了大客户的高度认可，人用药领域的合作已经开始沟通。公司拥</w:t>
            </w:r>
            <w:r w:rsidR="004914B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有丰富的大客户合作经验，有信心用自己的全方位的核心优势，为客户提供最优质的服务。</w:t>
            </w:r>
          </w:p>
          <w:p w14:paraId="15706660" w14:textId="1056FC9F" w:rsidR="004914BC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问</w:t>
            </w:r>
            <w:r w:rsidR="004914B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4</w:t>
            </w:r>
            <w:r w:rsidR="004914B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：印度方面的竞争情况？</w:t>
            </w:r>
          </w:p>
          <w:p w14:paraId="2D9AD5A6" w14:textId="7569298F" w:rsidR="004914BC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答：</w:t>
            </w:r>
            <w:r w:rsidR="004914B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目前我们也从客户那里获得了一些情况，总的来说，印度有一定的优势，比如英语水平、</w:t>
            </w:r>
            <w:r w:rsidR="008B516D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成本等，但是实际交付能力，以及质量体系的管理，还有基础设施等还是国内企业更加符合海外客户的标准。</w:t>
            </w:r>
          </w:p>
          <w:p w14:paraId="4ACF0BF1" w14:textId="5E6C528D" w:rsidR="008B516D" w:rsidRPr="000B3A2C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问</w:t>
            </w:r>
            <w:r w:rsidR="008B516D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5</w:t>
            </w:r>
            <w:r w:rsidR="008B516D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：制剂产能的布局，以及未来的产能规划？</w:t>
            </w:r>
          </w:p>
          <w:p w14:paraId="639E901E" w14:textId="7ECC3812" w:rsidR="008B516D" w:rsidRPr="000B3A2C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答：目前</w:t>
            </w:r>
            <w:r w:rsidR="008B516D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制剂产能</w:t>
            </w:r>
            <w:r w:rsidR="001D7C96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充足</w:t>
            </w:r>
            <w:r w:rsidR="008B516D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，未来会</w:t>
            </w:r>
            <w:r w:rsidR="008B516D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根据客户需求，以及</w:t>
            </w:r>
            <w:proofErr w:type="gramStart"/>
            <w:r w:rsidR="008B516D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自研制剂</w:t>
            </w:r>
            <w:proofErr w:type="gramEnd"/>
            <w:r w:rsidR="008B516D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放量情况规划产能，目前是以产能爬坡为主。</w:t>
            </w:r>
          </w:p>
          <w:p w14:paraId="420E912B" w14:textId="14DAE181" w:rsidR="008B516D" w:rsidRPr="001D7C96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  <w:lang w:val="en-US"/>
              </w:rPr>
            </w:pPr>
            <w:r w:rsidRPr="001D7C96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val="en-US"/>
              </w:rPr>
              <w:t>问</w:t>
            </w:r>
            <w:r w:rsidR="008B516D" w:rsidRPr="001D7C96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val="en-US"/>
              </w:rPr>
              <w:t>6：G</w:t>
            </w:r>
            <w:r w:rsidR="008B516D" w:rsidRPr="001D7C96"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  <w:lang w:val="en-US"/>
              </w:rPr>
              <w:t>LP相关业务的布局</w:t>
            </w:r>
          </w:p>
          <w:p w14:paraId="74C464AD" w14:textId="549E036B" w:rsidR="006C7F70" w:rsidRPr="001D7C96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  <w:lang w:val="en-US"/>
              </w:rPr>
            </w:pPr>
            <w:r w:rsidRPr="001D7C96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val="en-US"/>
              </w:rPr>
              <w:t>答</w:t>
            </w:r>
            <w:r w:rsidR="000B3A2C" w:rsidRPr="001D7C96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val="en-US"/>
              </w:rPr>
              <w:t>：</w:t>
            </w:r>
            <w:r w:rsidR="00E52109" w:rsidRPr="001D7C96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val="en-US"/>
              </w:rPr>
              <w:t>同时公司也储备了很多小分子相关的工艺，就如当时美诺华布局新冠产业链相关产品一样，美诺华有能力也有前瞻性去布局，同时也能提供快速反应和交付能力给客户，在G</w:t>
            </w:r>
            <w:r w:rsidR="00E52109" w:rsidRPr="001D7C96"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  <w:lang w:val="en-US"/>
              </w:rPr>
              <w:t>LP这个长周期的机会中，美诺华会积极开拓原</w:t>
            </w:r>
            <w:proofErr w:type="gramStart"/>
            <w:r w:rsidR="00E52109" w:rsidRPr="001D7C96"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  <w:lang w:val="en-US"/>
              </w:rPr>
              <w:t>研</w:t>
            </w:r>
            <w:proofErr w:type="gramEnd"/>
            <w:r w:rsidR="00E52109" w:rsidRPr="001D7C96"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  <w:lang w:val="en-US"/>
              </w:rPr>
              <w:t>、仿制产业</w:t>
            </w:r>
            <w:proofErr w:type="gramStart"/>
            <w:r w:rsidR="00E52109" w:rsidRPr="001D7C96"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  <w:lang w:val="en-US"/>
              </w:rPr>
              <w:t>链合作</w:t>
            </w:r>
            <w:proofErr w:type="gramEnd"/>
            <w:r w:rsidR="00E52109" w:rsidRPr="001D7C96"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  <w:lang w:val="en-US"/>
              </w:rPr>
              <w:t>机会，甚至于成品药的机会。</w:t>
            </w:r>
            <w:bookmarkStart w:id="0" w:name="_GoBack"/>
            <w:bookmarkEnd w:id="0"/>
          </w:p>
          <w:p w14:paraId="4266F23F" w14:textId="31CBA407" w:rsidR="00A6261B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问</w:t>
            </w:r>
            <w:r w:rsidR="00E52109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7：</w:t>
            </w:r>
            <w:r w:rsidR="00A6261B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客户是否会要求我们去海外建厂？</w:t>
            </w:r>
          </w:p>
          <w:p w14:paraId="1928D67F" w14:textId="74D595DE" w:rsidR="00E52109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答：</w:t>
            </w:r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没有，在成本和供应链上我们提供了</w:t>
            </w:r>
            <w:proofErr w:type="gramStart"/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非常</w:t>
            </w:r>
            <w:proofErr w:type="gramEnd"/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优质和高性价比的服务。</w:t>
            </w:r>
          </w:p>
          <w:p w14:paraId="09F7A10D" w14:textId="625AF2BF" w:rsidR="00A6261B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问</w:t>
            </w:r>
            <w:r w:rsidR="00A6261B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8</w:t>
            </w:r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：</w:t>
            </w:r>
            <w:r w:rsidR="00A6261B" w:rsidRPr="00A6261B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未来</w:t>
            </w:r>
            <w:r w:rsidR="00A6261B" w:rsidRP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5到10年中国与印度企业之间</w:t>
            </w:r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的竞争优势。包括中长期之后产业链上的格局，从公司三大业务的角度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预测一下</w:t>
            </w:r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。</w:t>
            </w:r>
          </w:p>
          <w:p w14:paraId="638CEBA7" w14:textId="006D1A8F" w:rsidR="00A6261B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答：</w:t>
            </w:r>
            <w:r w:rsidR="00A6261B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原料药行业，可能未来中国和印度各占一半。</w:t>
            </w:r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制剂行业，</w:t>
            </w:r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lastRenderedPageBreak/>
              <w:t>目前印度优于中国，因为起步早，制度建设早。不过中国增速快，未来成长空间更大，特别是在一带一路的市场上。</w:t>
            </w:r>
            <w:r w:rsidR="00A6261B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C</w:t>
            </w:r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DMO行业，中国在产业中更具备优势。</w:t>
            </w:r>
          </w:p>
          <w:p w14:paraId="14371D26" w14:textId="6EF6FBEC" w:rsidR="00A6261B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问</w:t>
            </w:r>
            <w:r w:rsidR="00A6261B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9：</w:t>
            </w:r>
            <w:r w:rsidR="0049680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未来几年公司存量、增量预期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如何？</w:t>
            </w:r>
          </w:p>
          <w:p w14:paraId="17B1FC8D" w14:textId="132070CD" w:rsidR="0049680C" w:rsidRDefault="00F479D3" w:rsidP="00F479D3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答：</w:t>
            </w:r>
            <w:r w:rsidR="0049680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公司未来三大业务都有增量的机会</w:t>
            </w:r>
            <w:r w:rsidR="0049680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，制剂代加工和</w:t>
            </w:r>
            <w:proofErr w:type="gramStart"/>
            <w:r w:rsidR="0049680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自研制剂</w:t>
            </w:r>
            <w:proofErr w:type="gramEnd"/>
            <w:r w:rsidR="0049680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的放量依托于产能逐步爬坡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，同时形成的规模效益，以及制剂一体化带来的成本优势，</w:t>
            </w:r>
            <w:r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目前进展</w:t>
            </w:r>
            <w:r w:rsidR="0049680C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顺利。</w:t>
            </w:r>
            <w:r w:rsidR="0049680C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C</w:t>
            </w:r>
            <w:r w:rsidR="0049680C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DMO业务以大客户战略合作的逐步兑现作为基础，</w:t>
            </w:r>
            <w:r w:rsidR="00C6599F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同时创新技术平台业务如多肽、</w:t>
            </w:r>
            <w:r w:rsidR="00C6599F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ADC、</w:t>
            </w:r>
            <w:proofErr w:type="spellStart"/>
            <w:r w:rsidR="00C6599F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siRNA</w:t>
            </w:r>
            <w:proofErr w:type="spellEnd"/>
            <w:r w:rsidR="00C6599F" w:rsidRPr="000B3A2C"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等技术的开发储备，为这方面业务争取非常大的机会。</w:t>
            </w:r>
            <w:r w:rsidR="005C0DB7" w:rsidRPr="000B3A2C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原</w:t>
            </w:r>
            <w:r w:rsidR="005C0DB7"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料药业务主要增量还是新的产品逐步放量。</w:t>
            </w:r>
          </w:p>
          <w:p w14:paraId="6530AB33" w14:textId="77777777" w:rsidR="005C0DB7" w:rsidRDefault="005C0DB7" w:rsidP="00A6261B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</w:p>
          <w:p w14:paraId="1724B63F" w14:textId="15AA522E" w:rsidR="005C0DB7" w:rsidRDefault="005C0DB7" w:rsidP="00C6599F">
            <w:pPr>
              <w:pStyle w:val="TableParagraph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总结：希望将最困难的一切留在过去的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023年，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val="en-US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  <w:t>024年能够全新出发，持续增长，回馈投资者。</w:t>
            </w:r>
          </w:p>
          <w:p w14:paraId="41E47706" w14:textId="6FE9643B" w:rsidR="006C7F70" w:rsidRPr="009E7B2A" w:rsidRDefault="006C7F70" w:rsidP="000B3A2C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21"/>
                <w:szCs w:val="21"/>
                <w:lang w:val="en-US"/>
              </w:rPr>
            </w:pPr>
          </w:p>
        </w:tc>
      </w:tr>
      <w:tr w:rsidR="009E7B2A" w:rsidRPr="009E7B2A" w14:paraId="404D731D" w14:textId="77777777" w:rsidTr="00E84A45">
        <w:trPr>
          <w:trHeight w:val="558"/>
          <w:jc w:val="center"/>
        </w:trPr>
        <w:tc>
          <w:tcPr>
            <w:tcW w:w="2377" w:type="dxa"/>
            <w:vAlign w:val="center"/>
          </w:tcPr>
          <w:p w14:paraId="7542444A" w14:textId="77777777" w:rsidR="0031346F" w:rsidRPr="009E7B2A" w:rsidRDefault="00FF6EAF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sz w:val="21"/>
                <w:szCs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日期</w:t>
            </w:r>
          </w:p>
        </w:tc>
        <w:tc>
          <w:tcPr>
            <w:tcW w:w="6148" w:type="dxa"/>
            <w:vAlign w:val="center"/>
          </w:tcPr>
          <w:p w14:paraId="0A42D0B5" w14:textId="07F9F4F5" w:rsidR="0031346F" w:rsidRPr="009E7B2A" w:rsidRDefault="00110B1D" w:rsidP="009E21EA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202</w:t>
            </w:r>
            <w:r w:rsidR="009E21EA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="009E21E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="009E21EA"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  <w:r w:rsidRPr="009E7B2A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14:paraId="764604AF" w14:textId="77777777" w:rsidR="0031346F" w:rsidRPr="009E7B2A" w:rsidRDefault="0031346F">
      <w:pPr>
        <w:rPr>
          <w:rFonts w:ascii="宋体" w:eastAsia="宋体" w:hAnsi="宋体" w:cs="宋体"/>
        </w:rPr>
      </w:pPr>
    </w:p>
    <w:sectPr w:rsidR="0031346F" w:rsidRPr="009E7B2A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CA18" w14:textId="77777777" w:rsidR="002A7352" w:rsidRDefault="002A7352" w:rsidP="00967660">
      <w:r>
        <w:separator/>
      </w:r>
    </w:p>
  </w:endnote>
  <w:endnote w:type="continuationSeparator" w:id="0">
    <w:p w14:paraId="180C40B5" w14:textId="77777777" w:rsidR="002A7352" w:rsidRDefault="002A7352" w:rsidP="0096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CA14F" w14:textId="77777777" w:rsidR="002A7352" w:rsidRDefault="002A7352" w:rsidP="00967660">
      <w:r>
        <w:separator/>
      </w:r>
    </w:p>
  </w:footnote>
  <w:footnote w:type="continuationSeparator" w:id="0">
    <w:p w14:paraId="62C2734C" w14:textId="77777777" w:rsidR="002A7352" w:rsidRDefault="002A7352" w:rsidP="0096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F"/>
    <w:rsid w:val="00021E44"/>
    <w:rsid w:val="00024A48"/>
    <w:rsid w:val="0004540C"/>
    <w:rsid w:val="00046A00"/>
    <w:rsid w:val="0005545B"/>
    <w:rsid w:val="000606F6"/>
    <w:rsid w:val="000A7D1E"/>
    <w:rsid w:val="000B3A2C"/>
    <w:rsid w:val="000C23F7"/>
    <w:rsid w:val="000E2550"/>
    <w:rsid w:val="00110B1D"/>
    <w:rsid w:val="00131477"/>
    <w:rsid w:val="00150ECD"/>
    <w:rsid w:val="00165BF0"/>
    <w:rsid w:val="00175E91"/>
    <w:rsid w:val="001A5510"/>
    <w:rsid w:val="001C0673"/>
    <w:rsid w:val="001D7C96"/>
    <w:rsid w:val="0021298F"/>
    <w:rsid w:val="002154C3"/>
    <w:rsid w:val="00265049"/>
    <w:rsid w:val="0027003E"/>
    <w:rsid w:val="0027331D"/>
    <w:rsid w:val="00284717"/>
    <w:rsid w:val="00296238"/>
    <w:rsid w:val="002A42A8"/>
    <w:rsid w:val="002A7352"/>
    <w:rsid w:val="002F6CD7"/>
    <w:rsid w:val="0031346F"/>
    <w:rsid w:val="003570E5"/>
    <w:rsid w:val="003878B1"/>
    <w:rsid w:val="003B6913"/>
    <w:rsid w:val="004007CE"/>
    <w:rsid w:val="00490060"/>
    <w:rsid w:val="004914BC"/>
    <w:rsid w:val="0049680C"/>
    <w:rsid w:val="004E410A"/>
    <w:rsid w:val="00535545"/>
    <w:rsid w:val="005504DE"/>
    <w:rsid w:val="0055222D"/>
    <w:rsid w:val="005C0DB7"/>
    <w:rsid w:val="006048B7"/>
    <w:rsid w:val="006052D7"/>
    <w:rsid w:val="006141B2"/>
    <w:rsid w:val="00620F73"/>
    <w:rsid w:val="00645B02"/>
    <w:rsid w:val="00671DCA"/>
    <w:rsid w:val="00683E97"/>
    <w:rsid w:val="006A7835"/>
    <w:rsid w:val="006C7F70"/>
    <w:rsid w:val="006D5DF7"/>
    <w:rsid w:val="006E7D54"/>
    <w:rsid w:val="00714E15"/>
    <w:rsid w:val="00726445"/>
    <w:rsid w:val="00743ECC"/>
    <w:rsid w:val="0075531C"/>
    <w:rsid w:val="00764FB0"/>
    <w:rsid w:val="00784704"/>
    <w:rsid w:val="007B723B"/>
    <w:rsid w:val="0080271F"/>
    <w:rsid w:val="00805780"/>
    <w:rsid w:val="008070FF"/>
    <w:rsid w:val="00830B23"/>
    <w:rsid w:val="0083454B"/>
    <w:rsid w:val="008419A0"/>
    <w:rsid w:val="00854AE9"/>
    <w:rsid w:val="008579C6"/>
    <w:rsid w:val="00865B9B"/>
    <w:rsid w:val="0087133F"/>
    <w:rsid w:val="008850E5"/>
    <w:rsid w:val="008B516D"/>
    <w:rsid w:val="008C562F"/>
    <w:rsid w:val="008C7262"/>
    <w:rsid w:val="009038EB"/>
    <w:rsid w:val="00910ED7"/>
    <w:rsid w:val="00967660"/>
    <w:rsid w:val="00987094"/>
    <w:rsid w:val="00987975"/>
    <w:rsid w:val="009A746D"/>
    <w:rsid w:val="009E21EA"/>
    <w:rsid w:val="009E7B2A"/>
    <w:rsid w:val="009F00B5"/>
    <w:rsid w:val="009F6054"/>
    <w:rsid w:val="00A01F63"/>
    <w:rsid w:val="00A55AD4"/>
    <w:rsid w:val="00A6261B"/>
    <w:rsid w:val="00B052C6"/>
    <w:rsid w:val="00B1797B"/>
    <w:rsid w:val="00B210B0"/>
    <w:rsid w:val="00B258AE"/>
    <w:rsid w:val="00B45419"/>
    <w:rsid w:val="00B66BAD"/>
    <w:rsid w:val="00B80229"/>
    <w:rsid w:val="00B810BA"/>
    <w:rsid w:val="00B905AF"/>
    <w:rsid w:val="00BC4BF6"/>
    <w:rsid w:val="00C16330"/>
    <w:rsid w:val="00C265C7"/>
    <w:rsid w:val="00C52EA8"/>
    <w:rsid w:val="00C64633"/>
    <w:rsid w:val="00C6599F"/>
    <w:rsid w:val="00C76B07"/>
    <w:rsid w:val="00C84F04"/>
    <w:rsid w:val="00C85481"/>
    <w:rsid w:val="00CC19A7"/>
    <w:rsid w:val="00CD0188"/>
    <w:rsid w:val="00CD403F"/>
    <w:rsid w:val="00CF4A2A"/>
    <w:rsid w:val="00D12B62"/>
    <w:rsid w:val="00D26922"/>
    <w:rsid w:val="00D276D0"/>
    <w:rsid w:val="00D54DA9"/>
    <w:rsid w:val="00D60766"/>
    <w:rsid w:val="00D73704"/>
    <w:rsid w:val="00D818D5"/>
    <w:rsid w:val="00D843C1"/>
    <w:rsid w:val="00DB4852"/>
    <w:rsid w:val="00DB6FCD"/>
    <w:rsid w:val="00DC07B2"/>
    <w:rsid w:val="00DC1D42"/>
    <w:rsid w:val="00DD0FE8"/>
    <w:rsid w:val="00DD17A5"/>
    <w:rsid w:val="00DD5940"/>
    <w:rsid w:val="00DF2EF8"/>
    <w:rsid w:val="00E24A8A"/>
    <w:rsid w:val="00E52109"/>
    <w:rsid w:val="00E55950"/>
    <w:rsid w:val="00E601D0"/>
    <w:rsid w:val="00E84A45"/>
    <w:rsid w:val="00F251FD"/>
    <w:rsid w:val="00F42864"/>
    <w:rsid w:val="00F430BD"/>
    <w:rsid w:val="00F479D3"/>
    <w:rsid w:val="00F54B73"/>
    <w:rsid w:val="00F761D0"/>
    <w:rsid w:val="00FE0730"/>
    <w:rsid w:val="00FF6EAF"/>
    <w:rsid w:val="09186774"/>
    <w:rsid w:val="12070CAE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4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96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7660"/>
    <w:rPr>
      <w:rFonts w:ascii="仿宋" w:eastAsia="仿宋" w:hAnsi="仿宋" w:cs="仿宋"/>
      <w:sz w:val="18"/>
      <w:szCs w:val="18"/>
      <w:lang w:val="zh-CN" w:bidi="zh-CN"/>
    </w:rPr>
  </w:style>
  <w:style w:type="paragraph" w:styleId="a5">
    <w:name w:val="footer"/>
    <w:basedOn w:val="a"/>
    <w:link w:val="Char0"/>
    <w:rsid w:val="009676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7660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Balloon Text"/>
    <w:basedOn w:val="a"/>
    <w:link w:val="Char1"/>
    <w:semiHidden/>
    <w:unhideWhenUsed/>
    <w:rsid w:val="00B905AF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905AF"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96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7660"/>
    <w:rPr>
      <w:rFonts w:ascii="仿宋" w:eastAsia="仿宋" w:hAnsi="仿宋" w:cs="仿宋"/>
      <w:sz w:val="18"/>
      <w:szCs w:val="18"/>
      <w:lang w:val="zh-CN" w:bidi="zh-CN"/>
    </w:rPr>
  </w:style>
  <w:style w:type="paragraph" w:styleId="a5">
    <w:name w:val="footer"/>
    <w:basedOn w:val="a"/>
    <w:link w:val="Char0"/>
    <w:rsid w:val="009676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7660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Balloon Text"/>
    <w:basedOn w:val="a"/>
    <w:link w:val="Char1"/>
    <w:semiHidden/>
    <w:unhideWhenUsed/>
    <w:rsid w:val="00B905AF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905AF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menovo</dc:creator>
  <cp:lastModifiedBy>lenovo</cp:lastModifiedBy>
  <cp:revision>13</cp:revision>
  <cp:lastPrinted>2024-01-15T08:21:00Z</cp:lastPrinted>
  <dcterms:created xsi:type="dcterms:W3CDTF">2024-01-13T19:54:00Z</dcterms:created>
  <dcterms:modified xsi:type="dcterms:W3CDTF">2024-01-15T09:10:00Z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