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29"/>
        <w:ind w:left="119"/>
        <w:jc w:val="center"/>
        <w:rPr>
          <w:rFonts w:ascii="宋体" w:hAnsi="宋体" w:eastAsia="宋体" w:cs="宋体"/>
          <w:b/>
          <w:sz w:val="36"/>
          <w:szCs w:val="30"/>
          <w:lang w:val="zh-CN" w:bidi="zh-CN"/>
        </w:rPr>
      </w:pPr>
      <w:r>
        <w:rPr>
          <w:rFonts w:hint="eastAsia" w:ascii="宋体" w:hAnsi="宋体" w:eastAsia="宋体" w:cs="宋体"/>
          <w:b/>
          <w:sz w:val="36"/>
          <w:szCs w:val="30"/>
          <w:lang w:val="zh-CN" w:bidi="zh-CN"/>
        </w:rPr>
        <w:t>抚顺特殊钢</w:t>
      </w:r>
      <w:r>
        <w:rPr>
          <w:rFonts w:ascii="宋体" w:hAnsi="宋体" w:eastAsia="宋体" w:cs="宋体"/>
          <w:b/>
          <w:sz w:val="36"/>
          <w:szCs w:val="30"/>
          <w:lang w:val="zh-CN" w:bidi="zh-CN"/>
        </w:rPr>
        <w:t>股份有限公司投资者关系活动记录表</w:t>
      </w:r>
    </w:p>
    <w:p>
      <w:pPr>
        <w:autoSpaceDE w:val="0"/>
        <w:autoSpaceDN w:val="0"/>
        <w:spacing w:before="29"/>
        <w:ind w:left="119"/>
        <w:jc w:val="center"/>
        <w:rPr>
          <w:rFonts w:ascii="宋体" w:hAnsi="宋体" w:eastAsia="宋体" w:cs="宋体"/>
          <w:b/>
          <w:sz w:val="36"/>
          <w:szCs w:val="30"/>
          <w:lang w:val="zh-CN" w:bidi="zh-CN"/>
        </w:rPr>
      </w:pPr>
    </w:p>
    <w:p>
      <w:pPr>
        <w:autoSpaceDE w:val="0"/>
        <w:autoSpaceDN w:val="0"/>
        <w:spacing w:before="71" w:after="40"/>
        <w:ind w:right="573"/>
        <w:jc w:val="right"/>
        <w:rPr>
          <w:rFonts w:ascii="宋体" w:hAnsi="宋体" w:eastAsia="宋体" w:cs="宋体"/>
          <w:kern w:val="0"/>
          <w:sz w:val="24"/>
          <w:szCs w:val="22"/>
          <w:lang w:bidi="zh-CN"/>
        </w:rPr>
      </w:pPr>
      <w:r>
        <w:rPr>
          <w:rFonts w:ascii="宋体" w:hAnsi="宋体" w:eastAsia="宋体" w:cs="宋体"/>
          <w:kern w:val="0"/>
          <w:sz w:val="24"/>
          <w:szCs w:val="22"/>
          <w:lang w:val="zh-CN" w:bidi="zh-CN"/>
        </w:rPr>
        <w:t>记录表编号：</w:t>
      </w:r>
      <w:r>
        <w:rPr>
          <w:rFonts w:hint="eastAsia" w:ascii="宋体" w:hAnsi="宋体" w:eastAsia="宋体" w:cs="宋体"/>
          <w:kern w:val="0"/>
          <w:sz w:val="24"/>
          <w:szCs w:val="22"/>
          <w:lang w:bidi="zh-CN"/>
        </w:rPr>
        <w:t>202</w:t>
      </w:r>
      <w:r>
        <w:rPr>
          <w:rFonts w:hint="eastAsia" w:ascii="宋体" w:hAnsi="宋体" w:eastAsia="宋体" w:cs="宋体"/>
          <w:kern w:val="0"/>
          <w:sz w:val="24"/>
          <w:szCs w:val="22"/>
          <w:lang w:val="en-US" w:bidi="zh-CN"/>
        </w:rPr>
        <w:t>4</w:t>
      </w:r>
      <w:r>
        <w:rPr>
          <w:rFonts w:hint="eastAsia" w:ascii="宋体" w:hAnsi="宋体" w:eastAsia="宋体" w:cs="宋体"/>
          <w:kern w:val="0"/>
          <w:sz w:val="24"/>
          <w:szCs w:val="22"/>
          <w:lang w:bidi="zh-CN"/>
        </w:rPr>
        <w:t>-001</w:t>
      </w:r>
    </w:p>
    <w:tbl>
      <w:tblPr>
        <w:tblStyle w:val="2"/>
        <w:tblW w:w="10196"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0"/>
        <w:gridCol w:w="2629"/>
        <w:gridCol w:w="5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570" w:type="dxa"/>
            <w:vMerge w:val="restart"/>
          </w:tcPr>
          <w:p>
            <w:pPr>
              <w:autoSpaceDE w:val="0"/>
              <w:autoSpaceDN w:val="0"/>
              <w:rPr>
                <w:rFonts w:ascii="宋体" w:hAnsi="宋体" w:eastAsia="宋体" w:cs="宋体"/>
                <w:sz w:val="24"/>
                <w:szCs w:val="22"/>
                <w:lang w:val="zh-CN" w:bidi="zh-CN"/>
              </w:rPr>
            </w:pPr>
          </w:p>
          <w:p>
            <w:pPr>
              <w:autoSpaceDE w:val="0"/>
              <w:autoSpaceDN w:val="0"/>
              <w:spacing w:before="6"/>
              <w:rPr>
                <w:rFonts w:ascii="宋体" w:hAnsi="宋体" w:eastAsia="宋体" w:cs="宋体"/>
                <w:sz w:val="24"/>
                <w:szCs w:val="22"/>
                <w:lang w:val="zh-CN" w:bidi="zh-CN"/>
              </w:rPr>
            </w:pPr>
          </w:p>
          <w:p>
            <w:pPr>
              <w:autoSpaceDE w:val="0"/>
              <w:autoSpaceDN w:val="0"/>
              <w:spacing w:line="244" w:lineRule="auto"/>
              <w:ind w:left="244" w:right="228" w:hanging="120"/>
              <w:rPr>
                <w:rFonts w:ascii="宋体" w:hAnsi="宋体" w:eastAsia="宋体" w:cs="宋体"/>
                <w:b/>
                <w:sz w:val="24"/>
                <w:szCs w:val="22"/>
                <w:lang w:val="zh-CN" w:bidi="zh-CN"/>
              </w:rPr>
            </w:pPr>
            <w:r>
              <w:rPr>
                <w:rFonts w:ascii="宋体" w:hAnsi="宋体" w:eastAsia="宋体" w:cs="宋体"/>
                <w:b/>
                <w:sz w:val="24"/>
                <w:szCs w:val="22"/>
                <w:lang w:val="zh-CN" w:bidi="zh-CN"/>
              </w:rPr>
              <w:t>投资者关系活动类别</w:t>
            </w:r>
            <w:r>
              <w:rPr>
                <w:rFonts w:ascii="宋体" w:hAnsi="宋体" w:eastAsia="宋体" w:cs="宋体"/>
                <w:b/>
                <w:w w:val="99"/>
                <w:sz w:val="24"/>
                <w:szCs w:val="22"/>
                <w:lang w:val="zh-CN" w:bidi="zh-CN"/>
              </w:rPr>
              <w:t xml:space="preserve"> </w:t>
            </w:r>
          </w:p>
        </w:tc>
        <w:tc>
          <w:tcPr>
            <w:tcW w:w="2629" w:type="dxa"/>
            <w:tcBorders>
              <w:bottom w:val="nil"/>
              <w:right w:val="nil"/>
            </w:tcBorders>
          </w:tcPr>
          <w:p>
            <w:pPr>
              <w:tabs>
                <w:tab w:val="left" w:pos="349"/>
              </w:tabs>
              <w:autoSpaceDE w:val="0"/>
              <w:autoSpaceDN w:val="0"/>
              <w:spacing w:before="95"/>
              <w:ind w:left="107"/>
              <w:rPr>
                <w:rFonts w:ascii="宋体" w:hAnsi="宋体" w:eastAsia="宋体" w:cs="宋体"/>
                <w:sz w:val="24"/>
                <w:szCs w:val="22"/>
                <w:lang w:val="zh-CN" w:bidi="zh-CN"/>
              </w:rPr>
            </w:pPr>
            <w:r>
              <w:rPr>
                <w:rFonts w:hint="eastAsia" w:ascii="宋体" w:hAnsi="宋体" w:eastAsia="宋体" w:cs="宋体"/>
                <w:sz w:val="24"/>
                <w:szCs w:val="22"/>
                <w:lang w:val="zh-CN" w:bidi="zh-CN"/>
              </w:rPr>
              <w:t>☑</w:t>
            </w:r>
            <w:r>
              <w:rPr>
                <w:rFonts w:ascii="宋体" w:hAnsi="宋体" w:eastAsia="宋体" w:cs="宋体"/>
                <w:sz w:val="24"/>
                <w:szCs w:val="22"/>
                <w:lang w:val="zh-CN" w:bidi="zh-CN"/>
              </w:rPr>
              <w:t xml:space="preserve">特定对象调研 </w:t>
            </w:r>
          </w:p>
        </w:tc>
        <w:tc>
          <w:tcPr>
            <w:tcW w:w="5997" w:type="dxa"/>
            <w:tcBorders>
              <w:left w:val="nil"/>
              <w:bottom w:val="nil"/>
            </w:tcBorders>
          </w:tcPr>
          <w:p>
            <w:pPr>
              <w:autoSpaceDE w:val="0"/>
              <w:autoSpaceDN w:val="0"/>
              <w:spacing w:before="95"/>
              <w:ind w:left="724"/>
              <w:rPr>
                <w:rFonts w:ascii="宋体" w:hAnsi="宋体" w:eastAsia="宋体" w:cs="宋体"/>
                <w:sz w:val="24"/>
                <w:szCs w:val="22"/>
                <w:lang w:val="zh-CN" w:bidi="zh-CN"/>
              </w:rPr>
            </w:pPr>
            <w:r>
              <w:rPr>
                <w:rFonts w:hint="eastAsia" w:ascii="宋体" w:hAnsi="宋体" w:eastAsia="宋体" w:cs="宋体"/>
                <w:sz w:val="24"/>
                <w:szCs w:val="22"/>
                <w:lang w:val="zh-CN" w:bidi="zh-CN"/>
              </w:rPr>
              <w:t>□</w:t>
            </w:r>
            <w:r>
              <w:rPr>
                <w:rFonts w:ascii="宋体" w:hAnsi="宋体" w:eastAsia="宋体" w:cs="宋体"/>
                <w:sz w:val="24"/>
                <w:szCs w:val="22"/>
                <w:lang w:val="zh-CN" w:bidi="zh-CN"/>
              </w:rPr>
              <w:t xml:space="preserve">分析师会议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1570" w:type="dxa"/>
            <w:vMerge w:val="continue"/>
            <w:tcBorders>
              <w:top w:val="nil"/>
            </w:tcBorders>
          </w:tcPr>
          <w:p>
            <w:pPr>
              <w:autoSpaceDE w:val="0"/>
              <w:autoSpaceDN w:val="0"/>
              <w:jc w:val="left"/>
              <w:rPr>
                <w:rFonts w:ascii="宋体" w:hAnsi="宋体" w:eastAsia="宋体" w:cs="宋体"/>
                <w:kern w:val="0"/>
                <w:sz w:val="2"/>
                <w:szCs w:val="2"/>
                <w:lang w:val="zh-CN" w:bidi="zh-CN"/>
              </w:rPr>
            </w:pPr>
          </w:p>
        </w:tc>
        <w:tc>
          <w:tcPr>
            <w:tcW w:w="2629" w:type="dxa"/>
            <w:tcBorders>
              <w:top w:val="nil"/>
              <w:bottom w:val="nil"/>
              <w:right w:val="nil"/>
            </w:tcBorders>
          </w:tcPr>
          <w:p>
            <w:pPr>
              <w:autoSpaceDE w:val="0"/>
              <w:autoSpaceDN w:val="0"/>
              <w:spacing w:before="82"/>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□媒体采访 </w:t>
            </w:r>
          </w:p>
        </w:tc>
        <w:tc>
          <w:tcPr>
            <w:tcW w:w="5997" w:type="dxa"/>
            <w:tcBorders>
              <w:top w:val="nil"/>
              <w:left w:val="nil"/>
              <w:bottom w:val="nil"/>
            </w:tcBorders>
          </w:tcPr>
          <w:p>
            <w:pPr>
              <w:autoSpaceDE w:val="0"/>
              <w:autoSpaceDN w:val="0"/>
              <w:spacing w:before="82"/>
              <w:ind w:left="724"/>
              <w:rPr>
                <w:rFonts w:ascii="宋体" w:hAnsi="宋体" w:eastAsia="宋体" w:cs="宋体"/>
                <w:sz w:val="24"/>
                <w:szCs w:val="22"/>
                <w:lang w:val="zh-CN" w:bidi="zh-CN"/>
              </w:rPr>
            </w:pPr>
            <w:r>
              <w:rPr>
                <w:rFonts w:ascii="宋体" w:hAnsi="宋体" w:eastAsia="宋体" w:cs="宋体"/>
                <w:sz w:val="24"/>
                <w:szCs w:val="22"/>
                <w:lang w:val="zh-CN" w:bidi="zh-CN"/>
              </w:rPr>
              <w:t xml:space="preserve">□业绩说明会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570" w:type="dxa"/>
            <w:vMerge w:val="continue"/>
            <w:tcBorders>
              <w:top w:val="nil"/>
            </w:tcBorders>
          </w:tcPr>
          <w:p>
            <w:pPr>
              <w:autoSpaceDE w:val="0"/>
              <w:autoSpaceDN w:val="0"/>
              <w:jc w:val="left"/>
              <w:rPr>
                <w:rFonts w:ascii="宋体" w:hAnsi="宋体" w:eastAsia="宋体" w:cs="宋体"/>
                <w:kern w:val="0"/>
                <w:sz w:val="2"/>
                <w:szCs w:val="2"/>
                <w:lang w:val="zh-CN" w:bidi="zh-CN"/>
              </w:rPr>
            </w:pPr>
          </w:p>
        </w:tc>
        <w:tc>
          <w:tcPr>
            <w:tcW w:w="2629" w:type="dxa"/>
            <w:tcBorders>
              <w:top w:val="nil"/>
              <w:bottom w:val="nil"/>
              <w:right w:val="nil"/>
            </w:tcBorders>
          </w:tcPr>
          <w:p>
            <w:pPr>
              <w:autoSpaceDE w:val="0"/>
              <w:autoSpaceDN w:val="0"/>
              <w:spacing w:before="97"/>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□新闻发布会 </w:t>
            </w:r>
          </w:p>
        </w:tc>
        <w:tc>
          <w:tcPr>
            <w:tcW w:w="5997" w:type="dxa"/>
            <w:tcBorders>
              <w:top w:val="nil"/>
              <w:left w:val="nil"/>
              <w:bottom w:val="nil"/>
            </w:tcBorders>
          </w:tcPr>
          <w:p>
            <w:pPr>
              <w:autoSpaceDE w:val="0"/>
              <w:autoSpaceDN w:val="0"/>
              <w:spacing w:before="97"/>
              <w:ind w:left="724"/>
              <w:rPr>
                <w:rFonts w:ascii="宋体" w:hAnsi="宋体" w:eastAsia="宋体" w:cs="宋体"/>
                <w:sz w:val="24"/>
                <w:szCs w:val="22"/>
                <w:lang w:val="zh-CN" w:bidi="zh-CN"/>
              </w:rPr>
            </w:pPr>
            <w:r>
              <w:rPr>
                <w:rFonts w:hint="eastAsia" w:ascii="宋体" w:hAnsi="宋体" w:eastAsia="宋体" w:cs="宋体"/>
                <w:sz w:val="24"/>
                <w:szCs w:val="22"/>
                <w:lang w:val="zh-CN" w:bidi="zh-CN"/>
              </w:rPr>
              <w:t>□</w:t>
            </w:r>
            <w:r>
              <w:rPr>
                <w:rFonts w:ascii="宋体" w:hAnsi="宋体" w:eastAsia="宋体" w:cs="宋体"/>
                <w:sz w:val="24"/>
                <w:szCs w:val="22"/>
                <w:lang w:val="zh-CN" w:bidi="zh-CN"/>
              </w:rPr>
              <w:t xml:space="preserve">路演活动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0" w:type="dxa"/>
            <w:vMerge w:val="continue"/>
            <w:tcBorders>
              <w:top w:val="nil"/>
            </w:tcBorders>
          </w:tcPr>
          <w:p>
            <w:pPr>
              <w:autoSpaceDE w:val="0"/>
              <w:autoSpaceDN w:val="0"/>
              <w:jc w:val="left"/>
              <w:rPr>
                <w:rFonts w:ascii="宋体" w:hAnsi="宋体" w:eastAsia="宋体" w:cs="宋体"/>
                <w:kern w:val="0"/>
                <w:sz w:val="2"/>
                <w:szCs w:val="2"/>
                <w:lang w:val="zh-CN" w:bidi="zh-CN"/>
              </w:rPr>
            </w:pPr>
          </w:p>
        </w:tc>
        <w:tc>
          <w:tcPr>
            <w:tcW w:w="8626" w:type="dxa"/>
            <w:gridSpan w:val="2"/>
            <w:tcBorders>
              <w:top w:val="nil"/>
            </w:tcBorders>
          </w:tcPr>
          <w:p>
            <w:pPr>
              <w:autoSpaceDE w:val="0"/>
              <w:autoSpaceDN w:val="0"/>
              <w:spacing w:before="117"/>
              <w:ind w:left="107"/>
              <w:rPr>
                <w:rFonts w:ascii="宋体" w:hAnsi="宋体" w:eastAsia="宋体" w:cs="宋体"/>
                <w:sz w:val="24"/>
                <w:szCs w:val="22"/>
                <w:lang w:val="zh-CN" w:bidi="zh-CN"/>
              </w:rPr>
            </w:pPr>
            <w:r>
              <w:rPr>
                <w:rFonts w:ascii="宋体" w:hAnsi="宋体" w:eastAsia="宋体" w:cs="宋体"/>
                <w:sz w:val="24"/>
                <w:szCs w:val="22"/>
                <w:lang w:val="zh-CN" w:bidi="zh-CN"/>
              </w:rPr>
              <w:t>□现场参观</w:t>
            </w:r>
            <w:r>
              <w:rPr>
                <w:rFonts w:hint="eastAsia" w:ascii="宋体" w:hAnsi="宋体" w:eastAsia="宋体" w:cs="宋体"/>
                <w:sz w:val="24"/>
                <w:szCs w:val="22"/>
                <w:lang w:bidi="zh-CN"/>
              </w:rPr>
              <w:t xml:space="preserve"> </w:t>
            </w:r>
            <w:r>
              <w:rPr>
                <w:rFonts w:ascii="宋体" w:hAnsi="宋体" w:eastAsia="宋体" w:cs="宋体"/>
                <w:sz w:val="24"/>
                <w:szCs w:val="22"/>
                <w:lang w:bidi="zh-CN"/>
              </w:rPr>
              <w:t xml:space="preserve">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t xml:space="preserve"> </w:t>
            </w:r>
            <w:r>
              <w:rPr>
                <w:rFonts w:hint="eastAsia" w:ascii="宋体" w:hAnsi="宋体" w:eastAsia="宋体" w:cs="宋体"/>
                <w:sz w:val="24"/>
                <w:szCs w:val="22"/>
                <w:lang w:val="zh-CN" w:bidi="zh-CN"/>
              </w:rPr>
              <w:t>□</w:t>
            </w:r>
            <w:r>
              <w:rPr>
                <w:rFonts w:ascii="宋体" w:hAnsi="宋体" w:eastAsia="宋体" w:cs="宋体"/>
                <w:sz w:val="24"/>
                <w:szCs w:val="22"/>
                <w:lang w:val="zh-CN" w:bidi="zh-CN"/>
              </w:rPr>
              <w:t xml:space="preserve"> 其 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70" w:type="dxa"/>
          </w:tcPr>
          <w:p>
            <w:pPr>
              <w:autoSpaceDE w:val="0"/>
              <w:autoSpaceDN w:val="0"/>
              <w:spacing w:before="12"/>
              <w:rPr>
                <w:rFonts w:ascii="宋体" w:hAnsi="宋体" w:eastAsia="宋体" w:cs="宋体"/>
                <w:sz w:val="17"/>
                <w:szCs w:val="22"/>
                <w:lang w:val="zh-CN" w:bidi="zh-CN"/>
              </w:rPr>
            </w:pPr>
          </w:p>
          <w:p>
            <w:pPr>
              <w:autoSpaceDE w:val="0"/>
              <w:autoSpaceDN w:val="0"/>
              <w:spacing w:line="242" w:lineRule="auto"/>
              <w:ind w:left="182" w:right="50" w:hanging="120"/>
              <w:rPr>
                <w:rFonts w:ascii="宋体" w:hAnsi="宋体" w:eastAsia="宋体" w:cs="宋体"/>
                <w:b/>
                <w:sz w:val="24"/>
                <w:szCs w:val="22"/>
                <w:lang w:val="zh-CN" w:bidi="zh-CN"/>
              </w:rPr>
            </w:pPr>
            <w:r>
              <w:rPr>
                <w:rFonts w:ascii="宋体" w:hAnsi="宋体" w:eastAsia="宋体" w:cs="宋体"/>
                <w:b/>
                <w:sz w:val="24"/>
                <w:szCs w:val="22"/>
                <w:lang w:val="zh-CN" w:bidi="zh-CN"/>
              </w:rPr>
              <w:t>参与单位名称</w:t>
            </w:r>
            <w:r>
              <w:rPr>
                <w:rFonts w:ascii="宋体" w:hAnsi="宋体" w:eastAsia="宋体" w:cs="宋体"/>
                <w:b/>
                <w:w w:val="99"/>
                <w:sz w:val="24"/>
                <w:szCs w:val="22"/>
                <w:lang w:val="zh-CN" w:bidi="zh-CN"/>
              </w:rPr>
              <w:t xml:space="preserve"> </w:t>
            </w:r>
          </w:p>
        </w:tc>
        <w:tc>
          <w:tcPr>
            <w:tcW w:w="8626" w:type="dxa"/>
            <w:gridSpan w:val="2"/>
          </w:tcPr>
          <w:p>
            <w:pPr>
              <w:tabs>
                <w:tab w:val="left" w:pos="8360"/>
              </w:tabs>
              <w:autoSpaceDE w:val="0"/>
              <w:autoSpaceDN w:val="0"/>
              <w:spacing w:before="64" w:line="295" w:lineRule="auto"/>
              <w:ind w:left="4" w:right="80"/>
              <w:rPr>
                <w:rFonts w:ascii="宋体" w:hAnsi="宋体" w:cs="宋体"/>
                <w:sz w:val="24"/>
                <w:szCs w:val="22"/>
                <w:lang w:bidi="zh-CN"/>
              </w:rPr>
            </w:pPr>
            <w:r>
              <w:rPr>
                <w:rFonts w:hint="eastAsia"/>
                <w:sz w:val="24"/>
              </w:rPr>
              <w:t>兴业证券、工银瑞信基金、国泰君安证券、国寿资产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1570" w:type="dxa"/>
          </w:tcPr>
          <w:p>
            <w:pPr>
              <w:autoSpaceDE w:val="0"/>
              <w:autoSpaceDN w:val="0"/>
              <w:spacing w:before="184"/>
              <w:ind w:right="530"/>
              <w:jc w:val="right"/>
              <w:rPr>
                <w:rFonts w:ascii="宋体" w:hAnsi="宋体" w:eastAsia="宋体" w:cs="宋体"/>
                <w:b/>
                <w:sz w:val="24"/>
                <w:szCs w:val="22"/>
                <w:lang w:val="zh-CN" w:bidi="zh-CN"/>
              </w:rPr>
            </w:pPr>
            <w:r>
              <w:rPr>
                <w:rFonts w:ascii="宋体" w:hAnsi="宋体" w:eastAsia="宋体" w:cs="宋体"/>
                <w:b/>
                <w:sz w:val="24"/>
                <w:szCs w:val="22"/>
                <w:lang w:val="zh-CN" w:bidi="zh-CN"/>
              </w:rPr>
              <w:t>时间</w:t>
            </w:r>
          </w:p>
        </w:tc>
        <w:tc>
          <w:tcPr>
            <w:tcW w:w="8626" w:type="dxa"/>
            <w:gridSpan w:val="2"/>
          </w:tcPr>
          <w:p>
            <w:pPr>
              <w:pStyle w:val="4"/>
              <w:spacing w:before="167"/>
              <w:ind w:left="124"/>
              <w:rPr>
                <w:rFonts w:ascii="宋体" w:hAnsi="宋体" w:eastAsia="宋体" w:cs="宋体"/>
                <w:sz w:val="24"/>
                <w:szCs w:val="22"/>
                <w:lang w:bidi="zh-CN"/>
              </w:rPr>
            </w:pPr>
            <w:r>
              <w:rPr>
                <w:rFonts w:hint="eastAsia" w:ascii="宋体" w:hAnsi="宋体" w:eastAsia="宋体" w:cs="宋体"/>
                <w:sz w:val="24"/>
              </w:rPr>
              <w:t>2024年1月11日9:30-11:00；2024年1月12日13:30-15:30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570" w:type="dxa"/>
          </w:tcPr>
          <w:p>
            <w:pPr>
              <w:autoSpaceDE w:val="0"/>
              <w:autoSpaceDN w:val="0"/>
              <w:spacing w:before="182"/>
              <w:ind w:right="530"/>
              <w:jc w:val="right"/>
              <w:rPr>
                <w:rFonts w:ascii="宋体" w:hAnsi="宋体" w:eastAsia="宋体" w:cs="宋体"/>
                <w:b/>
                <w:sz w:val="24"/>
                <w:szCs w:val="22"/>
                <w:lang w:val="zh-CN" w:bidi="zh-CN"/>
              </w:rPr>
            </w:pPr>
            <w:r>
              <w:rPr>
                <w:rFonts w:ascii="宋体" w:hAnsi="宋体" w:eastAsia="宋体" w:cs="宋体"/>
                <w:b/>
                <w:sz w:val="24"/>
                <w:szCs w:val="22"/>
                <w:lang w:val="zh-CN" w:bidi="zh-CN"/>
              </w:rPr>
              <w:t>地点</w:t>
            </w:r>
          </w:p>
        </w:tc>
        <w:tc>
          <w:tcPr>
            <w:tcW w:w="8626" w:type="dxa"/>
            <w:gridSpan w:val="2"/>
          </w:tcPr>
          <w:p>
            <w:pPr>
              <w:autoSpaceDE w:val="0"/>
              <w:autoSpaceDN w:val="0"/>
              <w:spacing w:before="166"/>
              <w:ind w:left="4"/>
              <w:rPr>
                <w:rFonts w:ascii="宋体" w:hAnsi="宋体" w:eastAsia="宋体" w:cs="宋体"/>
                <w:sz w:val="24"/>
                <w:szCs w:val="22"/>
                <w:lang w:val="zh-CN" w:bidi="zh-CN"/>
              </w:rPr>
            </w:pPr>
            <w:r>
              <w:rPr>
                <w:sz w:val="24"/>
              </w:rPr>
              <w:t>公司会议室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570" w:type="dxa"/>
          </w:tcPr>
          <w:p>
            <w:pPr>
              <w:autoSpaceDE w:val="0"/>
              <w:autoSpaceDN w:val="0"/>
              <w:spacing w:before="156" w:line="242" w:lineRule="auto"/>
              <w:ind w:left="302" w:right="51" w:hanging="241"/>
              <w:rPr>
                <w:rFonts w:ascii="宋体" w:hAnsi="宋体" w:eastAsia="宋体" w:cs="宋体"/>
                <w:b/>
                <w:sz w:val="24"/>
                <w:szCs w:val="22"/>
                <w:lang w:val="zh-CN" w:bidi="zh-CN"/>
              </w:rPr>
            </w:pPr>
            <w:r>
              <w:rPr>
                <w:rFonts w:ascii="宋体" w:hAnsi="宋体" w:eastAsia="宋体" w:cs="宋体"/>
                <w:b/>
                <w:sz w:val="24"/>
                <w:szCs w:val="22"/>
                <w:lang w:val="zh-CN" w:bidi="zh-CN"/>
              </w:rPr>
              <w:t>上市公司接待人员姓名</w:t>
            </w:r>
          </w:p>
        </w:tc>
        <w:tc>
          <w:tcPr>
            <w:tcW w:w="8626" w:type="dxa"/>
            <w:gridSpan w:val="2"/>
          </w:tcPr>
          <w:p>
            <w:pPr>
              <w:autoSpaceDE w:val="0"/>
              <w:autoSpaceDN w:val="0"/>
              <w:ind w:left="4"/>
              <w:rPr>
                <w:rFonts w:ascii="宋体" w:hAnsi="宋体" w:eastAsia="宋体" w:cs="宋体"/>
                <w:sz w:val="24"/>
                <w:szCs w:val="22"/>
                <w:lang w:val="zh-CN" w:bidi="zh-CN"/>
              </w:rPr>
            </w:pPr>
          </w:p>
          <w:p>
            <w:pPr>
              <w:autoSpaceDE w:val="0"/>
              <w:autoSpaceDN w:val="0"/>
              <w:ind w:left="4"/>
              <w:rPr>
                <w:rFonts w:ascii="宋体" w:hAnsi="宋体" w:eastAsia="宋体" w:cs="宋体"/>
                <w:sz w:val="24"/>
                <w:szCs w:val="22"/>
                <w:lang w:bidi="zh-CN"/>
              </w:rPr>
            </w:pPr>
            <w:r>
              <w:rPr>
                <w:rFonts w:hint="eastAsia"/>
                <w:sz w:val="24"/>
              </w:rPr>
              <w:t>董事会秘书祁勇 、财务总监吴效超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70" w:type="dxa"/>
            <w:tcBorders>
              <w:bottom w:val="nil"/>
            </w:tcBorders>
          </w:tcPr>
          <w:p>
            <w:pPr>
              <w:autoSpaceDE w:val="0"/>
              <w:autoSpaceDN w:val="0"/>
              <w:rPr>
                <w:rFonts w:ascii="Times New Roman" w:hAnsi="宋体" w:eastAsia="宋体" w:cs="宋体"/>
                <w:b/>
                <w:bCs/>
                <w:sz w:val="24"/>
                <w:szCs w:val="22"/>
                <w:lang w:val="zh-CN" w:bidi="zh-CN"/>
              </w:rPr>
            </w:pPr>
            <w:r>
              <w:rPr>
                <w:rFonts w:hint="eastAsia" w:ascii="Times New Roman" w:hAnsi="宋体" w:eastAsia="宋体" w:cs="宋体"/>
                <w:b/>
                <w:bCs/>
                <w:sz w:val="24"/>
                <w:szCs w:val="22"/>
                <w:lang w:val="zh-CN" w:bidi="zh-CN"/>
              </w:rPr>
              <w:t>投资者关系活动主要内容介绍</w:t>
            </w:r>
          </w:p>
        </w:tc>
        <w:tc>
          <w:tcPr>
            <w:tcW w:w="8626" w:type="dxa"/>
            <w:gridSpan w:val="2"/>
            <w:tcBorders>
              <w:bottom w:val="nil"/>
            </w:tcBorders>
          </w:tcPr>
          <w:p>
            <w:pPr>
              <w:spacing w:line="360" w:lineRule="auto"/>
              <w:rPr>
                <w:b/>
                <w:bCs/>
                <w:sz w:val="24"/>
              </w:rPr>
            </w:pPr>
            <w:r>
              <w:rPr>
                <w:rFonts w:hint="eastAsia"/>
                <w:b/>
                <w:bCs/>
                <w:sz w:val="24"/>
              </w:rPr>
              <w:t>投资者提问：</w:t>
            </w:r>
            <w:r>
              <w:rPr>
                <w:rFonts w:hint="eastAsia"/>
                <w:sz w:val="24"/>
              </w:rPr>
              <w:t>公司在什么情况下会不接订单？</w:t>
            </w:r>
          </w:p>
          <w:p>
            <w:pPr>
              <w:spacing w:line="360" w:lineRule="auto"/>
              <w:rPr>
                <w:b/>
                <w:bCs/>
                <w:sz w:val="24"/>
              </w:rPr>
            </w:pPr>
            <w:r>
              <w:rPr>
                <w:rFonts w:hint="eastAsia"/>
                <w:b/>
                <w:bCs/>
                <w:sz w:val="24"/>
              </w:rPr>
              <w:t>财务总监：</w:t>
            </w:r>
            <w:r>
              <w:rPr>
                <w:rFonts w:hint="eastAsia"/>
                <w:sz w:val="24"/>
              </w:rPr>
              <w:t>公司每笔订单都要提前进行成本测算，</w:t>
            </w:r>
            <w:r>
              <w:rPr>
                <w:rFonts w:hint="eastAsia"/>
                <w:sz w:val="24"/>
                <w:lang w:val="en-US" w:eastAsia="zh-CN"/>
              </w:rPr>
              <w:t>原则上</w:t>
            </w:r>
            <w:r>
              <w:rPr>
                <w:rFonts w:hint="eastAsia"/>
                <w:sz w:val="24"/>
              </w:rPr>
              <w:t>边际利润以下的订单不会接单。</w:t>
            </w:r>
          </w:p>
          <w:p>
            <w:pPr>
              <w:spacing w:line="360" w:lineRule="auto"/>
              <w:rPr>
                <w:sz w:val="24"/>
              </w:rPr>
            </w:pPr>
            <w:r>
              <w:rPr>
                <w:b/>
                <w:bCs/>
                <w:sz w:val="24"/>
              </w:rPr>
              <w:t>投资者提问：</w:t>
            </w:r>
            <w:r>
              <w:rPr>
                <w:rFonts w:hint="eastAsia"/>
                <w:sz w:val="24"/>
              </w:rPr>
              <w:t>东北特钢将股权协议转让给沙钢后，公司管理机制是否有改变？</w:t>
            </w:r>
          </w:p>
          <w:p>
            <w:pPr>
              <w:spacing w:line="360" w:lineRule="auto"/>
              <w:rPr>
                <w:sz w:val="24"/>
              </w:rPr>
            </w:pPr>
            <w:r>
              <w:rPr>
                <w:rFonts w:hint="eastAsia"/>
                <w:b/>
                <w:bCs/>
                <w:sz w:val="24"/>
              </w:rPr>
              <w:t>财务总监：</w:t>
            </w:r>
            <w:r>
              <w:rPr>
                <w:rFonts w:hint="eastAsia"/>
                <w:sz w:val="24"/>
              </w:rPr>
              <w:t>东北特钢将股权协议转让给沙钢后，公司管理机制没有发生变化，绩效考核方面仍使用经营承包方式。</w:t>
            </w:r>
          </w:p>
          <w:p>
            <w:pPr>
              <w:spacing w:line="360" w:lineRule="auto"/>
              <w:rPr>
                <w:sz w:val="24"/>
              </w:rPr>
            </w:pPr>
            <w:r>
              <w:rPr>
                <w:rFonts w:hint="eastAsia"/>
                <w:b/>
                <w:bCs/>
                <w:sz w:val="24"/>
              </w:rPr>
              <w:t>投资者提问：</w:t>
            </w:r>
            <w:r>
              <w:rPr>
                <w:rFonts w:hint="eastAsia"/>
                <w:sz w:val="24"/>
              </w:rPr>
              <w:t>项目投产的进度情况如何。</w:t>
            </w:r>
          </w:p>
          <w:p>
            <w:pPr>
              <w:spacing w:line="360" w:lineRule="auto"/>
              <w:rPr>
                <w:b/>
                <w:bCs/>
                <w:sz w:val="24"/>
                <w:highlight w:val="none"/>
              </w:rPr>
            </w:pPr>
            <w:r>
              <w:rPr>
                <w:rFonts w:hint="eastAsia"/>
                <w:b/>
                <w:bCs/>
                <w:sz w:val="24"/>
              </w:rPr>
              <w:t>董事会秘书：</w:t>
            </w:r>
            <w:r>
              <w:rPr>
                <w:rFonts w:hint="eastAsia"/>
                <w:sz w:val="24"/>
              </w:rPr>
              <w:t>公司前期披露的重点项目中，均质化项目、产业化一期项目、20台电渣炉项目中的设备均已投产，提升特冶产能项目中的12吨真空感应炉也于2023年12月末开始热</w:t>
            </w:r>
            <w:r>
              <w:rPr>
                <w:rFonts w:hint="eastAsia"/>
                <w:sz w:val="24"/>
                <w:highlight w:val="none"/>
              </w:rPr>
              <w:t>试。提升特冶产能项目二期的6台真空自耗炉设备已进入制造周期。</w:t>
            </w:r>
          </w:p>
          <w:p>
            <w:pPr>
              <w:spacing w:line="360" w:lineRule="auto"/>
              <w:rPr>
                <w:sz w:val="24"/>
                <w:highlight w:val="none"/>
              </w:rPr>
            </w:pPr>
            <w:r>
              <w:rPr>
                <w:rFonts w:hint="eastAsia"/>
                <w:b/>
                <w:bCs/>
                <w:sz w:val="24"/>
                <w:highlight w:val="none"/>
              </w:rPr>
              <w:t>投资者提问：</w:t>
            </w:r>
            <w:r>
              <w:rPr>
                <w:rFonts w:hint="eastAsia"/>
                <w:sz w:val="24"/>
                <w:highlight w:val="none"/>
              </w:rPr>
              <w:t>公司特冶产能利用率情况如何？</w:t>
            </w:r>
          </w:p>
          <w:p>
            <w:pPr>
              <w:spacing w:line="360" w:lineRule="auto"/>
              <w:rPr>
                <w:b/>
                <w:bCs/>
                <w:strike/>
                <w:sz w:val="24"/>
                <w:highlight w:val="none"/>
              </w:rPr>
            </w:pPr>
            <w:r>
              <w:rPr>
                <w:rFonts w:hint="eastAsia"/>
                <w:b/>
                <w:bCs/>
                <w:sz w:val="24"/>
                <w:highlight w:val="none"/>
              </w:rPr>
              <w:t>董事会秘书：</w:t>
            </w:r>
            <w:r>
              <w:rPr>
                <w:rFonts w:hint="eastAsia"/>
                <w:sz w:val="24"/>
                <w:highlight w:val="none"/>
              </w:rPr>
              <w:t>公司特冶设备在保证设备日常定、检修的基础上，按设备最大可开动率进行生产组织，最大程度发挥特冶产能利用率。</w:t>
            </w:r>
          </w:p>
          <w:p>
            <w:pPr>
              <w:spacing w:line="360" w:lineRule="auto"/>
              <w:rPr>
                <w:b/>
                <w:bCs/>
                <w:sz w:val="24"/>
                <w:highlight w:val="none"/>
              </w:rPr>
            </w:pPr>
            <w:r>
              <w:rPr>
                <w:rFonts w:hint="eastAsia"/>
                <w:b/>
                <w:bCs/>
                <w:sz w:val="24"/>
                <w:highlight w:val="none"/>
              </w:rPr>
              <w:t>投资者提问：</w:t>
            </w:r>
            <w:r>
              <w:rPr>
                <w:rFonts w:hint="eastAsia"/>
                <w:sz w:val="24"/>
                <w:highlight w:val="none"/>
              </w:rPr>
              <w:t>原材料和能源成本对公司成本的影响。</w:t>
            </w:r>
          </w:p>
          <w:p>
            <w:pPr>
              <w:spacing w:line="360" w:lineRule="auto"/>
              <w:rPr>
                <w:rFonts w:ascii="宋体" w:hAnsi="宋体" w:eastAsia="宋体" w:cs="宋体"/>
                <w:kern w:val="0"/>
                <w:sz w:val="24"/>
                <w:lang w:bidi="zh-CN"/>
              </w:rPr>
            </w:pPr>
            <w:r>
              <w:rPr>
                <w:rFonts w:hint="eastAsia"/>
                <w:b/>
                <w:bCs/>
                <w:sz w:val="24"/>
                <w:highlight w:val="none"/>
              </w:rPr>
              <w:t>董事会秘书：</w:t>
            </w:r>
            <w:r>
              <w:rPr>
                <w:rFonts w:hint="eastAsia"/>
                <w:sz w:val="24"/>
                <w:highlight w:val="none"/>
              </w:rPr>
              <w:t>一是2022年受原料镍价格的上涨，公司利润大幅下降，虽然公司调</w:t>
            </w:r>
            <w:r>
              <w:rPr>
                <w:rFonts w:hint="eastAsia"/>
                <w:sz w:val="24"/>
              </w:rPr>
              <w:t>整了含镍产品的价格，</w:t>
            </w:r>
            <w:r>
              <w:rPr>
                <w:rFonts w:hint="eastAsia"/>
                <w:sz w:val="24"/>
                <w:highlight w:val="none"/>
              </w:rPr>
              <w:t>但上调产品价格带来的增收部分依然不能完成抵消以镍为主的主要原材料上涨带来的成本增加。</w:t>
            </w:r>
            <w:r>
              <w:rPr>
                <w:rFonts w:hint="eastAsia"/>
                <w:sz w:val="24"/>
              </w:rPr>
              <w:t>二是能源方面，电、天然气的价格在2021-2022年持续上涨，对公司利润影响较大，2023年公司电</w:t>
            </w:r>
            <w:r>
              <w:rPr>
                <w:rFonts w:hint="eastAsia"/>
                <w:sz w:val="24"/>
                <w:lang w:val="en-US" w:eastAsia="zh-CN"/>
              </w:rPr>
              <w:t>平均采购价格与上年基本持平，</w:t>
            </w:r>
            <w:r>
              <w:rPr>
                <w:rFonts w:hint="eastAsia"/>
                <w:sz w:val="24"/>
              </w:rPr>
              <w:t>天然气的</w:t>
            </w:r>
            <w:r>
              <w:rPr>
                <w:rFonts w:hint="eastAsia"/>
                <w:sz w:val="24"/>
                <w:lang w:val="en-US" w:eastAsia="zh-CN"/>
              </w:rPr>
              <w:t>平均</w:t>
            </w:r>
            <w:r>
              <w:rPr>
                <w:rFonts w:hint="eastAsia"/>
                <w:sz w:val="24"/>
              </w:rPr>
              <w:t>采购价格</w:t>
            </w:r>
            <w:r>
              <w:rPr>
                <w:rFonts w:hint="eastAsia"/>
                <w:sz w:val="24"/>
                <w:lang w:val="en-US" w:eastAsia="zh-CN"/>
              </w:rPr>
              <w:t>比上年</w:t>
            </w:r>
            <w:bookmarkStart w:id="0" w:name="_GoBack"/>
            <w:bookmarkEnd w:id="0"/>
            <w:r>
              <w:rPr>
                <w:rFonts w:hint="eastAsia"/>
                <w:sz w:val="24"/>
                <w:lang w:val="en-US" w:eastAsia="zh-CN"/>
              </w:rPr>
              <w:t>略有上升</w:t>
            </w:r>
            <w:r>
              <w:rPr>
                <w:rFonts w:hint="eastAsia"/>
                <w:sz w:val="24"/>
                <w:lang w:eastAsia="zh-CN"/>
              </w:rPr>
              <w:t>，</w:t>
            </w:r>
            <w:r>
              <w:rPr>
                <w:rFonts w:hint="eastAsia"/>
                <w:sz w:val="24"/>
                <w:lang w:val="en-US" w:eastAsia="zh-CN"/>
              </w:rPr>
              <w:t>但</w:t>
            </w:r>
            <w:r>
              <w:rPr>
                <w:rFonts w:hint="eastAsia"/>
                <w:sz w:val="24"/>
              </w:rPr>
              <w:t>公司通过大力度的内部挖潜，能源成本在</w:t>
            </w:r>
            <w:r>
              <w:rPr>
                <w:rFonts w:hint="eastAsia"/>
                <w:sz w:val="24"/>
                <w:lang w:val="en-US" w:eastAsia="zh-CN"/>
              </w:rPr>
              <w:t>逐步</w:t>
            </w:r>
            <w:r>
              <w:rPr>
                <w:rFonts w:hint="eastAsia"/>
                <w:sz w:val="24"/>
              </w:rPr>
              <w:t>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570" w:type="dxa"/>
          </w:tcPr>
          <w:p>
            <w:pPr>
              <w:autoSpaceDE w:val="0"/>
              <w:autoSpaceDN w:val="0"/>
              <w:spacing w:before="2"/>
              <w:ind w:left="302"/>
              <w:rPr>
                <w:rFonts w:ascii="宋体" w:hAnsi="宋体" w:eastAsia="宋体" w:cs="宋体"/>
                <w:b/>
                <w:sz w:val="24"/>
                <w:szCs w:val="22"/>
                <w:lang w:val="zh-CN" w:bidi="zh-CN"/>
              </w:rPr>
            </w:pPr>
            <w:r>
              <w:rPr>
                <w:rFonts w:hint="eastAsia" w:ascii="宋体" w:hAnsi="宋体" w:eastAsia="宋体" w:cs="宋体"/>
                <w:b/>
                <w:sz w:val="24"/>
                <w:szCs w:val="22"/>
                <w:lang w:val="zh-CN" w:bidi="zh-CN"/>
              </w:rPr>
              <w:t>附件清单（如有）</w:t>
            </w:r>
          </w:p>
        </w:tc>
        <w:tc>
          <w:tcPr>
            <w:tcW w:w="8626" w:type="dxa"/>
            <w:gridSpan w:val="2"/>
          </w:tcPr>
          <w:p>
            <w:pPr>
              <w:autoSpaceDE w:val="0"/>
              <w:autoSpaceDN w:val="0"/>
              <w:spacing w:before="105"/>
              <w:ind w:left="124"/>
              <w:rPr>
                <w:rFonts w:ascii="宋体" w:hAnsi="宋体" w:eastAsia="宋体" w:cs="宋体"/>
                <w:sz w:val="24"/>
                <w:szCs w:val="22"/>
                <w:lang w:val="zh-CN" w:bidi="zh-CN"/>
              </w:rPr>
            </w:pPr>
            <w:r>
              <w:rPr>
                <w:rFonts w:hint="eastAsia" w:ascii="宋体" w:hAnsi="宋体" w:eastAsia="宋体" w:cs="宋体"/>
                <w:sz w:val="24"/>
                <w:szCs w:val="22"/>
                <w:lang w:val="zh-CN" w:bidi="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570" w:type="dxa"/>
          </w:tcPr>
          <w:p>
            <w:pPr>
              <w:autoSpaceDE w:val="0"/>
              <w:autoSpaceDN w:val="0"/>
              <w:spacing w:before="182"/>
              <w:ind w:left="61" w:right="51"/>
              <w:jc w:val="center"/>
              <w:rPr>
                <w:rFonts w:ascii="宋体" w:hAnsi="宋体" w:eastAsia="宋体" w:cs="宋体"/>
                <w:b/>
                <w:sz w:val="24"/>
                <w:szCs w:val="22"/>
                <w:lang w:val="zh-CN" w:bidi="zh-CN"/>
              </w:rPr>
            </w:pPr>
            <w:r>
              <w:rPr>
                <w:rFonts w:hint="eastAsia" w:ascii="宋体" w:hAnsi="宋体" w:eastAsia="宋体" w:cs="宋体"/>
                <w:b/>
                <w:sz w:val="24"/>
                <w:szCs w:val="22"/>
                <w:lang w:val="zh-CN" w:bidi="zh-CN"/>
              </w:rPr>
              <w:t>日期</w:t>
            </w:r>
          </w:p>
        </w:tc>
        <w:tc>
          <w:tcPr>
            <w:tcW w:w="8626" w:type="dxa"/>
            <w:gridSpan w:val="2"/>
          </w:tcPr>
          <w:p>
            <w:pPr>
              <w:autoSpaceDE w:val="0"/>
              <w:autoSpaceDN w:val="0"/>
              <w:spacing w:before="105"/>
              <w:ind w:left="124"/>
              <w:rPr>
                <w:rFonts w:ascii="宋体" w:hAnsi="宋体" w:eastAsia="宋体" w:cs="宋体"/>
                <w:sz w:val="24"/>
                <w:szCs w:val="22"/>
                <w:lang w:bidi="zh-CN"/>
              </w:rPr>
            </w:pPr>
            <w:r>
              <w:rPr>
                <w:rFonts w:hint="eastAsia" w:ascii="宋体" w:hAnsi="宋体" w:eastAsia="宋体" w:cs="宋体"/>
                <w:sz w:val="24"/>
                <w:szCs w:val="22"/>
                <w:lang w:bidi="zh-CN"/>
              </w:rPr>
              <w:t>2024年1月15日</w:t>
            </w:r>
          </w:p>
        </w:tc>
      </w:tr>
    </w:tbl>
    <w:p>
      <w:pPr>
        <w:autoSpaceDE w:val="0"/>
        <w:autoSpaceDN w:val="0"/>
        <w:jc w:val="left"/>
        <w:rPr>
          <w:rFonts w:ascii="宋体" w:hAnsi="宋体" w:eastAsia="宋体" w:cs="宋体"/>
          <w:kern w:val="0"/>
          <w:sz w:val="22"/>
          <w:szCs w:val="22"/>
          <w:lang w:val="zh-CN" w:bidi="zh-CN"/>
        </w:rPr>
      </w:pPr>
    </w:p>
    <w:p/>
    <w:sectPr>
      <w:headerReference r:id="rId3" w:type="default"/>
      <w:pgSz w:w="11910" w:h="16850"/>
      <w:pgMar w:top="1320" w:right="740" w:bottom="280" w:left="9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utoSpaceDE w:val="0"/>
      <w:autoSpaceDN w:val="0"/>
      <w:snapToGrid w:val="0"/>
      <w:jc w:val="center"/>
      <w:rPr>
        <w:rFonts w:ascii="宋体" w:hAnsi="宋体" w:eastAsia="宋体" w:cs="宋体"/>
        <w:sz w:val="18"/>
        <w:szCs w:val="18"/>
        <w:lang w:val="zh-CN" w:bidi="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2YzY3NjU1NWY0ZDVjMzI5OTlhOWNhOGI2MGE0YTkifQ=="/>
  </w:docVars>
  <w:rsids>
    <w:rsidRoot w:val="00F11655"/>
    <w:rsid w:val="000A4965"/>
    <w:rsid w:val="001A39DE"/>
    <w:rsid w:val="003308FB"/>
    <w:rsid w:val="00366655"/>
    <w:rsid w:val="005F0C5E"/>
    <w:rsid w:val="006F3401"/>
    <w:rsid w:val="00AE43F3"/>
    <w:rsid w:val="00BC15D8"/>
    <w:rsid w:val="00C45726"/>
    <w:rsid w:val="00F11655"/>
    <w:rsid w:val="012D7B5A"/>
    <w:rsid w:val="013F3139"/>
    <w:rsid w:val="01602501"/>
    <w:rsid w:val="017F2147"/>
    <w:rsid w:val="018B63C5"/>
    <w:rsid w:val="01B731D1"/>
    <w:rsid w:val="01E04A18"/>
    <w:rsid w:val="02B04261"/>
    <w:rsid w:val="02B10D12"/>
    <w:rsid w:val="02B46C7A"/>
    <w:rsid w:val="02C45160"/>
    <w:rsid w:val="031E3986"/>
    <w:rsid w:val="0320623D"/>
    <w:rsid w:val="032247BF"/>
    <w:rsid w:val="033039E9"/>
    <w:rsid w:val="03404E7D"/>
    <w:rsid w:val="034D76B1"/>
    <w:rsid w:val="036D7D41"/>
    <w:rsid w:val="0390235D"/>
    <w:rsid w:val="039F6AAB"/>
    <w:rsid w:val="04315E3C"/>
    <w:rsid w:val="044A2D04"/>
    <w:rsid w:val="049A6DE3"/>
    <w:rsid w:val="05097119"/>
    <w:rsid w:val="051646D8"/>
    <w:rsid w:val="05350E76"/>
    <w:rsid w:val="05592F86"/>
    <w:rsid w:val="05981BD1"/>
    <w:rsid w:val="05E21DD1"/>
    <w:rsid w:val="0604677F"/>
    <w:rsid w:val="06652E36"/>
    <w:rsid w:val="06740695"/>
    <w:rsid w:val="067640DC"/>
    <w:rsid w:val="06C97E02"/>
    <w:rsid w:val="06D41105"/>
    <w:rsid w:val="06D45844"/>
    <w:rsid w:val="06ED71B1"/>
    <w:rsid w:val="06F862ED"/>
    <w:rsid w:val="07520C56"/>
    <w:rsid w:val="07573874"/>
    <w:rsid w:val="078D4CE5"/>
    <w:rsid w:val="07A53612"/>
    <w:rsid w:val="07C41E85"/>
    <w:rsid w:val="07E45660"/>
    <w:rsid w:val="07E56742"/>
    <w:rsid w:val="07F43D23"/>
    <w:rsid w:val="086A5B7C"/>
    <w:rsid w:val="08AD3E9E"/>
    <w:rsid w:val="08B136BA"/>
    <w:rsid w:val="08D86F35"/>
    <w:rsid w:val="091117DC"/>
    <w:rsid w:val="092C23C3"/>
    <w:rsid w:val="093336DE"/>
    <w:rsid w:val="097B05AE"/>
    <w:rsid w:val="098611B7"/>
    <w:rsid w:val="099B34CB"/>
    <w:rsid w:val="09B45E8B"/>
    <w:rsid w:val="09C21C95"/>
    <w:rsid w:val="09C61920"/>
    <w:rsid w:val="09CF3489"/>
    <w:rsid w:val="09EA05BB"/>
    <w:rsid w:val="09F96309"/>
    <w:rsid w:val="09FA1FD6"/>
    <w:rsid w:val="0A0258E1"/>
    <w:rsid w:val="0A2D1F6C"/>
    <w:rsid w:val="0A741151"/>
    <w:rsid w:val="0AAC1D27"/>
    <w:rsid w:val="0B245AB2"/>
    <w:rsid w:val="0B2B5778"/>
    <w:rsid w:val="0B477633"/>
    <w:rsid w:val="0B8F30C0"/>
    <w:rsid w:val="0C236AD7"/>
    <w:rsid w:val="0C283DE0"/>
    <w:rsid w:val="0C2C7257"/>
    <w:rsid w:val="0C71623D"/>
    <w:rsid w:val="0C8748D6"/>
    <w:rsid w:val="0C8F63AE"/>
    <w:rsid w:val="0CA665EB"/>
    <w:rsid w:val="0CCE21C4"/>
    <w:rsid w:val="0CF26F06"/>
    <w:rsid w:val="0D336993"/>
    <w:rsid w:val="0D3A5C84"/>
    <w:rsid w:val="0D94504E"/>
    <w:rsid w:val="0D974085"/>
    <w:rsid w:val="0DA717AF"/>
    <w:rsid w:val="0DC63322"/>
    <w:rsid w:val="0DF523F3"/>
    <w:rsid w:val="0E314741"/>
    <w:rsid w:val="0E3F6984"/>
    <w:rsid w:val="0E6B455E"/>
    <w:rsid w:val="0EAB13CD"/>
    <w:rsid w:val="0EB3356C"/>
    <w:rsid w:val="0EC17E2F"/>
    <w:rsid w:val="0ED73A7D"/>
    <w:rsid w:val="0EDF20C7"/>
    <w:rsid w:val="0EFB2D1E"/>
    <w:rsid w:val="0F0E5961"/>
    <w:rsid w:val="0F1156E0"/>
    <w:rsid w:val="0F2A7608"/>
    <w:rsid w:val="0F9B1A83"/>
    <w:rsid w:val="0FE2741F"/>
    <w:rsid w:val="10105865"/>
    <w:rsid w:val="10483D80"/>
    <w:rsid w:val="10990B31"/>
    <w:rsid w:val="10BD6EC9"/>
    <w:rsid w:val="11232F1A"/>
    <w:rsid w:val="11E562DE"/>
    <w:rsid w:val="11F14FD7"/>
    <w:rsid w:val="121A3143"/>
    <w:rsid w:val="1246705F"/>
    <w:rsid w:val="124B5971"/>
    <w:rsid w:val="126A0820"/>
    <w:rsid w:val="128B4D09"/>
    <w:rsid w:val="129F289B"/>
    <w:rsid w:val="12C23120"/>
    <w:rsid w:val="12D64C82"/>
    <w:rsid w:val="12E30105"/>
    <w:rsid w:val="12ED537A"/>
    <w:rsid w:val="13154E3D"/>
    <w:rsid w:val="131C2F15"/>
    <w:rsid w:val="132C6E30"/>
    <w:rsid w:val="1338656A"/>
    <w:rsid w:val="137578B0"/>
    <w:rsid w:val="13E950BA"/>
    <w:rsid w:val="141C613A"/>
    <w:rsid w:val="14317595"/>
    <w:rsid w:val="14B804D5"/>
    <w:rsid w:val="14BD6920"/>
    <w:rsid w:val="14D01CF2"/>
    <w:rsid w:val="154F762B"/>
    <w:rsid w:val="15737438"/>
    <w:rsid w:val="15B5612B"/>
    <w:rsid w:val="160A3D6B"/>
    <w:rsid w:val="164431AD"/>
    <w:rsid w:val="166C023B"/>
    <w:rsid w:val="168666B7"/>
    <w:rsid w:val="16B204CC"/>
    <w:rsid w:val="17730A5C"/>
    <w:rsid w:val="18AE4753"/>
    <w:rsid w:val="18CD6D67"/>
    <w:rsid w:val="193A140D"/>
    <w:rsid w:val="196068F0"/>
    <w:rsid w:val="19BA76D0"/>
    <w:rsid w:val="19DD7692"/>
    <w:rsid w:val="19E53D2F"/>
    <w:rsid w:val="1A6D494B"/>
    <w:rsid w:val="1A7C0A19"/>
    <w:rsid w:val="1AAC0410"/>
    <w:rsid w:val="1AD802A0"/>
    <w:rsid w:val="1ADC2BE5"/>
    <w:rsid w:val="1AE24CD1"/>
    <w:rsid w:val="1AE44753"/>
    <w:rsid w:val="1B1138C3"/>
    <w:rsid w:val="1B6D0EB1"/>
    <w:rsid w:val="1BC74453"/>
    <w:rsid w:val="1BEA27ED"/>
    <w:rsid w:val="1BEC3FDD"/>
    <w:rsid w:val="1BF8579E"/>
    <w:rsid w:val="1C4B2D55"/>
    <w:rsid w:val="1C5D554B"/>
    <w:rsid w:val="1C7246CA"/>
    <w:rsid w:val="1C935766"/>
    <w:rsid w:val="1CFE07ED"/>
    <w:rsid w:val="1D3D6029"/>
    <w:rsid w:val="1D4B3290"/>
    <w:rsid w:val="1D8543DA"/>
    <w:rsid w:val="1D9256FA"/>
    <w:rsid w:val="1DD94E7F"/>
    <w:rsid w:val="1DFC1E7E"/>
    <w:rsid w:val="1E725290"/>
    <w:rsid w:val="1E833AB8"/>
    <w:rsid w:val="1E86561C"/>
    <w:rsid w:val="1EC51CE0"/>
    <w:rsid w:val="1F0B568D"/>
    <w:rsid w:val="1F3E0263"/>
    <w:rsid w:val="1FA35FC7"/>
    <w:rsid w:val="1FF37558"/>
    <w:rsid w:val="200E10AD"/>
    <w:rsid w:val="206D0030"/>
    <w:rsid w:val="207059F9"/>
    <w:rsid w:val="2081799D"/>
    <w:rsid w:val="208E2FB2"/>
    <w:rsid w:val="20E42F58"/>
    <w:rsid w:val="210A2CAD"/>
    <w:rsid w:val="21660FEC"/>
    <w:rsid w:val="21A06565"/>
    <w:rsid w:val="21FC25B1"/>
    <w:rsid w:val="221B1BFB"/>
    <w:rsid w:val="228F72C7"/>
    <w:rsid w:val="22996D16"/>
    <w:rsid w:val="22AB75EB"/>
    <w:rsid w:val="22C01569"/>
    <w:rsid w:val="22E53AA2"/>
    <w:rsid w:val="2321385A"/>
    <w:rsid w:val="23680CCA"/>
    <w:rsid w:val="23925BFC"/>
    <w:rsid w:val="23A075A0"/>
    <w:rsid w:val="23B34AAD"/>
    <w:rsid w:val="23D37A7B"/>
    <w:rsid w:val="23DD22BA"/>
    <w:rsid w:val="23E62C43"/>
    <w:rsid w:val="24000A68"/>
    <w:rsid w:val="241133AA"/>
    <w:rsid w:val="241C26E3"/>
    <w:rsid w:val="24A05535"/>
    <w:rsid w:val="24AF39DF"/>
    <w:rsid w:val="24D56A1D"/>
    <w:rsid w:val="252C3D5A"/>
    <w:rsid w:val="25483EC6"/>
    <w:rsid w:val="25665D2B"/>
    <w:rsid w:val="2669210C"/>
    <w:rsid w:val="26A20C75"/>
    <w:rsid w:val="26A34B98"/>
    <w:rsid w:val="26C6261D"/>
    <w:rsid w:val="27146910"/>
    <w:rsid w:val="27520EA8"/>
    <w:rsid w:val="27723111"/>
    <w:rsid w:val="27C214E8"/>
    <w:rsid w:val="27DE6DE9"/>
    <w:rsid w:val="280C7537"/>
    <w:rsid w:val="280D660D"/>
    <w:rsid w:val="280F6D25"/>
    <w:rsid w:val="293E1545"/>
    <w:rsid w:val="296A106E"/>
    <w:rsid w:val="29D83FC2"/>
    <w:rsid w:val="2A5F7249"/>
    <w:rsid w:val="2AE44CB4"/>
    <w:rsid w:val="2B192263"/>
    <w:rsid w:val="2B195EBE"/>
    <w:rsid w:val="2B762FFE"/>
    <w:rsid w:val="2BB51243"/>
    <w:rsid w:val="2BD84E99"/>
    <w:rsid w:val="2C5517DF"/>
    <w:rsid w:val="2C5B54C1"/>
    <w:rsid w:val="2C69030D"/>
    <w:rsid w:val="2C7C47E1"/>
    <w:rsid w:val="2C9B168F"/>
    <w:rsid w:val="2CC46394"/>
    <w:rsid w:val="2CD81334"/>
    <w:rsid w:val="2D0446E9"/>
    <w:rsid w:val="2D4A4CB7"/>
    <w:rsid w:val="2D7644FF"/>
    <w:rsid w:val="2D8B41D9"/>
    <w:rsid w:val="2D8C1BC3"/>
    <w:rsid w:val="2DA0619B"/>
    <w:rsid w:val="2DC257F3"/>
    <w:rsid w:val="2E4044F5"/>
    <w:rsid w:val="2E42492B"/>
    <w:rsid w:val="2E756494"/>
    <w:rsid w:val="2E8A42BA"/>
    <w:rsid w:val="2EB83AE2"/>
    <w:rsid w:val="2EBF2A37"/>
    <w:rsid w:val="2ED85D3F"/>
    <w:rsid w:val="2EFC05C6"/>
    <w:rsid w:val="2F012523"/>
    <w:rsid w:val="2F1E27A4"/>
    <w:rsid w:val="2FB374FA"/>
    <w:rsid w:val="2FBE560F"/>
    <w:rsid w:val="300575A1"/>
    <w:rsid w:val="30111651"/>
    <w:rsid w:val="301253F3"/>
    <w:rsid w:val="30652A98"/>
    <w:rsid w:val="30653C13"/>
    <w:rsid w:val="30796892"/>
    <w:rsid w:val="309F6B3C"/>
    <w:rsid w:val="30AB480E"/>
    <w:rsid w:val="30C91F41"/>
    <w:rsid w:val="30F06DAD"/>
    <w:rsid w:val="310E08A4"/>
    <w:rsid w:val="31124F58"/>
    <w:rsid w:val="31504121"/>
    <w:rsid w:val="3167593D"/>
    <w:rsid w:val="31747B4D"/>
    <w:rsid w:val="31B5615E"/>
    <w:rsid w:val="31D735C8"/>
    <w:rsid w:val="31FF253D"/>
    <w:rsid w:val="320A13F4"/>
    <w:rsid w:val="32200A39"/>
    <w:rsid w:val="32282322"/>
    <w:rsid w:val="324D20FF"/>
    <w:rsid w:val="32527E7C"/>
    <w:rsid w:val="32740F58"/>
    <w:rsid w:val="327504B2"/>
    <w:rsid w:val="32870C6B"/>
    <w:rsid w:val="32A91DDA"/>
    <w:rsid w:val="33377849"/>
    <w:rsid w:val="337C3A4C"/>
    <w:rsid w:val="338B320C"/>
    <w:rsid w:val="33995DC3"/>
    <w:rsid w:val="339D4619"/>
    <w:rsid w:val="33A87D50"/>
    <w:rsid w:val="33B43188"/>
    <w:rsid w:val="34033F3C"/>
    <w:rsid w:val="349846CA"/>
    <w:rsid w:val="34F471D3"/>
    <w:rsid w:val="34FB5963"/>
    <w:rsid w:val="352F7160"/>
    <w:rsid w:val="3565555A"/>
    <w:rsid w:val="358A586E"/>
    <w:rsid w:val="35D70B52"/>
    <w:rsid w:val="360B0D04"/>
    <w:rsid w:val="363B0ED8"/>
    <w:rsid w:val="36C0341B"/>
    <w:rsid w:val="37400BC8"/>
    <w:rsid w:val="375558EF"/>
    <w:rsid w:val="376618F8"/>
    <w:rsid w:val="376A07C8"/>
    <w:rsid w:val="376A66F4"/>
    <w:rsid w:val="376F1351"/>
    <w:rsid w:val="37745210"/>
    <w:rsid w:val="379A1238"/>
    <w:rsid w:val="379C30C2"/>
    <w:rsid w:val="37A707B3"/>
    <w:rsid w:val="37BB71E8"/>
    <w:rsid w:val="37CC2AF2"/>
    <w:rsid w:val="37DC38CE"/>
    <w:rsid w:val="38082946"/>
    <w:rsid w:val="38186976"/>
    <w:rsid w:val="3900744F"/>
    <w:rsid w:val="391F6C03"/>
    <w:rsid w:val="393051CC"/>
    <w:rsid w:val="394E236B"/>
    <w:rsid w:val="399A3E1B"/>
    <w:rsid w:val="39BC493C"/>
    <w:rsid w:val="39C44E27"/>
    <w:rsid w:val="39D606EE"/>
    <w:rsid w:val="39EE0F76"/>
    <w:rsid w:val="3A0716B1"/>
    <w:rsid w:val="3A5349E0"/>
    <w:rsid w:val="3A5C5A0C"/>
    <w:rsid w:val="3A787FCB"/>
    <w:rsid w:val="3AE803BE"/>
    <w:rsid w:val="3B1F5511"/>
    <w:rsid w:val="3B40044F"/>
    <w:rsid w:val="3B41756E"/>
    <w:rsid w:val="3B575555"/>
    <w:rsid w:val="3B7D474C"/>
    <w:rsid w:val="3B857F91"/>
    <w:rsid w:val="3BAD1D71"/>
    <w:rsid w:val="3BCE6304"/>
    <w:rsid w:val="3CA900C0"/>
    <w:rsid w:val="3D43793D"/>
    <w:rsid w:val="3D892F3D"/>
    <w:rsid w:val="3DF66223"/>
    <w:rsid w:val="3DF95E4C"/>
    <w:rsid w:val="3DFA7775"/>
    <w:rsid w:val="3E1112E2"/>
    <w:rsid w:val="3E562417"/>
    <w:rsid w:val="3E7930D3"/>
    <w:rsid w:val="3EA17D98"/>
    <w:rsid w:val="3EA83768"/>
    <w:rsid w:val="3EBC46BF"/>
    <w:rsid w:val="3ED8698C"/>
    <w:rsid w:val="3F2222B5"/>
    <w:rsid w:val="3FA7387A"/>
    <w:rsid w:val="3FB6209B"/>
    <w:rsid w:val="3FC133A1"/>
    <w:rsid w:val="3FC46FDA"/>
    <w:rsid w:val="3FC5166A"/>
    <w:rsid w:val="4000354A"/>
    <w:rsid w:val="408F4E1B"/>
    <w:rsid w:val="40A4768B"/>
    <w:rsid w:val="40AC7816"/>
    <w:rsid w:val="40CC321B"/>
    <w:rsid w:val="40DF504A"/>
    <w:rsid w:val="411D24C8"/>
    <w:rsid w:val="41353F3B"/>
    <w:rsid w:val="41C72DEA"/>
    <w:rsid w:val="41D870C2"/>
    <w:rsid w:val="41E36FD3"/>
    <w:rsid w:val="42307D42"/>
    <w:rsid w:val="427F2093"/>
    <w:rsid w:val="42FD2CB6"/>
    <w:rsid w:val="430E4F55"/>
    <w:rsid w:val="43344DBF"/>
    <w:rsid w:val="433612FB"/>
    <w:rsid w:val="43733ACC"/>
    <w:rsid w:val="43AB52D9"/>
    <w:rsid w:val="44723DC0"/>
    <w:rsid w:val="44757F7B"/>
    <w:rsid w:val="447F78A4"/>
    <w:rsid w:val="449F7822"/>
    <w:rsid w:val="44CA16E6"/>
    <w:rsid w:val="450F2B1B"/>
    <w:rsid w:val="45201A59"/>
    <w:rsid w:val="456426DE"/>
    <w:rsid w:val="45717841"/>
    <w:rsid w:val="45957C2F"/>
    <w:rsid w:val="464C03DE"/>
    <w:rsid w:val="46554FF2"/>
    <w:rsid w:val="467504F2"/>
    <w:rsid w:val="46F9589A"/>
    <w:rsid w:val="47800FCD"/>
    <w:rsid w:val="48104046"/>
    <w:rsid w:val="48380050"/>
    <w:rsid w:val="483C5C5A"/>
    <w:rsid w:val="48B515ED"/>
    <w:rsid w:val="49481569"/>
    <w:rsid w:val="495A3352"/>
    <w:rsid w:val="49923E56"/>
    <w:rsid w:val="499D21E0"/>
    <w:rsid w:val="49E35CF4"/>
    <w:rsid w:val="4A6D057B"/>
    <w:rsid w:val="4ABB6C07"/>
    <w:rsid w:val="4AC0549E"/>
    <w:rsid w:val="4ACB5908"/>
    <w:rsid w:val="4ACF764E"/>
    <w:rsid w:val="4AD54960"/>
    <w:rsid w:val="4ADF55C9"/>
    <w:rsid w:val="4AEE096D"/>
    <w:rsid w:val="4B122929"/>
    <w:rsid w:val="4B1B502F"/>
    <w:rsid w:val="4B2141E5"/>
    <w:rsid w:val="4B5135AE"/>
    <w:rsid w:val="4B686B71"/>
    <w:rsid w:val="4B882D15"/>
    <w:rsid w:val="4C6133DF"/>
    <w:rsid w:val="4C7E4227"/>
    <w:rsid w:val="4CAE7224"/>
    <w:rsid w:val="4CD73B6F"/>
    <w:rsid w:val="4D074BBE"/>
    <w:rsid w:val="4D3D292C"/>
    <w:rsid w:val="4D547040"/>
    <w:rsid w:val="4D721C27"/>
    <w:rsid w:val="4DAB7ACF"/>
    <w:rsid w:val="4DDB1B5F"/>
    <w:rsid w:val="4E1B38FB"/>
    <w:rsid w:val="4E5B1428"/>
    <w:rsid w:val="4EC7033C"/>
    <w:rsid w:val="4F066A9E"/>
    <w:rsid w:val="4F222101"/>
    <w:rsid w:val="4F6F44BC"/>
    <w:rsid w:val="4FC12B8C"/>
    <w:rsid w:val="4FDF4172"/>
    <w:rsid w:val="5035605E"/>
    <w:rsid w:val="5062575E"/>
    <w:rsid w:val="508D0B5B"/>
    <w:rsid w:val="50927ECE"/>
    <w:rsid w:val="50C35DBB"/>
    <w:rsid w:val="50D96C57"/>
    <w:rsid w:val="5115797E"/>
    <w:rsid w:val="51790DC9"/>
    <w:rsid w:val="51793D53"/>
    <w:rsid w:val="518B7152"/>
    <w:rsid w:val="520D5D7F"/>
    <w:rsid w:val="52220E21"/>
    <w:rsid w:val="52705B97"/>
    <w:rsid w:val="52986275"/>
    <w:rsid w:val="52C85EC5"/>
    <w:rsid w:val="52E65AAE"/>
    <w:rsid w:val="52EF6AA0"/>
    <w:rsid w:val="52F21817"/>
    <w:rsid w:val="52F41D32"/>
    <w:rsid w:val="52FE10E1"/>
    <w:rsid w:val="53637D9A"/>
    <w:rsid w:val="536E4927"/>
    <w:rsid w:val="53757CDC"/>
    <w:rsid w:val="539D2610"/>
    <w:rsid w:val="53B75FC2"/>
    <w:rsid w:val="53BD1C26"/>
    <w:rsid w:val="54652E59"/>
    <w:rsid w:val="549E411D"/>
    <w:rsid w:val="54D96060"/>
    <w:rsid w:val="55037D1B"/>
    <w:rsid w:val="555001B3"/>
    <w:rsid w:val="558F75E4"/>
    <w:rsid w:val="55A37B33"/>
    <w:rsid w:val="55D62C7C"/>
    <w:rsid w:val="560B40CA"/>
    <w:rsid w:val="56192B2A"/>
    <w:rsid w:val="564A79FF"/>
    <w:rsid w:val="567335F0"/>
    <w:rsid w:val="56A81BC0"/>
    <w:rsid w:val="56B3660A"/>
    <w:rsid w:val="56B8137A"/>
    <w:rsid w:val="56D803B6"/>
    <w:rsid w:val="576310FA"/>
    <w:rsid w:val="57741DEF"/>
    <w:rsid w:val="57F720C7"/>
    <w:rsid w:val="57F81E55"/>
    <w:rsid w:val="5802049E"/>
    <w:rsid w:val="581B693E"/>
    <w:rsid w:val="58273315"/>
    <w:rsid w:val="587C75CC"/>
    <w:rsid w:val="58F7224F"/>
    <w:rsid w:val="591259DC"/>
    <w:rsid w:val="594A6884"/>
    <w:rsid w:val="5A013950"/>
    <w:rsid w:val="5A050713"/>
    <w:rsid w:val="5A066C57"/>
    <w:rsid w:val="5A10291A"/>
    <w:rsid w:val="5A5B51A7"/>
    <w:rsid w:val="5AF062AE"/>
    <w:rsid w:val="5B092219"/>
    <w:rsid w:val="5B242229"/>
    <w:rsid w:val="5B3244DE"/>
    <w:rsid w:val="5B484054"/>
    <w:rsid w:val="5B625BCC"/>
    <w:rsid w:val="5B637F39"/>
    <w:rsid w:val="5B6A7C6C"/>
    <w:rsid w:val="5B7257AD"/>
    <w:rsid w:val="5B7A12D0"/>
    <w:rsid w:val="5BA76E2F"/>
    <w:rsid w:val="5BA96148"/>
    <w:rsid w:val="5BEA1EB4"/>
    <w:rsid w:val="5BEC0216"/>
    <w:rsid w:val="5BF40E4A"/>
    <w:rsid w:val="5C3B0DD9"/>
    <w:rsid w:val="5C4D119D"/>
    <w:rsid w:val="5C743150"/>
    <w:rsid w:val="5C9D5A15"/>
    <w:rsid w:val="5CD00D61"/>
    <w:rsid w:val="5D182CFB"/>
    <w:rsid w:val="5D4E2F1E"/>
    <w:rsid w:val="5D6828E3"/>
    <w:rsid w:val="5D8B3470"/>
    <w:rsid w:val="5D9631F6"/>
    <w:rsid w:val="5DA35C2D"/>
    <w:rsid w:val="5DCF27AA"/>
    <w:rsid w:val="5DDA2A0B"/>
    <w:rsid w:val="5E3D6C64"/>
    <w:rsid w:val="5E4E6EE8"/>
    <w:rsid w:val="5EA3415E"/>
    <w:rsid w:val="5ED72735"/>
    <w:rsid w:val="5EE616A1"/>
    <w:rsid w:val="5EF36331"/>
    <w:rsid w:val="5F0C6293"/>
    <w:rsid w:val="5F2A78D0"/>
    <w:rsid w:val="5F2D1A51"/>
    <w:rsid w:val="5F9245C4"/>
    <w:rsid w:val="5FA60F94"/>
    <w:rsid w:val="5FA95EA7"/>
    <w:rsid w:val="5FC20DD0"/>
    <w:rsid w:val="5FCC4F6B"/>
    <w:rsid w:val="6015330A"/>
    <w:rsid w:val="601E2E00"/>
    <w:rsid w:val="60346717"/>
    <w:rsid w:val="6062281F"/>
    <w:rsid w:val="606456D5"/>
    <w:rsid w:val="606A3DD6"/>
    <w:rsid w:val="60A9683F"/>
    <w:rsid w:val="60DC43EA"/>
    <w:rsid w:val="60E02569"/>
    <w:rsid w:val="60E64238"/>
    <w:rsid w:val="61137B21"/>
    <w:rsid w:val="61645D4C"/>
    <w:rsid w:val="61AF1564"/>
    <w:rsid w:val="61C3304F"/>
    <w:rsid w:val="61F73D11"/>
    <w:rsid w:val="63061F17"/>
    <w:rsid w:val="630639D3"/>
    <w:rsid w:val="635616C9"/>
    <w:rsid w:val="6374736B"/>
    <w:rsid w:val="638F2040"/>
    <w:rsid w:val="6391693E"/>
    <w:rsid w:val="63BD42DE"/>
    <w:rsid w:val="63E75F79"/>
    <w:rsid w:val="63F3430B"/>
    <w:rsid w:val="63F4587C"/>
    <w:rsid w:val="644237BE"/>
    <w:rsid w:val="64605226"/>
    <w:rsid w:val="64707BE0"/>
    <w:rsid w:val="64A05EED"/>
    <w:rsid w:val="64B42A12"/>
    <w:rsid w:val="64BC5ECF"/>
    <w:rsid w:val="64C202D2"/>
    <w:rsid w:val="64EC0861"/>
    <w:rsid w:val="6508683C"/>
    <w:rsid w:val="650C3FD2"/>
    <w:rsid w:val="6522305F"/>
    <w:rsid w:val="652A2914"/>
    <w:rsid w:val="655052AD"/>
    <w:rsid w:val="657C5F98"/>
    <w:rsid w:val="65C00B2A"/>
    <w:rsid w:val="65E132A0"/>
    <w:rsid w:val="663602F2"/>
    <w:rsid w:val="66520FAB"/>
    <w:rsid w:val="669054ED"/>
    <w:rsid w:val="669129BB"/>
    <w:rsid w:val="66BA036E"/>
    <w:rsid w:val="6753015F"/>
    <w:rsid w:val="676B25B4"/>
    <w:rsid w:val="67B1145F"/>
    <w:rsid w:val="67BC2D8E"/>
    <w:rsid w:val="67E43E82"/>
    <w:rsid w:val="67F7051B"/>
    <w:rsid w:val="681210F8"/>
    <w:rsid w:val="68483050"/>
    <w:rsid w:val="68583CFC"/>
    <w:rsid w:val="68637615"/>
    <w:rsid w:val="686A3B70"/>
    <w:rsid w:val="68AD040F"/>
    <w:rsid w:val="68D15352"/>
    <w:rsid w:val="68F34C64"/>
    <w:rsid w:val="69242FC0"/>
    <w:rsid w:val="692A1F38"/>
    <w:rsid w:val="693A0A0C"/>
    <w:rsid w:val="69493EE2"/>
    <w:rsid w:val="69C90AC3"/>
    <w:rsid w:val="6A036067"/>
    <w:rsid w:val="6A2F699C"/>
    <w:rsid w:val="6A3B414F"/>
    <w:rsid w:val="6A584883"/>
    <w:rsid w:val="6AAA7769"/>
    <w:rsid w:val="6AD81E7B"/>
    <w:rsid w:val="6B084795"/>
    <w:rsid w:val="6B0D66D6"/>
    <w:rsid w:val="6B1D68C9"/>
    <w:rsid w:val="6B3B5134"/>
    <w:rsid w:val="6B522CF6"/>
    <w:rsid w:val="6B91496D"/>
    <w:rsid w:val="6B9D2DC2"/>
    <w:rsid w:val="6BAD5BC3"/>
    <w:rsid w:val="6BE747C6"/>
    <w:rsid w:val="6C08122C"/>
    <w:rsid w:val="6CC7565F"/>
    <w:rsid w:val="6CE4504D"/>
    <w:rsid w:val="6D084610"/>
    <w:rsid w:val="6D96327A"/>
    <w:rsid w:val="6DCD7943"/>
    <w:rsid w:val="6E113A9D"/>
    <w:rsid w:val="6E143408"/>
    <w:rsid w:val="6E161356"/>
    <w:rsid w:val="6E1B3AA7"/>
    <w:rsid w:val="6E1F23F1"/>
    <w:rsid w:val="6E616561"/>
    <w:rsid w:val="6E624D15"/>
    <w:rsid w:val="6E8575DB"/>
    <w:rsid w:val="6E9B3B06"/>
    <w:rsid w:val="6E9F037C"/>
    <w:rsid w:val="6F095449"/>
    <w:rsid w:val="6F4244F3"/>
    <w:rsid w:val="6FB20F38"/>
    <w:rsid w:val="7013115E"/>
    <w:rsid w:val="7013443E"/>
    <w:rsid w:val="70360566"/>
    <w:rsid w:val="705F4A15"/>
    <w:rsid w:val="70751F72"/>
    <w:rsid w:val="70AA3C30"/>
    <w:rsid w:val="70EC03B1"/>
    <w:rsid w:val="710441F7"/>
    <w:rsid w:val="710A0169"/>
    <w:rsid w:val="710C3C2E"/>
    <w:rsid w:val="71222097"/>
    <w:rsid w:val="71326527"/>
    <w:rsid w:val="717E3570"/>
    <w:rsid w:val="71DD0522"/>
    <w:rsid w:val="71E8477D"/>
    <w:rsid w:val="7228458F"/>
    <w:rsid w:val="722F6511"/>
    <w:rsid w:val="72593EDA"/>
    <w:rsid w:val="725C2EC9"/>
    <w:rsid w:val="72883473"/>
    <w:rsid w:val="72AA10D1"/>
    <w:rsid w:val="72F628E2"/>
    <w:rsid w:val="72FC3949"/>
    <w:rsid w:val="72FE6928"/>
    <w:rsid w:val="73045AE8"/>
    <w:rsid w:val="73075A80"/>
    <w:rsid w:val="730E24EF"/>
    <w:rsid w:val="731D4F73"/>
    <w:rsid w:val="73222DF4"/>
    <w:rsid w:val="735A451D"/>
    <w:rsid w:val="737B2533"/>
    <w:rsid w:val="73D07C8E"/>
    <w:rsid w:val="73E86B1B"/>
    <w:rsid w:val="73EC01E1"/>
    <w:rsid w:val="741A4BA6"/>
    <w:rsid w:val="74A142A4"/>
    <w:rsid w:val="74F31C27"/>
    <w:rsid w:val="75196DE5"/>
    <w:rsid w:val="753B3007"/>
    <w:rsid w:val="75423B24"/>
    <w:rsid w:val="75AC10C8"/>
    <w:rsid w:val="75BB294D"/>
    <w:rsid w:val="75D25650"/>
    <w:rsid w:val="76014522"/>
    <w:rsid w:val="762C486C"/>
    <w:rsid w:val="76836DFC"/>
    <w:rsid w:val="76870460"/>
    <w:rsid w:val="768E76C3"/>
    <w:rsid w:val="76FF0A45"/>
    <w:rsid w:val="773574A3"/>
    <w:rsid w:val="77A567EB"/>
    <w:rsid w:val="77A871D0"/>
    <w:rsid w:val="77E146C4"/>
    <w:rsid w:val="77F14366"/>
    <w:rsid w:val="78085E9A"/>
    <w:rsid w:val="780861DF"/>
    <w:rsid w:val="78104219"/>
    <w:rsid w:val="785C711C"/>
    <w:rsid w:val="78640726"/>
    <w:rsid w:val="787B5482"/>
    <w:rsid w:val="789C52E9"/>
    <w:rsid w:val="78B206A0"/>
    <w:rsid w:val="78BE1013"/>
    <w:rsid w:val="78D713C2"/>
    <w:rsid w:val="78F679F4"/>
    <w:rsid w:val="795024A9"/>
    <w:rsid w:val="79912D06"/>
    <w:rsid w:val="79E52B4D"/>
    <w:rsid w:val="79E97910"/>
    <w:rsid w:val="79FD2EF6"/>
    <w:rsid w:val="7A1A12E2"/>
    <w:rsid w:val="7A241A90"/>
    <w:rsid w:val="7A2D087A"/>
    <w:rsid w:val="7A360340"/>
    <w:rsid w:val="7A7654ED"/>
    <w:rsid w:val="7AA71C63"/>
    <w:rsid w:val="7ACE10D7"/>
    <w:rsid w:val="7AF21DDA"/>
    <w:rsid w:val="7B097E13"/>
    <w:rsid w:val="7B0B6FEE"/>
    <w:rsid w:val="7B137BF6"/>
    <w:rsid w:val="7B324A9D"/>
    <w:rsid w:val="7B591297"/>
    <w:rsid w:val="7B6030E0"/>
    <w:rsid w:val="7B656770"/>
    <w:rsid w:val="7B737B01"/>
    <w:rsid w:val="7BB465FB"/>
    <w:rsid w:val="7BB71508"/>
    <w:rsid w:val="7BE172B4"/>
    <w:rsid w:val="7BE738A9"/>
    <w:rsid w:val="7C495EF6"/>
    <w:rsid w:val="7C6D7B70"/>
    <w:rsid w:val="7C7D783F"/>
    <w:rsid w:val="7C960CA3"/>
    <w:rsid w:val="7CAE0E88"/>
    <w:rsid w:val="7CC80CF5"/>
    <w:rsid w:val="7CC90DE2"/>
    <w:rsid w:val="7CE1731C"/>
    <w:rsid w:val="7D9746A6"/>
    <w:rsid w:val="7DA82D0E"/>
    <w:rsid w:val="7DB33A42"/>
    <w:rsid w:val="7DC4690A"/>
    <w:rsid w:val="7DC5140A"/>
    <w:rsid w:val="7DF926B4"/>
    <w:rsid w:val="7E6F5D7B"/>
    <w:rsid w:val="7E920BD7"/>
    <w:rsid w:val="7EDC4AA9"/>
    <w:rsid w:val="7F100045"/>
    <w:rsid w:val="7F2139A8"/>
    <w:rsid w:val="7F29790B"/>
    <w:rsid w:val="7FB02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Table Paragraph"/>
    <w:basedOn w:val="1"/>
    <w:qFormat/>
    <w:uiPriority w:val="1"/>
    <w:pPr>
      <w:ind w:left="4"/>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164</Words>
  <Characters>941</Characters>
  <Lines>7</Lines>
  <Paragraphs>2</Paragraphs>
  <TotalTime>42</TotalTime>
  <ScaleCrop>false</ScaleCrop>
  <LinksUpToDate>false</LinksUpToDate>
  <CharactersWithSpaces>1103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2023-11-15T00:02:00Z</dcterms:created>
  <dc:creator>Administrator</dc:creator>
  <cp:lastModifiedBy>上善若水</cp:lastModifiedBy>
  <dcterms:modified xsi:type="dcterms:W3CDTF">2024-01-15T09:48:40Z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D8CE7EDC73D643FF95734783BAB60C23_12</vt:lpwstr>
  </property>
</Properties>
</file>