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深圳佰维存储科技股份有限公司</w:t>
      </w:r>
    </w:p>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投资者关系活动记录汇总表</w:t>
      </w:r>
    </w:p>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（2024年</w:t>
      </w:r>
      <w:r>
        <w:rPr>
          <w:rFonts w:ascii="Times New Roman" w:hAnsi="Times New Roman" w:eastAsia="宋体" w:cs="宋体"/>
          <w:b/>
          <w:bCs/>
          <w:sz w:val="30"/>
          <w:szCs w:val="30"/>
        </w:rPr>
        <w:t>1</w:t>
      </w:r>
      <w:r>
        <w:rPr>
          <w:rFonts w:hint="eastAsia" w:ascii="Times New Roman" w:hAnsi="Times New Roman" w:eastAsia="宋体" w:cs="宋体"/>
          <w:b/>
          <w:bCs/>
          <w:sz w:val="30"/>
          <w:szCs w:val="30"/>
        </w:rPr>
        <w:t>月</w:t>
      </w:r>
      <w:r>
        <w:rPr>
          <w:rFonts w:ascii="Times New Roman" w:hAnsi="Times New Roman" w:eastAsia="宋体" w:cs="宋体"/>
          <w:b/>
          <w:bCs/>
          <w:sz w:val="30"/>
          <w:szCs w:val="30"/>
        </w:rPr>
        <w:t>1</w:t>
      </w:r>
      <w:r>
        <w:rPr>
          <w:rFonts w:hint="eastAsia" w:ascii="Times New Roman" w:hAnsi="Times New Roman" w:eastAsia="宋体" w:cs="宋体"/>
          <w:b/>
          <w:bCs/>
          <w:sz w:val="30"/>
          <w:szCs w:val="30"/>
        </w:rPr>
        <w:t>8日）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spacing w:line="240" w:lineRule="atLeast"/>
              <w:jc w:val="center"/>
              <w:rPr>
                <w:rFonts w:ascii="Times New Roman" w:hAnsi="Times New Roman" w:eastAsia="宋体" w:cs="宋体"/>
                <w:b/>
                <w:bCs/>
                <w:szCs w:val="21"/>
              </w:rPr>
            </w:pPr>
            <w:r>
              <w:rPr>
                <w:rFonts w:hint="eastAsia" w:ascii="Times New Roman" w:hAnsi="Times New Roman" w:eastAsia="宋体" w:cs="宋体"/>
                <w:b/>
                <w:bCs/>
                <w:szCs w:val="21"/>
              </w:rPr>
              <w:t>投资者关系活动类别</w:t>
            </w:r>
          </w:p>
        </w:tc>
        <w:tc>
          <w:tcPr>
            <w:tcW w:w="7406" w:type="dxa"/>
          </w:tcPr>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F0FE"/>
            </w:r>
            <w:r>
              <w:rPr>
                <w:rFonts w:hint="eastAsia" w:ascii="Times New Roman" w:hAnsi="Times New Roman" w:eastAsia="宋体" w:cs="宋体"/>
                <w:szCs w:val="21"/>
                <w:shd w:val="clear" w:color="auto" w:fill="FFFFFF"/>
              </w:rPr>
              <w:t xml:space="preserve">特定对象调研                        </w:t>
            </w: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分析师会议</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媒体采访                            </w:t>
            </w: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业绩说明会</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新闻发布会                          </w:t>
            </w: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路演活动</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专场机构交流会                      </w:t>
            </w:r>
            <w:r>
              <w:rPr>
                <w:rFonts w:hint="eastAsia" w:ascii="Times New Roman" w:hAnsi="Times New Roman" w:eastAsia="宋体" w:cs="宋体"/>
                <w:szCs w:val="21"/>
                <w:shd w:val="clear" w:color="auto" w:fill="FFFFFF"/>
              </w:rPr>
              <w:sym w:font="Wingdings" w:char="F0FE"/>
            </w:r>
            <w:r>
              <w:rPr>
                <w:rFonts w:hint="eastAsia" w:ascii="Times New Roman" w:hAnsi="Times New Roman" w:eastAsia="宋体" w:cs="宋体"/>
                <w:szCs w:val="21"/>
                <w:shd w:val="clear" w:color="auto" w:fill="FFFFFF"/>
              </w:rPr>
              <w:t>现场参观</w:t>
            </w:r>
          </w:p>
          <w:p>
            <w:pPr>
              <w:wordWrap w:val="0"/>
              <w:topLinePunct/>
              <w:rPr>
                <w:rFonts w:ascii="Times New Roman" w:hAnsi="Times New Roman" w:eastAsia="宋体" w:cs="宋体"/>
                <w:szCs w:val="21"/>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其他 </w:t>
            </w:r>
            <w:r>
              <w:rPr>
                <w:rFonts w:hint="eastAsia" w:ascii="Times New Roman" w:hAnsi="Times New Roman" w:eastAsia="宋体" w:cs="宋体"/>
                <w:szCs w:val="21"/>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参与单位名称及人员姓名</w:t>
            </w:r>
          </w:p>
        </w:tc>
        <w:tc>
          <w:tcPr>
            <w:tcW w:w="7406" w:type="dxa"/>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平安证券 蒋朝庆、东方阿尔法 梁少文、前海旭鑫资产 李凌飞、财通基金 张胤、鑫鼎基金 刘磊、深汇城控股 魏文涛、安信证券 杨中国、泽源资产 杨延顺、中电科投资 李畅、怀远投资 李岩岩、浙商资管 杨超、运舟资本 肖燕松、中泰证券 杨旭、华金证券 王臣复、招商证券 谌薇、中银证券 李圣宣、山西证券 田发祥、个人投资者 陈文生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会议时间</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2024年</w:t>
            </w:r>
            <w:r>
              <w:rPr>
                <w:rFonts w:ascii="Times New Roman" w:hAnsi="Times New Roman" w:eastAsia="宋体" w:cs="宋体"/>
                <w:szCs w:val="21"/>
              </w:rPr>
              <w:t>1</w:t>
            </w:r>
            <w:r>
              <w:rPr>
                <w:rFonts w:hint="eastAsia" w:ascii="Times New Roman" w:hAnsi="Times New Roman" w:eastAsia="宋体" w:cs="宋体"/>
                <w:szCs w:val="21"/>
              </w:rPr>
              <w:t>月</w:t>
            </w:r>
            <w:r>
              <w:rPr>
                <w:rFonts w:ascii="Times New Roman" w:hAnsi="Times New Roman" w:eastAsia="宋体" w:cs="宋体"/>
                <w:szCs w:val="21"/>
              </w:rPr>
              <w:t>1</w:t>
            </w:r>
            <w:r>
              <w:rPr>
                <w:rFonts w:hint="eastAsia" w:ascii="Times New Roman" w:hAnsi="Times New Roman" w:eastAsia="宋体" w:cs="宋体"/>
                <w:szCs w:val="21"/>
              </w:rPr>
              <w:t xml:space="preserve">8日 </w:t>
            </w:r>
            <w:r>
              <w:rPr>
                <w:rFonts w:ascii="Times New Roman" w:hAnsi="Times New Roman" w:eastAsia="宋体" w:cs="宋体"/>
                <w:szCs w:val="21"/>
              </w:rPr>
              <w:t>1</w:t>
            </w:r>
            <w:r>
              <w:rPr>
                <w:rFonts w:hint="eastAsia" w:ascii="Times New Roman" w:hAnsi="Times New Roman" w:eastAsia="宋体" w:cs="宋体"/>
                <w:szCs w:val="21"/>
              </w:rPr>
              <w:t>3：</w:t>
            </w:r>
            <w:r>
              <w:rPr>
                <w:rFonts w:ascii="Times New Roman" w:hAnsi="Times New Roman" w:eastAsia="宋体" w:cs="宋体"/>
                <w:szCs w:val="21"/>
              </w:rPr>
              <w:t>3</w:t>
            </w:r>
            <w:r>
              <w:rPr>
                <w:rFonts w:hint="eastAsia" w:ascii="Times New Roman" w:hAnsi="Times New Roman" w:eastAsia="宋体" w:cs="宋体"/>
                <w:szCs w:val="21"/>
              </w:rPr>
              <w:t>0</w:t>
            </w:r>
            <w:r>
              <w:rPr>
                <w:rFonts w:ascii="Times New Roman" w:hAnsi="Times New Roman" w:eastAsia="宋体" w:cs="宋体"/>
                <w:szCs w:val="21"/>
              </w:rPr>
              <w:t>-1</w:t>
            </w:r>
            <w:r>
              <w:rPr>
                <w:rFonts w:hint="eastAsia" w:ascii="Times New Roman" w:hAnsi="Times New Roman" w:eastAsia="宋体" w:cs="宋体"/>
                <w:szCs w:val="21"/>
              </w:rPr>
              <w:t>5：3</w:t>
            </w:r>
            <w:r>
              <w:rPr>
                <w:rFonts w:ascii="Times New Roman" w:hAnsi="Times New Roman"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会议地点</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佰维存储惠州封测制造中心二楼会议室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上市公司接待人员姓名</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公司管理层</w:t>
            </w:r>
          </w:p>
          <w:p>
            <w:pPr>
              <w:wordWrap w:val="0"/>
              <w:topLinePunct/>
              <w:rPr>
                <w:rFonts w:ascii="Times New Roman" w:hAnsi="Times New Roman" w:eastAsia="宋体" w:cs="宋体"/>
                <w:szCs w:val="21"/>
              </w:rPr>
            </w:pPr>
            <w:r>
              <w:rPr>
                <w:rFonts w:hint="eastAsia" w:ascii="Times New Roman" w:hAnsi="Times New Roman" w:eastAsia="宋体" w:cs="宋体"/>
                <w:szCs w:val="21"/>
              </w:rPr>
              <w:t>董办工作人员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投资者关系活动主要内容介绍</w:t>
            </w:r>
          </w:p>
        </w:tc>
        <w:tc>
          <w:tcPr>
            <w:tcW w:w="7406" w:type="dxa"/>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1月</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 xml:space="preserve">8日的调研主要分为参观佰维存储惠州封测制造中心和投资者互动交流问答环节。 </w:t>
            </w:r>
          </w:p>
          <w:p>
            <w:pPr>
              <w:pStyle w:val="14"/>
              <w:numPr>
                <w:ilvl w:val="0"/>
                <w:numId w:val="1"/>
              </w:numPr>
              <w:ind w:firstLineChars="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参观情况</w:t>
            </w:r>
            <w:r>
              <w:rPr>
                <w:rFonts w:hint="eastAsia"/>
                <w:color w:val="000000" w:themeColor="text1"/>
                <w:szCs w:val="21"/>
                <w14:textFill>
                  <w14:solidFill>
                    <w14:schemeClr w14:val="tx1"/>
                  </w14:solidFill>
                </w14:textFill>
              </w:rPr>
              <w:t xml:space="preserve"> </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本次调研，投资者主要参观了公司位于惠州的封测制造中心。</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二、交流环节：</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请问公司近期在研发上有什么新进展？</w:t>
            </w:r>
          </w:p>
          <w:p>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：公司高度重视技术研发创新，近期成功研发并发布了支持CXL2.0规范的CXL DRAM内存扩展模块，兼具支持内存容量和带宽扩展、内存池化共享、高带宽、低延迟、高可靠性等特点，赋能AI高性能计算。此外，在IC芯片方面，公司第一颗主控芯片研发进展顺利，已经回片点亮，正在进行量产准备。</w:t>
            </w:r>
            <w:r>
              <w:t xml:space="preserve"> </w:t>
            </w:r>
          </w:p>
          <w:p>
            <w:pPr>
              <w:rPr>
                <w:b/>
                <w:bCs/>
                <w:color w:val="000000" w:themeColor="text1"/>
                <w:szCs w:val="2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w:t>
            </w:r>
            <w:r>
              <w:rPr>
                <w:rFonts w:hint="eastAsia"/>
                <w:b/>
                <w:bCs/>
              </w:rPr>
              <w:t>公司定增的进度</w:t>
            </w:r>
            <w:bookmarkStart w:id="0" w:name="_GoBack"/>
            <w:bookmarkEnd w:id="0"/>
            <w:r>
              <w:rPr>
                <w:rFonts w:hint="eastAsia"/>
                <w:b/>
                <w:bCs/>
              </w:rPr>
              <w:t>如何？</w:t>
            </w:r>
          </w:p>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：公司定增正在稳步推进中，相关事项敬请留意公司公告。</w:t>
            </w:r>
          </w:p>
          <w:p>
            <w:pPr>
              <w:rPr>
                <w:b/>
                <w:bCs/>
                <w:color w:val="000000" w:themeColor="text1"/>
                <w:szCs w:val="2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3</w:t>
            </w:r>
            <w:r>
              <w:rPr>
                <w:rFonts w:hint="eastAsia"/>
                <w:b/>
                <w:bCs/>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b/>
                <w:bCs/>
                <w:color w:val="000000" w:themeColor="text1"/>
                <w14:textFill>
                  <w14:solidFill>
                    <w14:schemeClr w14:val="tx1"/>
                  </w14:solidFill>
                </w14:textFill>
              </w:rPr>
              <w:t>除Meta外，公司在智能穿戴产品上还有哪些大客户合作？</w:t>
            </w:r>
          </w:p>
          <w:p>
            <w:pPr>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：公司是Meta最新款AI智能眼镜Ray-Ban Meta的存储器芯片供应商，除此之外，公司智能穿戴存储产品还进入了Google、小天才等知名品牌的智能穿戴设备供应体系。</w:t>
            </w:r>
          </w:p>
          <w:p>
            <w:pPr>
              <w:rPr>
                <w:b/>
                <w:bCs/>
                <w:color w:val="000000" w:themeColor="text1"/>
                <w:szCs w:val="2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4</w:t>
            </w:r>
            <w:r>
              <w:rPr>
                <w:rFonts w:hint="eastAsia"/>
                <w:b/>
                <w:bCs/>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b/>
                <w:bCs/>
                <w:color w:val="000000" w:themeColor="text1"/>
                <w14:textFill>
                  <w14:solidFill>
                    <w14:schemeClr w14:val="tx1"/>
                  </w14:solidFill>
                </w14:textFill>
              </w:rPr>
              <w:t>请问公司近期的业绩情况如何？</w:t>
            </w:r>
            <w:r>
              <w:rPr>
                <w:b/>
                <w:bCs/>
                <w:color w:val="000000" w:themeColor="text1"/>
                <w14:textFill>
                  <w14:solidFill>
                    <w14:schemeClr w14:val="tx1"/>
                  </w14:solidFill>
                </w14:textFill>
              </w:rPr>
              <w:t xml:space="preserve"> </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目前公司经营情况已逐步转好，预期2024年行业将迎来景气复苏，公司业绩将显著改善。公司积极把握新一代信息技术发展趋势，增强硬科技实力，努力为存储产业链贡献价值。</w:t>
            </w:r>
          </w:p>
          <w:p>
            <w:pPr>
              <w:rPr>
                <w:color w:val="000000" w:themeColor="text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5</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公司先进封测是否有涉及HBM相关技术？</w:t>
            </w:r>
          </w:p>
          <w:p>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公司拟定增募资建设的晶圆级先进封测项目可以构建HBM实现的封装技术基础，公司将通过晶圆级先进封测制造项目构建晶圆级封测能力，具备存储器和逻辑IC封测能力，有利于公司把握大湾区半导体产业链发展机遇，并探索存储IC与计算IC的整合封装能力。</w:t>
            </w:r>
          </w:p>
          <w:p/>
          <w:p>
            <w:pPr>
              <w:widowControl/>
              <w:jc w:val="left"/>
              <w:rPr>
                <w:rFonts w:ascii="宋体" w:hAnsi="宋体" w:eastAsia="宋体" w:cs="宋体"/>
                <w:color w:val="000000" w:themeColor="text1"/>
                <w:kern w:val="0"/>
                <w:sz w:val="24"/>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6</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公司的全球化布局是怎样的？</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公司坚持贯彻全球化战略布局，持续发力海外市场，海外业务发展迅猛。公司在北美、拉美、印度、欧洲、中国台湾地区等地发展并打造了强有力的本地化服务、生产交付和市场营销团队。未来，公司将借助全球化运营/交付服务网络，进一步开拓国际一流客户和各地区性市场，加强品牌形象建设，提升全球市场占有率。</w:t>
            </w:r>
          </w:p>
          <w:p>
            <w:pPr>
              <w:rPr>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7</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当前公司的库存情况怎么样？</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：整体来看，公司当前的库存情况比较健康，具体可关注公司后续披露的年报。</w:t>
            </w:r>
          </w:p>
          <w:p>
            <w:pPr>
              <w:rPr>
                <w:color w:val="000000" w:themeColor="text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8</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公司目前已掌握哪些先进封装技术？</w:t>
            </w:r>
            <w:r>
              <w:rPr>
                <w:b/>
                <w:bCs/>
                <w:color w:val="000000" w:themeColor="text1"/>
                <w:szCs w:val="21"/>
                <w14:textFill>
                  <w14:solidFill>
                    <w14:schemeClr w14:val="tx1"/>
                  </w14:solidFill>
                </w14:textFill>
              </w:rPr>
              <w:t xml:space="preserve"> </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：公司掌握16层叠Die、30~40μm超薄Die、多芯片异构集成等先进封装工艺，为NAND Flash芯片、DRAM芯片和SiP封装芯片的大规模量产提供支持。</w:t>
            </w:r>
          </w:p>
          <w:p>
            <w:pPr>
              <w:rPr>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9</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公司产品主要应用领域有哪些？</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：公司存储器产品应用领域覆盖智能手机、平板电脑、智能穿戴、机顶盒、智能汽车、工控应用、PC、工业互联网等主流应用场景。</w:t>
            </w:r>
          </w:p>
          <w:p>
            <w:pP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p>
        </w:tc>
        <w:tc>
          <w:tcPr>
            <w:tcW w:w="740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附件清单</w:t>
            </w:r>
          </w:p>
        </w:tc>
        <w:tc>
          <w:tcPr>
            <w:tcW w:w="7406" w:type="dxa"/>
          </w:tcPr>
          <w:p>
            <w:pPr>
              <w:wordWrap w:val="0"/>
              <w:topLinePunct/>
              <w:rPr>
                <w:rFonts w:ascii="Times New Roman" w:hAnsi="Times New Roman" w:eastAsia="宋体" w:cs="宋体"/>
                <w:szCs w:val="21"/>
              </w:rPr>
            </w:pPr>
            <w:r>
              <w:rPr>
                <w:rFonts w:hint="eastAsia" w:ascii="Times New Roman" w:hAnsi="Times New Roman"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日期</w:t>
            </w:r>
          </w:p>
        </w:tc>
        <w:tc>
          <w:tcPr>
            <w:tcW w:w="7406" w:type="dxa"/>
          </w:tcPr>
          <w:p>
            <w:pPr>
              <w:wordWrap w:val="0"/>
              <w:topLinePunct/>
              <w:rPr>
                <w:rFonts w:ascii="Times New Roman" w:hAnsi="Times New Roman" w:eastAsia="宋体" w:cs="宋体"/>
                <w:szCs w:val="21"/>
              </w:rPr>
            </w:pPr>
            <w:r>
              <w:rPr>
                <w:rFonts w:hint="eastAsia" w:ascii="Times New Roman" w:hAnsi="Times New Roman" w:eastAsia="宋体" w:cs="宋体"/>
                <w:szCs w:val="21"/>
              </w:rPr>
              <w:t>2024年</w:t>
            </w:r>
            <w:r>
              <w:rPr>
                <w:rFonts w:ascii="Times New Roman" w:hAnsi="Times New Roman" w:eastAsia="宋体" w:cs="宋体"/>
                <w:szCs w:val="21"/>
              </w:rPr>
              <w:t>1</w:t>
            </w:r>
            <w:r>
              <w:rPr>
                <w:rFonts w:hint="eastAsia" w:ascii="Times New Roman" w:hAnsi="Times New Roman" w:eastAsia="宋体" w:cs="宋体"/>
                <w:szCs w:val="21"/>
              </w:rPr>
              <w:t>月</w:t>
            </w:r>
            <w:r>
              <w:rPr>
                <w:rFonts w:ascii="Times New Roman" w:hAnsi="Times New Roman" w:eastAsia="宋体" w:cs="宋体"/>
                <w:szCs w:val="21"/>
              </w:rPr>
              <w:t>1</w:t>
            </w:r>
            <w:r>
              <w:rPr>
                <w:rFonts w:hint="eastAsia" w:ascii="Times New Roman" w:hAnsi="Times New Roman" w:eastAsia="宋体" w:cs="宋体"/>
                <w:szCs w:val="21"/>
              </w:rPr>
              <w:t>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备注</w:t>
            </w:r>
          </w:p>
        </w:tc>
        <w:tc>
          <w:tcPr>
            <w:tcW w:w="7406" w:type="dxa"/>
          </w:tcPr>
          <w:p>
            <w:pPr>
              <w:wordWrap w:val="0"/>
              <w:topLinePunct/>
              <w:ind w:firstLine="420" w:firstLineChars="200"/>
              <w:rPr>
                <w:rFonts w:ascii="Times New Roman" w:hAnsi="Times New Roman" w:eastAsia="宋体" w:cs="宋体"/>
                <w:szCs w:val="21"/>
              </w:rPr>
            </w:pPr>
            <w:r>
              <w:rPr>
                <w:rFonts w:hint="eastAsia" w:ascii="Times New Roman" w:hAnsi="Times New Roman" w:eastAsia="宋体" w:cs="宋体"/>
                <w:szCs w:val="21"/>
              </w:rPr>
              <w:t>接待过程中，公司与投资者进行了充分的交流与沟通，并严格按照公司《信息披露管理制度》等规定，保证信息披露的真实、准确、完整、及时、公平，没有出现未公开重大信息披露等情况。</w:t>
            </w:r>
          </w:p>
        </w:tc>
      </w:tr>
    </w:tbl>
    <w:p>
      <w:pPr>
        <w:rPr>
          <w:rFonts w:ascii="Times New Roman" w:hAnsi="Times New Roman" w:eastAsia="宋体" w:cs="宋体"/>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ascii="Times New Roman" w:hAnsi="Times New Roman" w:eastAsia="宋体" w:cs="宋体"/>
        <w:szCs w:val="21"/>
      </w:rPr>
    </w:pPr>
    <w:r>
      <w:rPr>
        <w:rFonts w:hint="eastAsia" w:ascii="Times New Roman" w:hAnsi="Times New Roman" w:eastAsia="宋体" w:cs="宋体"/>
        <w:szCs w:val="21"/>
      </w:rPr>
      <w:t>证券代码：688525                                       证券简称：佰维存储</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B5DC7"/>
    <w:multiLevelType w:val="multilevel"/>
    <w:tmpl w:val="156B5DC7"/>
    <w:lvl w:ilvl="0" w:tentative="0">
      <w:start w:val="1"/>
      <w:numFmt w:val="japaneseCounting"/>
      <w:lvlText w:val="%1、"/>
      <w:lvlJc w:val="left"/>
      <w:pPr>
        <w:ind w:left="440" w:hanging="440"/>
      </w:pPr>
      <w:rPr>
        <w:rFonts w:hint="default"/>
        <w:b/>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mYmE5MDYxOTlhNDEyNzlhZjRiNmE2NmM5MWNlMmYifQ=="/>
  </w:docVars>
  <w:rsids>
    <w:rsidRoot w:val="6AC1576E"/>
    <w:rsid w:val="00005DE8"/>
    <w:rsid w:val="00012E7D"/>
    <w:rsid w:val="000157CB"/>
    <w:rsid w:val="00026B52"/>
    <w:rsid w:val="0004273E"/>
    <w:rsid w:val="000427FB"/>
    <w:rsid w:val="00055474"/>
    <w:rsid w:val="00062EF0"/>
    <w:rsid w:val="00071A8C"/>
    <w:rsid w:val="000878B3"/>
    <w:rsid w:val="00092C1D"/>
    <w:rsid w:val="000A50E8"/>
    <w:rsid w:val="000B3869"/>
    <w:rsid w:val="000C0887"/>
    <w:rsid w:val="000C7FE8"/>
    <w:rsid w:val="000D3EFA"/>
    <w:rsid w:val="000D47B0"/>
    <w:rsid w:val="000E0BAC"/>
    <w:rsid w:val="000E79C5"/>
    <w:rsid w:val="000F0336"/>
    <w:rsid w:val="000F3EF1"/>
    <w:rsid w:val="001213BF"/>
    <w:rsid w:val="00134380"/>
    <w:rsid w:val="0014382F"/>
    <w:rsid w:val="00147193"/>
    <w:rsid w:val="00153FD0"/>
    <w:rsid w:val="00173CA8"/>
    <w:rsid w:val="0018509F"/>
    <w:rsid w:val="001A6EB8"/>
    <w:rsid w:val="001A6ED8"/>
    <w:rsid w:val="001B01A2"/>
    <w:rsid w:val="001B3E19"/>
    <w:rsid w:val="001B6625"/>
    <w:rsid w:val="001C3608"/>
    <w:rsid w:val="001C4A12"/>
    <w:rsid w:val="001E1195"/>
    <w:rsid w:val="001F07B6"/>
    <w:rsid w:val="0020303D"/>
    <w:rsid w:val="0021107F"/>
    <w:rsid w:val="00213E3C"/>
    <w:rsid w:val="00217A6F"/>
    <w:rsid w:val="00222F71"/>
    <w:rsid w:val="002244D1"/>
    <w:rsid w:val="00227D69"/>
    <w:rsid w:val="0024599E"/>
    <w:rsid w:val="00257408"/>
    <w:rsid w:val="00261964"/>
    <w:rsid w:val="00294303"/>
    <w:rsid w:val="002976F5"/>
    <w:rsid w:val="002B31FD"/>
    <w:rsid w:val="002B4E1F"/>
    <w:rsid w:val="002C3183"/>
    <w:rsid w:val="002C5BE9"/>
    <w:rsid w:val="002E042E"/>
    <w:rsid w:val="002E1347"/>
    <w:rsid w:val="002E4C29"/>
    <w:rsid w:val="002E4DF3"/>
    <w:rsid w:val="002E5C10"/>
    <w:rsid w:val="003021D0"/>
    <w:rsid w:val="00302EBD"/>
    <w:rsid w:val="00304ECB"/>
    <w:rsid w:val="00312335"/>
    <w:rsid w:val="00316033"/>
    <w:rsid w:val="003223C6"/>
    <w:rsid w:val="00325916"/>
    <w:rsid w:val="00326335"/>
    <w:rsid w:val="003405A4"/>
    <w:rsid w:val="00342FC6"/>
    <w:rsid w:val="003440DC"/>
    <w:rsid w:val="00350028"/>
    <w:rsid w:val="00352423"/>
    <w:rsid w:val="0035334F"/>
    <w:rsid w:val="00357789"/>
    <w:rsid w:val="00366015"/>
    <w:rsid w:val="00385706"/>
    <w:rsid w:val="003863EB"/>
    <w:rsid w:val="00387442"/>
    <w:rsid w:val="003918C9"/>
    <w:rsid w:val="003A27FF"/>
    <w:rsid w:val="003B19A6"/>
    <w:rsid w:val="003B3AB5"/>
    <w:rsid w:val="003B687D"/>
    <w:rsid w:val="003D1487"/>
    <w:rsid w:val="003D2D9C"/>
    <w:rsid w:val="003D3B8E"/>
    <w:rsid w:val="003D7938"/>
    <w:rsid w:val="003F045C"/>
    <w:rsid w:val="003F04D3"/>
    <w:rsid w:val="00400713"/>
    <w:rsid w:val="004032B4"/>
    <w:rsid w:val="00405C53"/>
    <w:rsid w:val="0040653D"/>
    <w:rsid w:val="00407590"/>
    <w:rsid w:val="0042237A"/>
    <w:rsid w:val="00431DD7"/>
    <w:rsid w:val="00437630"/>
    <w:rsid w:val="00452582"/>
    <w:rsid w:val="00466787"/>
    <w:rsid w:val="004703D7"/>
    <w:rsid w:val="00474BD5"/>
    <w:rsid w:val="00477223"/>
    <w:rsid w:val="00481976"/>
    <w:rsid w:val="00481A8E"/>
    <w:rsid w:val="00482E15"/>
    <w:rsid w:val="00485017"/>
    <w:rsid w:val="00487E7B"/>
    <w:rsid w:val="0049428F"/>
    <w:rsid w:val="004965BE"/>
    <w:rsid w:val="00497237"/>
    <w:rsid w:val="004A26A2"/>
    <w:rsid w:val="004B5CF0"/>
    <w:rsid w:val="004C2CF1"/>
    <w:rsid w:val="004D0B6B"/>
    <w:rsid w:val="004D281B"/>
    <w:rsid w:val="004E6DAB"/>
    <w:rsid w:val="004F347B"/>
    <w:rsid w:val="004F4DE6"/>
    <w:rsid w:val="004F5356"/>
    <w:rsid w:val="004F6647"/>
    <w:rsid w:val="0050116D"/>
    <w:rsid w:val="00505D22"/>
    <w:rsid w:val="00512877"/>
    <w:rsid w:val="005145AD"/>
    <w:rsid w:val="00517D63"/>
    <w:rsid w:val="005215D5"/>
    <w:rsid w:val="0053046B"/>
    <w:rsid w:val="00532C81"/>
    <w:rsid w:val="00554E85"/>
    <w:rsid w:val="00556B1A"/>
    <w:rsid w:val="00563952"/>
    <w:rsid w:val="00575010"/>
    <w:rsid w:val="00582739"/>
    <w:rsid w:val="0059132B"/>
    <w:rsid w:val="005A3157"/>
    <w:rsid w:val="005B576A"/>
    <w:rsid w:val="005B65D5"/>
    <w:rsid w:val="005C5CAD"/>
    <w:rsid w:val="0060422D"/>
    <w:rsid w:val="00604F69"/>
    <w:rsid w:val="00611BC5"/>
    <w:rsid w:val="00613AAF"/>
    <w:rsid w:val="00616D74"/>
    <w:rsid w:val="006200FD"/>
    <w:rsid w:val="006258FA"/>
    <w:rsid w:val="006321C7"/>
    <w:rsid w:val="00636847"/>
    <w:rsid w:val="00646043"/>
    <w:rsid w:val="006503C7"/>
    <w:rsid w:val="00650598"/>
    <w:rsid w:val="0065451B"/>
    <w:rsid w:val="00654BB7"/>
    <w:rsid w:val="006558A2"/>
    <w:rsid w:val="00657826"/>
    <w:rsid w:val="00666DF6"/>
    <w:rsid w:val="006725BE"/>
    <w:rsid w:val="00673486"/>
    <w:rsid w:val="00673D73"/>
    <w:rsid w:val="00690DFB"/>
    <w:rsid w:val="00693EAC"/>
    <w:rsid w:val="00696C28"/>
    <w:rsid w:val="006A064E"/>
    <w:rsid w:val="006A714D"/>
    <w:rsid w:val="006C5E43"/>
    <w:rsid w:val="006D2841"/>
    <w:rsid w:val="006D521E"/>
    <w:rsid w:val="006E2B9D"/>
    <w:rsid w:val="006E5A6A"/>
    <w:rsid w:val="006F23AE"/>
    <w:rsid w:val="006F35D1"/>
    <w:rsid w:val="00707323"/>
    <w:rsid w:val="007073A2"/>
    <w:rsid w:val="00712BAD"/>
    <w:rsid w:val="00720133"/>
    <w:rsid w:val="007206D4"/>
    <w:rsid w:val="007243DC"/>
    <w:rsid w:val="007265EA"/>
    <w:rsid w:val="007340B9"/>
    <w:rsid w:val="00742AA8"/>
    <w:rsid w:val="007475FB"/>
    <w:rsid w:val="00770861"/>
    <w:rsid w:val="00770B4F"/>
    <w:rsid w:val="00770CCC"/>
    <w:rsid w:val="007716D2"/>
    <w:rsid w:val="00771799"/>
    <w:rsid w:val="00771BD9"/>
    <w:rsid w:val="00774A02"/>
    <w:rsid w:val="0077648A"/>
    <w:rsid w:val="007A7B52"/>
    <w:rsid w:val="007B0FE9"/>
    <w:rsid w:val="007C2A0C"/>
    <w:rsid w:val="007C6081"/>
    <w:rsid w:val="007D2150"/>
    <w:rsid w:val="007E2A68"/>
    <w:rsid w:val="007E78D5"/>
    <w:rsid w:val="007F2C92"/>
    <w:rsid w:val="007F3533"/>
    <w:rsid w:val="007F7FCE"/>
    <w:rsid w:val="00817472"/>
    <w:rsid w:val="008243C5"/>
    <w:rsid w:val="00825CC9"/>
    <w:rsid w:val="00826370"/>
    <w:rsid w:val="0083646A"/>
    <w:rsid w:val="00853BB6"/>
    <w:rsid w:val="008602C8"/>
    <w:rsid w:val="0088028C"/>
    <w:rsid w:val="00883717"/>
    <w:rsid w:val="00885239"/>
    <w:rsid w:val="0089329F"/>
    <w:rsid w:val="008A02A4"/>
    <w:rsid w:val="008A244C"/>
    <w:rsid w:val="008A3FAC"/>
    <w:rsid w:val="008A72D2"/>
    <w:rsid w:val="008A76ED"/>
    <w:rsid w:val="008B2169"/>
    <w:rsid w:val="008B3490"/>
    <w:rsid w:val="008B3FFA"/>
    <w:rsid w:val="008D0E15"/>
    <w:rsid w:val="008D52E5"/>
    <w:rsid w:val="008E000F"/>
    <w:rsid w:val="008F5F5C"/>
    <w:rsid w:val="0090308A"/>
    <w:rsid w:val="00907341"/>
    <w:rsid w:val="00915DC0"/>
    <w:rsid w:val="00924B61"/>
    <w:rsid w:val="0093656B"/>
    <w:rsid w:val="009431FA"/>
    <w:rsid w:val="00943219"/>
    <w:rsid w:val="0094403A"/>
    <w:rsid w:val="009440CE"/>
    <w:rsid w:val="00950604"/>
    <w:rsid w:val="009558E3"/>
    <w:rsid w:val="009564B3"/>
    <w:rsid w:val="00966934"/>
    <w:rsid w:val="00975B4D"/>
    <w:rsid w:val="0098312F"/>
    <w:rsid w:val="00987C19"/>
    <w:rsid w:val="009D19E8"/>
    <w:rsid w:val="009E23FA"/>
    <w:rsid w:val="009E2D6F"/>
    <w:rsid w:val="009F1E9A"/>
    <w:rsid w:val="009F280C"/>
    <w:rsid w:val="009F7C60"/>
    <w:rsid w:val="00A215CB"/>
    <w:rsid w:val="00A21CAB"/>
    <w:rsid w:val="00A374ED"/>
    <w:rsid w:val="00A44337"/>
    <w:rsid w:val="00A474A0"/>
    <w:rsid w:val="00A52016"/>
    <w:rsid w:val="00A60E9B"/>
    <w:rsid w:val="00A745CA"/>
    <w:rsid w:val="00A768D2"/>
    <w:rsid w:val="00AA0C38"/>
    <w:rsid w:val="00AA6A24"/>
    <w:rsid w:val="00AA7453"/>
    <w:rsid w:val="00AC11AA"/>
    <w:rsid w:val="00AC6254"/>
    <w:rsid w:val="00AD2504"/>
    <w:rsid w:val="00AE0ECA"/>
    <w:rsid w:val="00AE3865"/>
    <w:rsid w:val="00AF0A93"/>
    <w:rsid w:val="00B01658"/>
    <w:rsid w:val="00B0177D"/>
    <w:rsid w:val="00B0197A"/>
    <w:rsid w:val="00B0515F"/>
    <w:rsid w:val="00B10D20"/>
    <w:rsid w:val="00B20A9E"/>
    <w:rsid w:val="00B238D7"/>
    <w:rsid w:val="00B32A3C"/>
    <w:rsid w:val="00B35BB9"/>
    <w:rsid w:val="00B4088A"/>
    <w:rsid w:val="00B40949"/>
    <w:rsid w:val="00B413E5"/>
    <w:rsid w:val="00B417D2"/>
    <w:rsid w:val="00B45F4D"/>
    <w:rsid w:val="00B45FF9"/>
    <w:rsid w:val="00B51575"/>
    <w:rsid w:val="00B525E0"/>
    <w:rsid w:val="00B6111A"/>
    <w:rsid w:val="00B63BE9"/>
    <w:rsid w:val="00B6698C"/>
    <w:rsid w:val="00B67B17"/>
    <w:rsid w:val="00B77144"/>
    <w:rsid w:val="00B77C1C"/>
    <w:rsid w:val="00B822A2"/>
    <w:rsid w:val="00B95496"/>
    <w:rsid w:val="00BA1273"/>
    <w:rsid w:val="00BA5759"/>
    <w:rsid w:val="00BA6C95"/>
    <w:rsid w:val="00BB3693"/>
    <w:rsid w:val="00BB69FD"/>
    <w:rsid w:val="00BC0CA8"/>
    <w:rsid w:val="00BC66B1"/>
    <w:rsid w:val="00BD5E7E"/>
    <w:rsid w:val="00BE3885"/>
    <w:rsid w:val="00BE7818"/>
    <w:rsid w:val="00BF1F0E"/>
    <w:rsid w:val="00C175B5"/>
    <w:rsid w:val="00C212DB"/>
    <w:rsid w:val="00C35AEF"/>
    <w:rsid w:val="00C50311"/>
    <w:rsid w:val="00C5081D"/>
    <w:rsid w:val="00C53AA3"/>
    <w:rsid w:val="00C55CD6"/>
    <w:rsid w:val="00C6531B"/>
    <w:rsid w:val="00C7122A"/>
    <w:rsid w:val="00C74E8E"/>
    <w:rsid w:val="00C80368"/>
    <w:rsid w:val="00C85D84"/>
    <w:rsid w:val="00C864A3"/>
    <w:rsid w:val="00C93EE4"/>
    <w:rsid w:val="00CA6138"/>
    <w:rsid w:val="00CC79C7"/>
    <w:rsid w:val="00CD66EE"/>
    <w:rsid w:val="00CE209D"/>
    <w:rsid w:val="00D00D65"/>
    <w:rsid w:val="00D05726"/>
    <w:rsid w:val="00D1268D"/>
    <w:rsid w:val="00D15ACE"/>
    <w:rsid w:val="00D172AD"/>
    <w:rsid w:val="00D25543"/>
    <w:rsid w:val="00D33B82"/>
    <w:rsid w:val="00D34ECA"/>
    <w:rsid w:val="00D46386"/>
    <w:rsid w:val="00D52678"/>
    <w:rsid w:val="00D56575"/>
    <w:rsid w:val="00D62573"/>
    <w:rsid w:val="00D72DB2"/>
    <w:rsid w:val="00DA0D97"/>
    <w:rsid w:val="00DB74E0"/>
    <w:rsid w:val="00DC65F3"/>
    <w:rsid w:val="00DD5401"/>
    <w:rsid w:val="00DE083A"/>
    <w:rsid w:val="00DF10BF"/>
    <w:rsid w:val="00E10EB2"/>
    <w:rsid w:val="00E228CF"/>
    <w:rsid w:val="00E338E1"/>
    <w:rsid w:val="00E33FA0"/>
    <w:rsid w:val="00E4615A"/>
    <w:rsid w:val="00E4714F"/>
    <w:rsid w:val="00E60313"/>
    <w:rsid w:val="00E714EC"/>
    <w:rsid w:val="00EA699E"/>
    <w:rsid w:val="00EA6BCD"/>
    <w:rsid w:val="00EB230E"/>
    <w:rsid w:val="00EB6FB0"/>
    <w:rsid w:val="00EB746A"/>
    <w:rsid w:val="00EE1791"/>
    <w:rsid w:val="00EE484D"/>
    <w:rsid w:val="00F10B80"/>
    <w:rsid w:val="00F125C9"/>
    <w:rsid w:val="00F13B9D"/>
    <w:rsid w:val="00F20357"/>
    <w:rsid w:val="00F2359E"/>
    <w:rsid w:val="00F278C2"/>
    <w:rsid w:val="00F321A3"/>
    <w:rsid w:val="00F41CF5"/>
    <w:rsid w:val="00F444AC"/>
    <w:rsid w:val="00F54984"/>
    <w:rsid w:val="00F54A04"/>
    <w:rsid w:val="00F80934"/>
    <w:rsid w:val="00F81C9E"/>
    <w:rsid w:val="00F94DB7"/>
    <w:rsid w:val="00F96198"/>
    <w:rsid w:val="00FA26DC"/>
    <w:rsid w:val="00FA2BA5"/>
    <w:rsid w:val="00FA7CB1"/>
    <w:rsid w:val="00FB2ED5"/>
    <w:rsid w:val="00FC0CB6"/>
    <w:rsid w:val="00FC4F18"/>
    <w:rsid w:val="00FC7B5D"/>
    <w:rsid w:val="00FD5299"/>
    <w:rsid w:val="00FE08DE"/>
    <w:rsid w:val="00FE4787"/>
    <w:rsid w:val="00FF5B25"/>
    <w:rsid w:val="0576341B"/>
    <w:rsid w:val="082609BC"/>
    <w:rsid w:val="146925FB"/>
    <w:rsid w:val="1D61352C"/>
    <w:rsid w:val="21E819AE"/>
    <w:rsid w:val="2C3B19B2"/>
    <w:rsid w:val="3599471C"/>
    <w:rsid w:val="3EC407F0"/>
    <w:rsid w:val="439123AD"/>
    <w:rsid w:val="45427A17"/>
    <w:rsid w:val="49977D35"/>
    <w:rsid w:val="4D077BC8"/>
    <w:rsid w:val="50706ABC"/>
    <w:rsid w:val="51EF0845"/>
    <w:rsid w:val="5A63604A"/>
    <w:rsid w:val="5ABD56B1"/>
    <w:rsid w:val="603F0141"/>
    <w:rsid w:val="690F37A3"/>
    <w:rsid w:val="6AC1576E"/>
    <w:rsid w:val="6BA16D20"/>
    <w:rsid w:val="6BF223C4"/>
    <w:rsid w:val="780B4948"/>
    <w:rsid w:val="7A7F272C"/>
    <w:rsid w:val="7D2F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annotation subject"/>
    <w:basedOn w:val="2"/>
    <w:next w:val="2"/>
    <w:link w:val="11"/>
    <w:autoRedefine/>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21"/>
      <w:szCs w:val="21"/>
    </w:rPr>
  </w:style>
  <w:style w:type="character" w:customStyle="1" w:styleId="10">
    <w:name w:val="批注文字 字符"/>
    <w:basedOn w:val="8"/>
    <w:link w:val="2"/>
    <w:autoRedefine/>
    <w:qFormat/>
    <w:uiPriority w:val="0"/>
    <w:rPr>
      <w:rFonts w:asciiTheme="minorHAnsi" w:hAnsiTheme="minorHAnsi" w:eastAsiaTheme="minorEastAsia" w:cstheme="minorBidi"/>
      <w:kern w:val="2"/>
      <w:sz w:val="21"/>
      <w:szCs w:val="24"/>
    </w:rPr>
  </w:style>
  <w:style w:type="character" w:customStyle="1" w:styleId="11">
    <w:name w:val="批注主题 字符"/>
    <w:basedOn w:val="10"/>
    <w:link w:val="5"/>
    <w:autoRedefine/>
    <w:qFormat/>
    <w:uiPriority w:val="0"/>
    <w:rPr>
      <w:rFonts w:asciiTheme="minorHAnsi" w:hAnsiTheme="minorHAnsi" w:eastAsiaTheme="minorEastAsia" w:cstheme="minorBidi"/>
      <w:b/>
      <w:bCs/>
      <w:kern w:val="2"/>
      <w:sz w:val="21"/>
      <w:szCs w:val="24"/>
    </w:rPr>
  </w:style>
  <w:style w:type="paragraph" w:customStyle="1" w:styleId="12">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3">
    <w:name w:val="Revision"/>
    <w:hidden/>
    <w:semiHidden/>
    <w:uiPriority w:val="99"/>
    <w:rPr>
      <w:rFonts w:asciiTheme="minorHAnsi" w:hAnsiTheme="minorHAnsi" w:eastAsiaTheme="minorEastAsia" w:cstheme="minorBidi"/>
      <w:kern w:val="2"/>
      <w:sz w:val="21"/>
      <w:szCs w:val="24"/>
      <w:lang w:val="en-US" w:eastAsia="zh-CN" w:bidi="ar-SA"/>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250</Words>
  <Characters>1429</Characters>
  <Lines>11</Lines>
  <Paragraphs>3</Paragraphs>
  <TotalTime>849</TotalTime>
  <ScaleCrop>false</ScaleCrop>
  <LinksUpToDate>false</LinksUpToDate>
  <CharactersWithSpaces>1676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2023-09-25T07:28:00Z</dcterms:created>
  <dc:creator>董咚咚</dc:creator>
  <cp:lastModifiedBy>钟清青</cp:lastModifiedBy>
  <cp:lastPrinted>2023-01-12T08:57:00Z</cp:lastPrinted>
  <dcterms:modified xsi:type="dcterms:W3CDTF">2024-01-22T06:13:20Z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EC9F0638DBB742BDAD7827AA7D19EC93_13</vt:lpwstr>
  </property>
</Properties>
</file>