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E3E3" w14:textId="77777777" w:rsidR="003D18BD" w:rsidRDefault="00000000" w:rsidP="00C51435">
      <w:pPr>
        <w:spacing w:beforeLines="50" w:before="156" w:afterLines="50" w:after="156" w:line="400" w:lineRule="exact"/>
        <w:rPr>
          <w:rFonts w:ascii="宋体" w:hAnsi="宋体"/>
          <w:b/>
          <w:bCs/>
          <w:iCs/>
          <w:sz w:val="24"/>
        </w:rPr>
      </w:pPr>
      <w:r>
        <w:rPr>
          <w:rFonts w:ascii="宋体" w:hAnsi="宋体" w:hint="eastAsia"/>
          <w:b/>
          <w:bCs/>
          <w:iCs/>
          <w:sz w:val="24"/>
        </w:rPr>
        <w:t>证券代码：</w:t>
      </w:r>
      <w:r w:rsidR="00294B95">
        <w:rPr>
          <w:rFonts w:ascii="宋体" w:hAnsi="宋体"/>
          <w:b/>
          <w:bCs/>
          <w:iCs/>
          <w:sz w:val="24"/>
        </w:rPr>
        <w:t>688502</w:t>
      </w:r>
      <w:r>
        <w:rPr>
          <w:rFonts w:ascii="宋体" w:hAnsi="宋体" w:hint="eastAsia"/>
          <w:b/>
          <w:bCs/>
          <w:iCs/>
          <w:sz w:val="24"/>
        </w:rPr>
        <w:t xml:space="preserve">                            </w:t>
      </w:r>
      <w:r w:rsidR="00C51435"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ascii="宋体" w:hAnsi="宋体" w:hint="eastAsia"/>
          <w:b/>
          <w:bCs/>
          <w:iCs/>
          <w:sz w:val="24"/>
        </w:rPr>
        <w:t>证券简称：</w:t>
      </w:r>
      <w:r w:rsidR="00294B95">
        <w:rPr>
          <w:rFonts w:ascii="宋体" w:hAnsi="宋体" w:hint="eastAsia"/>
          <w:b/>
          <w:bCs/>
          <w:iCs/>
          <w:sz w:val="24"/>
        </w:rPr>
        <w:t>茂莱光学</w:t>
      </w:r>
    </w:p>
    <w:p w14:paraId="28B53C6E" w14:textId="77777777" w:rsidR="003D18BD" w:rsidRDefault="00294B95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4"/>
        </w:rPr>
        <w:t>南京茂莱光学科技股份有限公司投资者关系活动记录表</w:t>
      </w:r>
    </w:p>
    <w:p w14:paraId="4BDC0DF2" w14:textId="520A8A84" w:rsidR="003D18BD" w:rsidRDefault="00000000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</w:t>
      </w:r>
      <w:r w:rsidR="00A83D47">
        <w:rPr>
          <w:rFonts w:ascii="宋体" w:hAnsi="宋体"/>
          <w:bCs/>
          <w:iCs/>
          <w:sz w:val="24"/>
          <w:szCs w:val="24"/>
        </w:rPr>
        <w:t>4</w:t>
      </w:r>
      <w:r>
        <w:rPr>
          <w:rFonts w:ascii="宋体" w:hAnsi="宋体" w:hint="eastAsia"/>
          <w:bCs/>
          <w:iCs/>
          <w:sz w:val="24"/>
          <w:szCs w:val="24"/>
        </w:rPr>
        <w:t>-00</w:t>
      </w:r>
      <w:r w:rsidR="00A83D47">
        <w:rPr>
          <w:rFonts w:ascii="宋体" w:hAnsi="宋体"/>
          <w:bCs/>
          <w:iCs/>
          <w:sz w:val="24"/>
          <w:szCs w:val="24"/>
        </w:rPr>
        <w:t>1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693"/>
      </w:tblGrid>
      <w:tr w:rsidR="003D18BD" w14:paraId="091B26B3" w14:textId="77777777">
        <w:trPr>
          <w:trHeight w:val="2649"/>
        </w:trPr>
        <w:tc>
          <w:tcPr>
            <w:tcW w:w="1931" w:type="dxa"/>
            <w:shd w:val="clear" w:color="auto" w:fill="auto"/>
            <w:vAlign w:val="center"/>
          </w:tcPr>
          <w:p w14:paraId="540FC96A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7CAED2CD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59DA06DF" w14:textId="77777777" w:rsidR="003D18BD" w:rsidRDefault="003D18BD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14:paraId="1C46715B" w14:textId="6EBD0127" w:rsidR="003D18BD" w:rsidRDefault="003318A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30413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30413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30413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55776974" w14:textId="356781B1" w:rsidR="003D18BD" w:rsidRDefault="0000000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0241EB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61156639" w14:textId="4D9213C1" w:rsidR="003D18BD" w:rsidRDefault="000241EB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0CFF85CE" w14:textId="1A791120" w:rsidR="003D18BD" w:rsidRDefault="000241E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304131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="00304131"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41BCF54B" w14:textId="77F7AFB4" w:rsidR="003D18BD" w:rsidRDefault="00FB687B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304131">
              <w:rPr>
                <w:rFonts w:ascii="宋体" w:hAnsi="宋体" w:hint="eastAsia"/>
                <w:sz w:val="24"/>
                <w:szCs w:val="24"/>
              </w:rPr>
              <w:t>其他 （</w:t>
            </w:r>
            <w:r w:rsidR="00CE5F90" w:rsidRPr="00040840">
              <w:rPr>
                <w:rFonts w:ascii="宋体" w:hAnsi="宋体" w:hint="eastAsia"/>
                <w:sz w:val="24"/>
                <w:szCs w:val="24"/>
              </w:rPr>
              <w:t>线上交流</w:t>
            </w:r>
            <w:r w:rsidR="00304131" w:rsidRPr="0004084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3D18BD" w14:paraId="33C9DA0F" w14:textId="77777777">
        <w:trPr>
          <w:trHeight w:val="844"/>
        </w:trPr>
        <w:tc>
          <w:tcPr>
            <w:tcW w:w="1931" w:type="dxa"/>
            <w:shd w:val="clear" w:color="auto" w:fill="auto"/>
            <w:vAlign w:val="center"/>
          </w:tcPr>
          <w:p w14:paraId="71A85C71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0684E820" w14:textId="16A44FAD" w:rsidR="003D2CCE" w:rsidRDefault="003D2CC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华安基金、诺安基金、平安资管、信达澳亚基金、中金公司、中信证券、太平洋保险、汇添富基金、中泰电子、信达证券、百年保险资管</w:t>
            </w:r>
          </w:p>
        </w:tc>
      </w:tr>
      <w:tr w:rsidR="003D18BD" w14:paraId="1183B269" w14:textId="77777777">
        <w:trPr>
          <w:trHeight w:val="588"/>
        </w:trPr>
        <w:tc>
          <w:tcPr>
            <w:tcW w:w="1931" w:type="dxa"/>
            <w:shd w:val="clear" w:color="auto" w:fill="auto"/>
            <w:vAlign w:val="center"/>
          </w:tcPr>
          <w:p w14:paraId="61BF4165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013CB8A1" w14:textId="2FEFF122" w:rsidR="003D18BD" w:rsidRDefault="00304131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3D2CCE">
              <w:rPr>
                <w:rFonts w:ascii="宋体" w:hAnsi="宋体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1F6F42">
              <w:rPr>
                <w:rFonts w:ascii="宋体" w:hAnsi="宋体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3D2CCE">
              <w:rPr>
                <w:rFonts w:ascii="宋体" w:hAnsi="宋体"/>
                <w:bCs/>
                <w:iCs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3D18BD" w14:paraId="7A09BD02" w14:textId="77777777">
        <w:trPr>
          <w:trHeight w:val="524"/>
        </w:trPr>
        <w:tc>
          <w:tcPr>
            <w:tcW w:w="1931" w:type="dxa"/>
            <w:shd w:val="clear" w:color="auto" w:fill="auto"/>
            <w:vAlign w:val="center"/>
          </w:tcPr>
          <w:p w14:paraId="04602949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781C8AE7" w14:textId="63461C22" w:rsidR="003D18BD" w:rsidRDefault="00E372FD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江苏省南京市江宁开发区铺岗街3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98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号会议室</w:t>
            </w:r>
          </w:p>
        </w:tc>
      </w:tr>
      <w:tr w:rsidR="003D18BD" w14:paraId="3F9A38B7" w14:textId="77777777">
        <w:trPr>
          <w:trHeight w:val="702"/>
        </w:trPr>
        <w:tc>
          <w:tcPr>
            <w:tcW w:w="1931" w:type="dxa"/>
            <w:shd w:val="clear" w:color="auto" w:fill="auto"/>
            <w:vAlign w:val="center"/>
          </w:tcPr>
          <w:p w14:paraId="62A4EC56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6C0B8DC2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089D88CE" w14:textId="03348137" w:rsidR="00082326" w:rsidRDefault="001F6F42" w:rsidP="0008232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董事长 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</w:t>
            </w:r>
            <w:r w:rsidR="003F3D8E">
              <w:rPr>
                <w:rFonts w:ascii="宋体" w:hAnsi="宋体"/>
                <w:bCs/>
                <w:i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范浩</w:t>
            </w:r>
          </w:p>
          <w:p w14:paraId="3211DD13" w14:textId="37473D9A" w:rsidR="003F3D8E" w:rsidRDefault="003F3D8E" w:rsidP="0008232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董事、总经理 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范一</w:t>
            </w:r>
          </w:p>
          <w:p w14:paraId="69E072B1" w14:textId="4F3864DD" w:rsidR="003F3D8E" w:rsidRDefault="003F3D8E" w:rsidP="0008232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副董事长、副总经理 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宋治平</w:t>
            </w:r>
          </w:p>
          <w:p w14:paraId="7AD24D13" w14:textId="36BDC957" w:rsidR="003F3D8E" w:rsidRDefault="003F3D8E" w:rsidP="0008232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财务总监 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郝前进</w:t>
            </w:r>
          </w:p>
          <w:p w14:paraId="385DFC1C" w14:textId="4D944031" w:rsidR="00082326" w:rsidRDefault="006B204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董事会秘书 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</w:t>
            </w:r>
            <w:r w:rsidR="003F3D8E">
              <w:rPr>
                <w:rFonts w:ascii="宋体" w:hAnsi="宋体"/>
                <w:bCs/>
                <w:i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顾月</w:t>
            </w:r>
          </w:p>
          <w:p w14:paraId="46D04956" w14:textId="5274BE3D" w:rsidR="00113ED5" w:rsidRDefault="00113ED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证券事务代表 </w:t>
            </w:r>
            <w:r w:rsidR="00AF7FB9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  <w:r w:rsidR="003F3D8E">
              <w:rPr>
                <w:rFonts w:ascii="宋体" w:hAnsi="宋体"/>
                <w:bCs/>
                <w:i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施津煜</w:t>
            </w:r>
          </w:p>
        </w:tc>
      </w:tr>
      <w:tr w:rsidR="003D18BD" w:rsidRPr="004A3CA3" w14:paraId="012D9B0B" w14:textId="77777777" w:rsidTr="00DE3EC5">
        <w:trPr>
          <w:trHeight w:val="629"/>
        </w:trPr>
        <w:tc>
          <w:tcPr>
            <w:tcW w:w="1931" w:type="dxa"/>
            <w:shd w:val="clear" w:color="auto" w:fill="auto"/>
            <w:vAlign w:val="center"/>
          </w:tcPr>
          <w:p w14:paraId="07053C08" w14:textId="220C3118" w:rsidR="003D18BD" w:rsidRPr="00065DF1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065DF1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31EA7997" w14:textId="26347CA0" w:rsidR="00065DF1" w:rsidRPr="00065DF1" w:rsidRDefault="00065DF1" w:rsidP="00740AED">
            <w:pPr>
              <w:spacing w:line="360" w:lineRule="auto"/>
              <w:rPr>
                <w:rFonts w:ascii="宋体" w:hAnsi="宋体"/>
                <w:iCs/>
                <w:sz w:val="22"/>
                <w:szCs w:val="22"/>
              </w:rPr>
            </w:pPr>
            <w:r w:rsidRPr="00065DF1">
              <w:rPr>
                <w:rFonts w:ascii="宋体" w:hAnsi="宋体" w:hint="eastAsia"/>
                <w:iCs/>
                <w:sz w:val="22"/>
                <w:szCs w:val="22"/>
              </w:rPr>
              <w:t>公司在遵守信息披露相关规定的前提下与投资者进行交流，交流内容不涉及未披露的重大信息。具体交流内容如下：</w:t>
            </w:r>
          </w:p>
          <w:p w14:paraId="6D09E34A" w14:textId="4F190381" w:rsidR="00F61772" w:rsidRPr="00AF7564" w:rsidRDefault="00740AED" w:rsidP="00AF7564">
            <w:pPr>
              <w:spacing w:line="360" w:lineRule="auto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F54D82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Q</w:t>
            </w:r>
            <w:r w:rsidR="00C35B06" w:rsidRPr="00F54D82">
              <w:rPr>
                <w:rFonts w:ascii="宋体" w:hAnsi="宋体"/>
                <w:b/>
                <w:bCs/>
                <w:iCs/>
                <w:sz w:val="22"/>
                <w:szCs w:val="22"/>
              </w:rPr>
              <w:t>1</w:t>
            </w:r>
            <w:r w:rsidRPr="00F54D82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、</w:t>
            </w:r>
            <w:r w:rsidR="00AE44C7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分短中期维度看，</w:t>
            </w:r>
            <w:r w:rsidR="00AF7564" w:rsidRPr="00AF7564">
              <w:rPr>
                <w:rFonts w:ascii="宋体" w:hAnsi="宋体"/>
                <w:b/>
                <w:bCs/>
                <w:iCs/>
                <w:sz w:val="22"/>
                <w:szCs w:val="22"/>
              </w:rPr>
              <w:t>公司的成长动力主要是来自哪些下游</w:t>
            </w:r>
            <w:r w:rsidR="00E633CE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应用领域</w:t>
            </w:r>
            <w:r w:rsidR="00AF7564" w:rsidRPr="00AF7564">
              <w:rPr>
                <w:rFonts w:ascii="宋体" w:hAnsi="宋体"/>
                <w:b/>
                <w:bCs/>
                <w:iCs/>
                <w:sz w:val="22"/>
                <w:szCs w:val="22"/>
              </w:rPr>
              <w:t>？主要是国内还是国外？</w:t>
            </w:r>
            <w:r w:rsidR="00CF1AC4" w:rsidRPr="00AF7564">
              <w:rPr>
                <w:rFonts w:ascii="宋体" w:hAnsi="宋体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8694B19" w14:textId="0CBB4535" w:rsidR="00AE44C7" w:rsidRPr="00AE44C7" w:rsidRDefault="00AE44C7" w:rsidP="00AE44C7">
            <w:pPr>
              <w:spacing w:line="360" w:lineRule="auto"/>
              <w:rPr>
                <w:rFonts w:ascii="宋体" w:hAnsi="宋体"/>
                <w:iCs/>
                <w:sz w:val="22"/>
                <w:szCs w:val="22"/>
              </w:rPr>
            </w:pPr>
            <w:r w:rsidRPr="00AE44C7">
              <w:rPr>
                <w:rFonts w:ascii="宋体" w:hAnsi="宋体" w:hint="eastAsia"/>
                <w:iCs/>
                <w:sz w:val="22"/>
                <w:szCs w:val="22"/>
              </w:rPr>
              <w:t>短期而言，公司的成长动力主要来源于半导体领域，前三季度半导体领域收入较上年同期增长46.71%。中长期而言，半导体、生命科学、无人驾驶、AR检测设备等领域未来发展潜力较大。</w:t>
            </w:r>
          </w:p>
          <w:p w14:paraId="40A999B2" w14:textId="064AD6C5" w:rsidR="00AE44C7" w:rsidRDefault="00AE44C7" w:rsidP="00AE44C7">
            <w:pPr>
              <w:spacing w:line="360" w:lineRule="auto"/>
              <w:rPr>
                <w:rFonts w:ascii="宋体" w:hAnsi="宋体"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iCs/>
                <w:sz w:val="22"/>
                <w:szCs w:val="22"/>
              </w:rPr>
              <w:t>公司</w:t>
            </w:r>
            <w:r w:rsidRPr="00AE44C7">
              <w:rPr>
                <w:rFonts w:ascii="宋体" w:hAnsi="宋体" w:hint="eastAsia"/>
                <w:iCs/>
                <w:sz w:val="22"/>
                <w:szCs w:val="22"/>
              </w:rPr>
              <w:t>国内收入占比在逐渐提高。未来公司会国内国外同时发力，形成内外双循环的局面。</w:t>
            </w:r>
          </w:p>
          <w:p w14:paraId="1B08E767" w14:textId="04999391" w:rsidR="00DA5A39" w:rsidRDefault="00DA5A39" w:rsidP="00AE44C7">
            <w:pPr>
              <w:spacing w:line="360" w:lineRule="auto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7D5AC8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lastRenderedPageBreak/>
              <w:t>Q</w:t>
            </w:r>
            <w:r w:rsidRPr="007D5AC8">
              <w:rPr>
                <w:rFonts w:ascii="宋体" w:hAnsi="宋体"/>
                <w:b/>
                <w:bCs/>
                <w:iCs/>
                <w:sz w:val="22"/>
                <w:szCs w:val="22"/>
              </w:rPr>
              <w:t>2</w:t>
            </w:r>
            <w:r w:rsidRPr="007D5AC8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、</w:t>
            </w:r>
            <w:r w:rsidR="007E7F8A" w:rsidRPr="007E7F8A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目前的产能利用率和产能增长情况？</w:t>
            </w:r>
          </w:p>
          <w:p w14:paraId="4EF84D34" w14:textId="20E4824E" w:rsidR="007D5AC8" w:rsidRPr="007D5AC8" w:rsidRDefault="007E7F8A" w:rsidP="00A81C61">
            <w:pPr>
              <w:spacing w:line="360" w:lineRule="auto"/>
              <w:rPr>
                <w:rFonts w:ascii="宋体" w:hAnsi="宋体"/>
                <w:iCs/>
                <w:sz w:val="22"/>
                <w:szCs w:val="22"/>
              </w:rPr>
            </w:pPr>
            <w:r w:rsidRPr="007E7F8A">
              <w:rPr>
                <w:rFonts w:ascii="宋体" w:hAnsi="宋体" w:hint="eastAsia"/>
                <w:iCs/>
                <w:sz w:val="22"/>
                <w:szCs w:val="22"/>
              </w:rPr>
              <w:t>公司会根据经营计划和客户需求进行产能调配，不断提升订单交付能力。待募投项目建成</w:t>
            </w:r>
            <w:r w:rsidR="00D069E7">
              <w:rPr>
                <w:rFonts w:ascii="宋体" w:hAnsi="宋体" w:hint="eastAsia"/>
                <w:iCs/>
                <w:sz w:val="22"/>
                <w:szCs w:val="22"/>
              </w:rPr>
              <w:t>投产</w:t>
            </w:r>
            <w:r w:rsidRPr="007E7F8A">
              <w:rPr>
                <w:rFonts w:ascii="宋体" w:hAnsi="宋体" w:hint="eastAsia"/>
                <w:iCs/>
                <w:sz w:val="22"/>
                <w:szCs w:val="22"/>
              </w:rPr>
              <w:t>后，产能</w:t>
            </w:r>
            <w:r w:rsidR="00422728">
              <w:rPr>
                <w:rFonts w:ascii="宋体" w:hAnsi="宋体" w:hint="eastAsia"/>
                <w:iCs/>
                <w:sz w:val="22"/>
                <w:szCs w:val="22"/>
              </w:rPr>
              <w:t>的释放</w:t>
            </w:r>
            <w:r w:rsidRPr="007E7F8A">
              <w:rPr>
                <w:rFonts w:ascii="宋体" w:hAnsi="宋体" w:hint="eastAsia"/>
                <w:iCs/>
                <w:sz w:val="22"/>
                <w:szCs w:val="22"/>
              </w:rPr>
              <w:t>会</w:t>
            </w:r>
            <w:r w:rsidR="00857229">
              <w:rPr>
                <w:rFonts w:ascii="宋体" w:hAnsi="宋体" w:hint="eastAsia"/>
                <w:iCs/>
                <w:sz w:val="22"/>
                <w:szCs w:val="22"/>
              </w:rPr>
              <w:t>存在一段时间的缓慢</w:t>
            </w:r>
            <w:r w:rsidRPr="007E7F8A">
              <w:rPr>
                <w:rFonts w:ascii="宋体" w:hAnsi="宋体" w:hint="eastAsia"/>
                <w:iCs/>
                <w:sz w:val="22"/>
                <w:szCs w:val="22"/>
              </w:rPr>
              <w:t>爬坡</w:t>
            </w:r>
            <w:r w:rsidR="00857229">
              <w:rPr>
                <w:rFonts w:ascii="宋体" w:hAnsi="宋体" w:hint="eastAsia"/>
                <w:iCs/>
                <w:sz w:val="22"/>
                <w:szCs w:val="22"/>
              </w:rPr>
              <w:t>。</w:t>
            </w:r>
            <w:r w:rsidRPr="007E7F8A">
              <w:rPr>
                <w:rFonts w:ascii="宋体" w:hAnsi="宋体" w:hint="eastAsia"/>
                <w:iCs/>
                <w:sz w:val="22"/>
                <w:szCs w:val="22"/>
              </w:rPr>
              <w:t>2024年公司</w:t>
            </w:r>
            <w:r w:rsidR="00857229">
              <w:rPr>
                <w:rFonts w:ascii="宋体" w:hAnsi="宋体" w:hint="eastAsia"/>
                <w:iCs/>
                <w:sz w:val="22"/>
                <w:szCs w:val="22"/>
              </w:rPr>
              <w:t>还</w:t>
            </w:r>
            <w:r w:rsidRPr="007E7F8A">
              <w:rPr>
                <w:rFonts w:ascii="宋体" w:hAnsi="宋体" w:hint="eastAsia"/>
                <w:iCs/>
                <w:sz w:val="22"/>
                <w:szCs w:val="22"/>
              </w:rPr>
              <w:t>会打造半导体专线，提升部分产线的自动化/半自动化程度</w:t>
            </w:r>
            <w:r w:rsidR="00DC73C9">
              <w:rPr>
                <w:rFonts w:ascii="宋体" w:hAnsi="宋体" w:hint="eastAsia"/>
                <w:iCs/>
                <w:sz w:val="22"/>
                <w:szCs w:val="22"/>
              </w:rPr>
              <w:t>，进而</w:t>
            </w:r>
            <w:r w:rsidR="00BB205B">
              <w:rPr>
                <w:rFonts w:ascii="宋体" w:hAnsi="宋体" w:hint="eastAsia"/>
                <w:iCs/>
                <w:sz w:val="22"/>
                <w:szCs w:val="22"/>
              </w:rPr>
              <w:t>提高</w:t>
            </w:r>
            <w:r w:rsidR="00DC73C9">
              <w:rPr>
                <w:rFonts w:ascii="宋体" w:hAnsi="宋体" w:hint="eastAsia"/>
                <w:iCs/>
                <w:sz w:val="22"/>
                <w:szCs w:val="22"/>
              </w:rPr>
              <w:t>产品交付效率。</w:t>
            </w:r>
          </w:p>
          <w:p w14:paraId="6988BF2C" w14:textId="58F0783C" w:rsidR="000A655B" w:rsidRPr="006168EB" w:rsidRDefault="00980025" w:rsidP="000A655B">
            <w:pPr>
              <w:spacing w:beforeLines="50" w:before="156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0A655B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Q</w:t>
            </w:r>
            <w:r w:rsidR="00DA5A39">
              <w:rPr>
                <w:rFonts w:ascii="宋体" w:hAnsi="宋体"/>
                <w:b/>
                <w:bCs/>
                <w:iCs/>
                <w:sz w:val="22"/>
                <w:szCs w:val="22"/>
              </w:rPr>
              <w:t>3</w:t>
            </w:r>
            <w:r w:rsidRPr="000A655B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、</w:t>
            </w:r>
            <w:r w:rsidR="003E57B4" w:rsidRPr="003E57B4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全球化的布局，主要是出于哪些考量</w:t>
            </w:r>
            <w:r w:rsidR="00155F75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？</w:t>
            </w:r>
            <w:r w:rsidR="006C150B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海外子公司的建设进度？</w:t>
            </w:r>
          </w:p>
          <w:p w14:paraId="12AF9EE9" w14:textId="77777777" w:rsidR="006C150B" w:rsidRDefault="003E57B4" w:rsidP="003E57B4">
            <w:pPr>
              <w:spacing w:line="360" w:lineRule="auto"/>
              <w:rPr>
                <w:rFonts w:ascii="宋体" w:hAnsi="宋体"/>
                <w:iCs/>
                <w:sz w:val="22"/>
                <w:szCs w:val="22"/>
              </w:rPr>
            </w:pPr>
            <w:r w:rsidRPr="003E57B4">
              <w:rPr>
                <w:rFonts w:ascii="宋体" w:hAnsi="宋体" w:hint="eastAsia"/>
                <w:iCs/>
                <w:sz w:val="22"/>
                <w:szCs w:val="22"/>
              </w:rPr>
              <w:t>全球化布局</w:t>
            </w:r>
            <w:r w:rsidR="00915C7D">
              <w:rPr>
                <w:rFonts w:ascii="宋体" w:hAnsi="宋体" w:hint="eastAsia"/>
                <w:iCs/>
                <w:sz w:val="22"/>
                <w:szCs w:val="22"/>
              </w:rPr>
              <w:t>是</w:t>
            </w:r>
            <w:r w:rsidRPr="003E57B4">
              <w:rPr>
                <w:rFonts w:ascii="宋体" w:hAnsi="宋体" w:hint="eastAsia"/>
                <w:iCs/>
                <w:sz w:val="22"/>
                <w:szCs w:val="22"/>
              </w:rPr>
              <w:t>为了更好地开拓国际业务</w:t>
            </w:r>
            <w:r w:rsidR="006C150B">
              <w:rPr>
                <w:rFonts w:ascii="宋体" w:hAnsi="宋体" w:hint="eastAsia"/>
                <w:iCs/>
                <w:sz w:val="22"/>
                <w:szCs w:val="22"/>
              </w:rPr>
              <w:t>、满足</w:t>
            </w:r>
            <w:r w:rsidRPr="003E57B4">
              <w:rPr>
                <w:rFonts w:ascii="宋体" w:hAnsi="宋体" w:hint="eastAsia"/>
                <w:iCs/>
                <w:sz w:val="22"/>
                <w:szCs w:val="22"/>
              </w:rPr>
              <w:t>海外客户的需求，有利于公司更加灵活地应对宏观环境波动、产业政策调整以及国际贸易格局</w:t>
            </w:r>
            <w:r w:rsidR="00DD773F">
              <w:rPr>
                <w:rFonts w:ascii="宋体" w:hAnsi="宋体" w:hint="eastAsia"/>
                <w:iCs/>
                <w:sz w:val="22"/>
                <w:szCs w:val="22"/>
              </w:rPr>
              <w:t>等</w:t>
            </w:r>
            <w:r w:rsidRPr="003E57B4">
              <w:rPr>
                <w:rFonts w:ascii="宋体" w:hAnsi="宋体" w:hint="eastAsia"/>
                <w:iCs/>
                <w:sz w:val="22"/>
                <w:szCs w:val="22"/>
              </w:rPr>
              <w:t>可能对公司</w:t>
            </w:r>
            <w:r w:rsidR="00DD773F">
              <w:rPr>
                <w:rFonts w:ascii="宋体" w:hAnsi="宋体" w:hint="eastAsia"/>
                <w:iCs/>
                <w:sz w:val="22"/>
                <w:szCs w:val="22"/>
              </w:rPr>
              <w:t>存在</w:t>
            </w:r>
            <w:r w:rsidRPr="003E57B4">
              <w:rPr>
                <w:rFonts w:ascii="宋体" w:hAnsi="宋体" w:hint="eastAsia"/>
                <w:iCs/>
                <w:sz w:val="22"/>
                <w:szCs w:val="22"/>
              </w:rPr>
              <w:t>潜在不利影响</w:t>
            </w:r>
            <w:r w:rsidR="00DD773F">
              <w:rPr>
                <w:rFonts w:ascii="宋体" w:hAnsi="宋体" w:hint="eastAsia"/>
                <w:iCs/>
                <w:sz w:val="22"/>
                <w:szCs w:val="22"/>
              </w:rPr>
              <w:t>的情况</w:t>
            </w:r>
            <w:r w:rsidRPr="003E57B4">
              <w:rPr>
                <w:rFonts w:ascii="宋体" w:hAnsi="宋体" w:hint="eastAsia"/>
                <w:iCs/>
                <w:sz w:val="22"/>
                <w:szCs w:val="22"/>
              </w:rPr>
              <w:t>，并能够有效提升公司规模、行业竞争力和海外市场占有率以及公司整体的抗风险能力。</w:t>
            </w:r>
          </w:p>
          <w:p w14:paraId="42A83A99" w14:textId="6C81EC0D" w:rsidR="00953CD4" w:rsidRDefault="006C150B" w:rsidP="003E57B4">
            <w:pPr>
              <w:spacing w:line="360" w:lineRule="auto"/>
              <w:rPr>
                <w:rFonts w:ascii="宋体" w:hAnsi="宋体"/>
                <w:iCs/>
                <w:sz w:val="22"/>
                <w:szCs w:val="22"/>
              </w:rPr>
            </w:pPr>
            <w:r w:rsidRPr="006C150B">
              <w:rPr>
                <w:rFonts w:ascii="宋体" w:hAnsi="宋体" w:hint="eastAsia"/>
                <w:iCs/>
                <w:sz w:val="22"/>
                <w:szCs w:val="22"/>
              </w:rPr>
              <w:t>泰国工厂</w:t>
            </w:r>
            <w:r w:rsidR="00A97D50">
              <w:rPr>
                <w:rFonts w:ascii="宋体" w:hAnsi="宋体" w:hint="eastAsia"/>
                <w:iCs/>
                <w:sz w:val="22"/>
                <w:szCs w:val="22"/>
              </w:rPr>
              <w:t>经过多年的能力配置</w:t>
            </w:r>
            <w:r w:rsidRPr="006C150B">
              <w:rPr>
                <w:rFonts w:ascii="宋体" w:hAnsi="宋体" w:hint="eastAsia"/>
                <w:iCs/>
                <w:sz w:val="22"/>
                <w:szCs w:val="22"/>
              </w:rPr>
              <w:t>，</w:t>
            </w:r>
            <w:r>
              <w:rPr>
                <w:rFonts w:ascii="宋体" w:hAnsi="宋体" w:hint="eastAsia"/>
                <w:iCs/>
                <w:sz w:val="22"/>
                <w:szCs w:val="22"/>
              </w:rPr>
              <w:t>现已</w:t>
            </w:r>
            <w:r w:rsidRPr="006C150B">
              <w:rPr>
                <w:rFonts w:ascii="宋体" w:hAnsi="宋体" w:hint="eastAsia"/>
                <w:iCs/>
                <w:sz w:val="22"/>
                <w:szCs w:val="22"/>
              </w:rPr>
              <w:t>初具规模，</w:t>
            </w:r>
            <w:r>
              <w:rPr>
                <w:rFonts w:ascii="宋体" w:hAnsi="宋体" w:hint="eastAsia"/>
                <w:iCs/>
                <w:sz w:val="22"/>
                <w:szCs w:val="22"/>
              </w:rPr>
              <w:t>销售额呈现增长态势。</w:t>
            </w:r>
            <w:r w:rsidR="00A97D50" w:rsidRPr="00A97D50">
              <w:rPr>
                <w:rFonts w:ascii="宋体" w:hAnsi="宋体" w:hint="eastAsia"/>
                <w:iCs/>
                <w:sz w:val="22"/>
                <w:szCs w:val="22"/>
              </w:rPr>
              <w:t>我们</w:t>
            </w:r>
            <w:r w:rsidR="00A97D50">
              <w:rPr>
                <w:rFonts w:ascii="宋体" w:hAnsi="宋体" w:hint="eastAsia"/>
                <w:iCs/>
                <w:sz w:val="22"/>
                <w:szCs w:val="22"/>
              </w:rPr>
              <w:t>2</w:t>
            </w:r>
            <w:r w:rsidR="00A97D50">
              <w:rPr>
                <w:rFonts w:ascii="宋体" w:hAnsi="宋体"/>
                <w:iCs/>
                <w:sz w:val="22"/>
                <w:szCs w:val="22"/>
              </w:rPr>
              <w:t>023</w:t>
            </w:r>
            <w:r w:rsidR="00A97D50">
              <w:rPr>
                <w:rFonts w:ascii="宋体" w:hAnsi="宋体" w:hint="eastAsia"/>
                <w:iCs/>
                <w:sz w:val="22"/>
                <w:szCs w:val="22"/>
              </w:rPr>
              <w:t>年</w:t>
            </w:r>
            <w:r w:rsidR="00A97D50" w:rsidRPr="00A97D50">
              <w:rPr>
                <w:rFonts w:ascii="宋体" w:hAnsi="宋体" w:hint="eastAsia"/>
                <w:iCs/>
                <w:sz w:val="22"/>
                <w:szCs w:val="22"/>
              </w:rPr>
              <w:t>在英国也注册成立了公司，</w:t>
            </w:r>
            <w:r w:rsidR="00485B55">
              <w:rPr>
                <w:rFonts w:ascii="宋体" w:hAnsi="宋体" w:hint="eastAsia"/>
                <w:iCs/>
                <w:sz w:val="22"/>
                <w:szCs w:val="22"/>
              </w:rPr>
              <w:t>组建</w:t>
            </w:r>
            <w:r w:rsidR="00A97D50" w:rsidRPr="00A97D50">
              <w:rPr>
                <w:rFonts w:ascii="宋体" w:hAnsi="宋体" w:hint="eastAsia"/>
                <w:iCs/>
                <w:sz w:val="22"/>
                <w:szCs w:val="22"/>
              </w:rPr>
              <w:t>了优秀的人才</w:t>
            </w:r>
            <w:r w:rsidR="00A97D50">
              <w:rPr>
                <w:rFonts w:ascii="宋体" w:hAnsi="宋体" w:hint="eastAsia"/>
                <w:iCs/>
                <w:sz w:val="22"/>
                <w:szCs w:val="22"/>
              </w:rPr>
              <w:t>团队</w:t>
            </w:r>
            <w:r w:rsidR="00A97D50" w:rsidRPr="00A97D50">
              <w:rPr>
                <w:rFonts w:ascii="宋体" w:hAnsi="宋体" w:hint="eastAsia"/>
                <w:iCs/>
                <w:sz w:val="22"/>
                <w:szCs w:val="22"/>
              </w:rPr>
              <w:t>。</w:t>
            </w:r>
            <w:r w:rsidR="00A97D50">
              <w:rPr>
                <w:rFonts w:ascii="宋体" w:hAnsi="宋体" w:hint="eastAsia"/>
                <w:iCs/>
                <w:sz w:val="22"/>
                <w:szCs w:val="22"/>
              </w:rPr>
              <w:t>公司一直</w:t>
            </w:r>
            <w:r w:rsidR="00485B55">
              <w:rPr>
                <w:rFonts w:ascii="宋体" w:hAnsi="宋体" w:hint="eastAsia"/>
                <w:iCs/>
                <w:sz w:val="22"/>
                <w:szCs w:val="22"/>
              </w:rPr>
              <w:t>很重视</w:t>
            </w:r>
            <w:r w:rsidR="00485B55" w:rsidRPr="00485B55">
              <w:rPr>
                <w:rFonts w:ascii="宋体" w:hAnsi="宋体" w:hint="eastAsia"/>
                <w:iCs/>
                <w:sz w:val="22"/>
                <w:szCs w:val="22"/>
              </w:rPr>
              <w:t>茂莱国际化的发展</w:t>
            </w:r>
            <w:r w:rsidR="00EC4556">
              <w:rPr>
                <w:rFonts w:ascii="宋体" w:hAnsi="宋体" w:hint="eastAsia"/>
                <w:iCs/>
                <w:sz w:val="22"/>
                <w:szCs w:val="22"/>
              </w:rPr>
              <w:t>，希望能更好的服务客户，应对现在纷争的国际环境。</w:t>
            </w:r>
          </w:p>
          <w:p w14:paraId="489B07FF" w14:textId="126F9845" w:rsidR="00155F75" w:rsidRDefault="008879C7" w:rsidP="00425BFD">
            <w:pPr>
              <w:spacing w:line="360" w:lineRule="auto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8879C7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Q</w:t>
            </w:r>
            <w:r w:rsidR="00DA5A39">
              <w:rPr>
                <w:rFonts w:ascii="宋体" w:hAnsi="宋体"/>
                <w:b/>
                <w:bCs/>
                <w:iCs/>
                <w:sz w:val="22"/>
                <w:szCs w:val="22"/>
              </w:rPr>
              <w:t>4</w:t>
            </w:r>
            <w:r w:rsidR="006A7D26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、</w:t>
            </w:r>
            <w:r w:rsidR="00155F75" w:rsidRPr="00155F75">
              <w:rPr>
                <w:rFonts w:ascii="宋体" w:hAnsi="宋体"/>
                <w:b/>
                <w:bCs/>
                <w:iCs/>
                <w:sz w:val="22"/>
                <w:szCs w:val="22"/>
              </w:rPr>
              <w:t>公司</w:t>
            </w:r>
            <w:r w:rsidR="003C31E4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在</w:t>
            </w:r>
            <w:r w:rsidR="00155F75" w:rsidRPr="00155F75">
              <w:rPr>
                <w:rFonts w:ascii="宋体" w:hAnsi="宋体"/>
                <w:b/>
                <w:bCs/>
                <w:iCs/>
                <w:sz w:val="22"/>
                <w:szCs w:val="22"/>
              </w:rPr>
              <w:t>AR领域</w:t>
            </w:r>
            <w:r w:rsidR="003C31E4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的</w:t>
            </w:r>
            <w:r w:rsidR="00155F75" w:rsidRPr="00155F75">
              <w:rPr>
                <w:rFonts w:ascii="宋体" w:hAnsi="宋体"/>
                <w:b/>
                <w:bCs/>
                <w:iCs/>
                <w:sz w:val="22"/>
                <w:szCs w:val="22"/>
              </w:rPr>
              <w:t>主要业务内容，</w:t>
            </w:r>
            <w:r w:rsidR="003C31E4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以及</w:t>
            </w:r>
            <w:r w:rsidR="00155F75" w:rsidRPr="00155F75">
              <w:rPr>
                <w:rFonts w:ascii="宋体" w:hAnsi="宋体"/>
                <w:b/>
                <w:bCs/>
                <w:iCs/>
                <w:sz w:val="22"/>
                <w:szCs w:val="22"/>
              </w:rPr>
              <w:t>我们与相关客户的产品进展？是否有预期今年</w:t>
            </w:r>
            <w:r w:rsidR="00BD4A3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有</w:t>
            </w:r>
            <w:r w:rsidR="00155F75" w:rsidRPr="00155F75">
              <w:rPr>
                <w:rFonts w:ascii="宋体" w:hAnsi="宋体"/>
                <w:b/>
                <w:bCs/>
                <w:iCs/>
                <w:sz w:val="22"/>
                <w:szCs w:val="22"/>
              </w:rPr>
              <w:t>比较高的增长？</w:t>
            </w:r>
          </w:p>
          <w:p w14:paraId="7751581F" w14:textId="0D9C841E" w:rsidR="007C1FB9" w:rsidRPr="009C61BC" w:rsidRDefault="00C735C9" w:rsidP="00C735C9">
            <w:pPr>
              <w:spacing w:line="360" w:lineRule="auto"/>
              <w:rPr>
                <w:rFonts w:ascii="宋体" w:hAnsi="宋体"/>
                <w:iCs/>
                <w:sz w:val="22"/>
                <w:szCs w:val="22"/>
              </w:rPr>
            </w:pPr>
            <w:r w:rsidRPr="00C735C9">
              <w:rPr>
                <w:rFonts w:ascii="宋体" w:hAnsi="宋体" w:hint="eastAsia"/>
                <w:iCs/>
                <w:sz w:val="22"/>
                <w:szCs w:val="22"/>
              </w:rPr>
              <w:t>在AR检测应用领域，公司的AR光学测试模组及光学检测设备产品主要用于对AR可穿戴设备产品进行光学性能测试。</w:t>
            </w:r>
            <w:r w:rsidR="00CA1262">
              <w:rPr>
                <w:rFonts w:ascii="宋体" w:hAnsi="宋体" w:hint="eastAsia"/>
                <w:iCs/>
                <w:sz w:val="22"/>
                <w:szCs w:val="22"/>
              </w:rPr>
              <w:t>2</w:t>
            </w:r>
            <w:r w:rsidR="00CA1262">
              <w:rPr>
                <w:rFonts w:ascii="宋体" w:hAnsi="宋体"/>
                <w:iCs/>
                <w:sz w:val="22"/>
                <w:szCs w:val="22"/>
              </w:rPr>
              <w:t>023</w:t>
            </w:r>
            <w:r w:rsidR="0024630C">
              <w:rPr>
                <w:rFonts w:ascii="宋体" w:hAnsi="宋体" w:hint="eastAsia"/>
                <w:iCs/>
                <w:sz w:val="22"/>
                <w:szCs w:val="22"/>
              </w:rPr>
              <w:t>年公司</w:t>
            </w:r>
            <w:r w:rsidR="003C31E4">
              <w:rPr>
                <w:rFonts w:ascii="宋体" w:hAnsi="宋体" w:hint="eastAsia"/>
                <w:iCs/>
                <w:sz w:val="22"/>
                <w:szCs w:val="22"/>
              </w:rPr>
              <w:t>在这方面</w:t>
            </w:r>
            <w:r w:rsidR="003A255C" w:rsidRPr="003A255C">
              <w:rPr>
                <w:rFonts w:ascii="宋体" w:hAnsi="宋体" w:hint="eastAsia"/>
                <w:iCs/>
                <w:sz w:val="22"/>
                <w:szCs w:val="22"/>
              </w:rPr>
              <w:t>从市场和技术</w:t>
            </w:r>
            <w:r w:rsidR="003C31E4">
              <w:rPr>
                <w:rFonts w:ascii="宋体" w:hAnsi="宋体" w:hint="eastAsia"/>
                <w:iCs/>
                <w:sz w:val="22"/>
                <w:szCs w:val="22"/>
              </w:rPr>
              <w:t>的</w:t>
            </w:r>
            <w:r w:rsidR="003A255C" w:rsidRPr="003A255C">
              <w:rPr>
                <w:rFonts w:ascii="宋体" w:hAnsi="宋体" w:hint="eastAsia"/>
                <w:iCs/>
                <w:sz w:val="22"/>
                <w:szCs w:val="22"/>
              </w:rPr>
              <w:t>角度完成了布局，从下一代检测的需求出发进行研发。</w:t>
            </w:r>
            <w:r w:rsidR="0024630C" w:rsidRPr="0024630C">
              <w:rPr>
                <w:rFonts w:ascii="宋体" w:hAnsi="宋体" w:hint="eastAsia"/>
                <w:iCs/>
                <w:sz w:val="22"/>
                <w:szCs w:val="22"/>
              </w:rPr>
              <w:t>公司会不断开发AR光学检测设备等新产品，努力突破产品和下游行业边界。</w:t>
            </w:r>
            <w:r w:rsidR="007B650D" w:rsidRPr="007B650D">
              <w:rPr>
                <w:rFonts w:ascii="宋体" w:hAnsi="宋体" w:hint="eastAsia"/>
                <w:iCs/>
                <w:sz w:val="22"/>
                <w:szCs w:val="22"/>
              </w:rPr>
              <w:t>2023年具体</w:t>
            </w:r>
            <w:r w:rsidR="00117632">
              <w:rPr>
                <w:rFonts w:ascii="宋体" w:hAnsi="宋体" w:hint="eastAsia"/>
                <w:iCs/>
                <w:sz w:val="22"/>
                <w:szCs w:val="22"/>
              </w:rPr>
              <w:t>业绩</w:t>
            </w:r>
            <w:r w:rsidR="007B650D" w:rsidRPr="007B650D">
              <w:rPr>
                <w:rFonts w:ascii="宋体" w:hAnsi="宋体" w:hint="eastAsia"/>
                <w:iCs/>
                <w:sz w:val="22"/>
                <w:szCs w:val="22"/>
              </w:rPr>
              <w:t>情况还请关注公司发布的定期报告或临时报告。</w:t>
            </w:r>
          </w:p>
          <w:p w14:paraId="569ECAFE" w14:textId="0F20AB72" w:rsidR="00CF52F5" w:rsidRPr="00CF52F5" w:rsidRDefault="00CF52F5" w:rsidP="00CF52F5">
            <w:pPr>
              <w:spacing w:beforeLines="50" w:before="156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CF52F5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Q</w:t>
            </w:r>
            <w:r w:rsidR="009C61BC">
              <w:rPr>
                <w:rFonts w:ascii="宋体" w:hAnsi="宋体"/>
                <w:b/>
                <w:bCs/>
                <w:iCs/>
                <w:sz w:val="22"/>
                <w:szCs w:val="22"/>
              </w:rPr>
              <w:t>5</w:t>
            </w:r>
            <w:r w:rsidRPr="00CF52F5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、</w:t>
            </w:r>
            <w:r w:rsidR="009960D0" w:rsidRPr="009960D0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未来三年公司整体的目标和展望。</w:t>
            </w:r>
          </w:p>
          <w:p w14:paraId="6A52AFC2" w14:textId="64F2FE5E" w:rsidR="00DA5A39" w:rsidRPr="00B74B1A" w:rsidRDefault="00C735C9" w:rsidP="00C735C9">
            <w:pPr>
              <w:spacing w:line="360" w:lineRule="auto"/>
              <w:rPr>
                <w:rFonts w:ascii="宋体" w:hAnsi="宋体"/>
                <w:iCs/>
                <w:sz w:val="22"/>
                <w:szCs w:val="22"/>
              </w:rPr>
            </w:pPr>
            <w:r w:rsidRPr="00C735C9">
              <w:rPr>
                <w:rFonts w:ascii="宋体" w:hAnsi="宋体" w:hint="eastAsia"/>
                <w:iCs/>
                <w:sz w:val="22"/>
                <w:szCs w:val="22"/>
              </w:rPr>
              <w:t>公司未来将持续为科技应用领域客户提供高精度、高复杂度、高附加值的核心光学器件及解决方案，赋能</w:t>
            </w:r>
            <w:r w:rsidR="0054580C" w:rsidRPr="00C735C9">
              <w:rPr>
                <w:rFonts w:ascii="宋体" w:hAnsi="宋体" w:hint="eastAsia"/>
                <w:iCs/>
                <w:sz w:val="22"/>
                <w:szCs w:val="22"/>
              </w:rPr>
              <w:t>半导体、</w:t>
            </w:r>
            <w:r w:rsidRPr="00C735C9">
              <w:rPr>
                <w:rFonts w:ascii="宋体" w:hAnsi="宋体" w:hint="eastAsia"/>
                <w:iCs/>
                <w:sz w:val="22"/>
                <w:szCs w:val="22"/>
              </w:rPr>
              <w:t>生命科学、AR检测领域的升级换代，提升公司业务规模和市场占有率，进一步提升公司的核心竞争力和在精密光学行业的影响力，实现成为高端光学科技创新应用企业的愿景。</w:t>
            </w:r>
          </w:p>
        </w:tc>
      </w:tr>
      <w:tr w:rsidR="003D18BD" w14:paraId="6796F6AB" w14:textId="77777777" w:rsidTr="00B3006F">
        <w:trPr>
          <w:trHeight w:val="639"/>
        </w:trPr>
        <w:tc>
          <w:tcPr>
            <w:tcW w:w="1931" w:type="dxa"/>
            <w:shd w:val="clear" w:color="auto" w:fill="auto"/>
            <w:vAlign w:val="center"/>
          </w:tcPr>
          <w:p w14:paraId="4DA1A83F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4DC05C04" w14:textId="77777777" w:rsidR="003D18BD" w:rsidRDefault="00863CF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FA5BEC">
              <w:rPr>
                <w:rFonts w:ascii="宋体" w:hAnsi="宋体" w:hint="eastAsia"/>
                <w:bCs/>
                <w:iCs/>
                <w:sz w:val="22"/>
                <w:szCs w:val="22"/>
              </w:rPr>
              <w:t>无</w:t>
            </w:r>
          </w:p>
        </w:tc>
      </w:tr>
      <w:tr w:rsidR="003D18BD" w14:paraId="4E64EF54" w14:textId="77777777">
        <w:trPr>
          <w:trHeight w:val="728"/>
        </w:trPr>
        <w:tc>
          <w:tcPr>
            <w:tcW w:w="1931" w:type="dxa"/>
            <w:shd w:val="clear" w:color="auto" w:fill="auto"/>
            <w:vAlign w:val="center"/>
          </w:tcPr>
          <w:p w14:paraId="2581E992" w14:textId="77777777" w:rsidR="003D18BD" w:rsidRDefault="00000000"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693" w:type="dxa"/>
            <w:shd w:val="clear" w:color="auto" w:fill="auto"/>
          </w:tcPr>
          <w:p w14:paraId="03EA4BA7" w14:textId="49F5BC24" w:rsidR="003D18BD" w:rsidRDefault="00E53C4D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850143">
              <w:rPr>
                <w:rFonts w:ascii="宋体" w:hAnsi="宋体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850143">
              <w:rPr>
                <w:rFonts w:ascii="宋体" w:hAnsi="宋体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850143"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 w:rsidR="00DA5A39">
              <w:rPr>
                <w:rFonts w:ascii="宋体" w:hAnsi="宋体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13E430F" w14:textId="77777777" w:rsidR="003D18BD" w:rsidRDefault="003D18BD">
      <w:pPr>
        <w:ind w:firstLineChars="200" w:firstLine="480"/>
        <w:rPr>
          <w:sz w:val="24"/>
          <w:szCs w:val="24"/>
        </w:rPr>
      </w:pPr>
    </w:p>
    <w:p w14:paraId="1C9F4C40" w14:textId="77777777" w:rsidR="003D18BD" w:rsidRDefault="003D18BD"/>
    <w:sectPr w:rsidR="003D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744D" w14:textId="77777777" w:rsidR="000C320D" w:rsidRDefault="000C320D" w:rsidP="00294B95">
      <w:r>
        <w:separator/>
      </w:r>
    </w:p>
  </w:endnote>
  <w:endnote w:type="continuationSeparator" w:id="0">
    <w:p w14:paraId="453A70F5" w14:textId="77777777" w:rsidR="000C320D" w:rsidRDefault="000C320D" w:rsidP="0029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BF01" w14:textId="77777777" w:rsidR="000C320D" w:rsidRDefault="000C320D" w:rsidP="00294B95">
      <w:r>
        <w:separator/>
      </w:r>
    </w:p>
  </w:footnote>
  <w:footnote w:type="continuationSeparator" w:id="0">
    <w:p w14:paraId="5065E151" w14:textId="77777777" w:rsidR="000C320D" w:rsidRDefault="000C320D" w:rsidP="0029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739"/>
    <w:multiLevelType w:val="hybridMultilevel"/>
    <w:tmpl w:val="D21E406A"/>
    <w:lvl w:ilvl="0" w:tplc="A53808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99F1483"/>
    <w:multiLevelType w:val="hybridMultilevel"/>
    <w:tmpl w:val="DA9C4D3E"/>
    <w:lvl w:ilvl="0" w:tplc="C5E0D84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D76138B"/>
    <w:multiLevelType w:val="hybridMultilevel"/>
    <w:tmpl w:val="F6640EFA"/>
    <w:lvl w:ilvl="0" w:tplc="69C04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DBC0492"/>
    <w:multiLevelType w:val="hybridMultilevel"/>
    <w:tmpl w:val="23C45E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76C3CF0"/>
    <w:multiLevelType w:val="hybridMultilevel"/>
    <w:tmpl w:val="67220C8E"/>
    <w:lvl w:ilvl="0" w:tplc="75B87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F096258"/>
    <w:multiLevelType w:val="hybridMultilevel"/>
    <w:tmpl w:val="8200B1F0"/>
    <w:lvl w:ilvl="0" w:tplc="C5E0D84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11422B8"/>
    <w:multiLevelType w:val="hybridMultilevel"/>
    <w:tmpl w:val="5A3635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7A27841"/>
    <w:multiLevelType w:val="hybridMultilevel"/>
    <w:tmpl w:val="BB342D8A"/>
    <w:lvl w:ilvl="0" w:tplc="6400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2766897"/>
    <w:multiLevelType w:val="hybridMultilevel"/>
    <w:tmpl w:val="847E6A9E"/>
    <w:lvl w:ilvl="0" w:tplc="64FEC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92C56EA"/>
    <w:multiLevelType w:val="hybridMultilevel"/>
    <w:tmpl w:val="3E3854C0"/>
    <w:lvl w:ilvl="0" w:tplc="C5E0D84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FB475C0"/>
    <w:multiLevelType w:val="hybridMultilevel"/>
    <w:tmpl w:val="2E106536"/>
    <w:lvl w:ilvl="0" w:tplc="21C4B7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96150705">
    <w:abstractNumId w:val="4"/>
  </w:num>
  <w:num w:numId="2" w16cid:durableId="1025709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831232">
    <w:abstractNumId w:val="0"/>
  </w:num>
  <w:num w:numId="4" w16cid:durableId="1222207866">
    <w:abstractNumId w:val="3"/>
  </w:num>
  <w:num w:numId="5" w16cid:durableId="1831750549">
    <w:abstractNumId w:val="1"/>
  </w:num>
  <w:num w:numId="6" w16cid:durableId="2083867212">
    <w:abstractNumId w:val="9"/>
  </w:num>
  <w:num w:numId="7" w16cid:durableId="1326663462">
    <w:abstractNumId w:val="5"/>
  </w:num>
  <w:num w:numId="8" w16cid:durableId="1924291601">
    <w:abstractNumId w:val="6"/>
  </w:num>
  <w:num w:numId="9" w16cid:durableId="320891874">
    <w:abstractNumId w:val="10"/>
  </w:num>
  <w:num w:numId="10" w16cid:durableId="783159220">
    <w:abstractNumId w:val="7"/>
  </w:num>
  <w:num w:numId="11" w16cid:durableId="188372688">
    <w:abstractNumId w:val="8"/>
  </w:num>
  <w:num w:numId="12" w16cid:durableId="78715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1M2ExNjYzYjE0MTZjZTQyOTY2MTI4MTIwOGMyOWYifQ=="/>
  </w:docVars>
  <w:rsids>
    <w:rsidRoot w:val="006B0E6C"/>
    <w:rsid w:val="0000465B"/>
    <w:rsid w:val="00006650"/>
    <w:rsid w:val="000069FD"/>
    <w:rsid w:val="00022080"/>
    <w:rsid w:val="00022834"/>
    <w:rsid w:val="000241EB"/>
    <w:rsid w:val="00040840"/>
    <w:rsid w:val="00046085"/>
    <w:rsid w:val="00051171"/>
    <w:rsid w:val="00062940"/>
    <w:rsid w:val="000637BC"/>
    <w:rsid w:val="00065DF1"/>
    <w:rsid w:val="000703EF"/>
    <w:rsid w:val="000820C5"/>
    <w:rsid w:val="00082326"/>
    <w:rsid w:val="00084E35"/>
    <w:rsid w:val="000868E2"/>
    <w:rsid w:val="000A17B6"/>
    <w:rsid w:val="000A2365"/>
    <w:rsid w:val="000A655B"/>
    <w:rsid w:val="000A71FA"/>
    <w:rsid w:val="000C01E6"/>
    <w:rsid w:val="000C3206"/>
    <w:rsid w:val="000C320D"/>
    <w:rsid w:val="000D1323"/>
    <w:rsid w:val="000D6E24"/>
    <w:rsid w:val="000E599E"/>
    <w:rsid w:val="000F4DA0"/>
    <w:rsid w:val="000F7B36"/>
    <w:rsid w:val="0010132D"/>
    <w:rsid w:val="001027DB"/>
    <w:rsid w:val="00102CBA"/>
    <w:rsid w:val="00102FF1"/>
    <w:rsid w:val="00103FAB"/>
    <w:rsid w:val="00105E2C"/>
    <w:rsid w:val="0011266E"/>
    <w:rsid w:val="00113ED5"/>
    <w:rsid w:val="0011515E"/>
    <w:rsid w:val="001162ED"/>
    <w:rsid w:val="00117632"/>
    <w:rsid w:val="00120758"/>
    <w:rsid w:val="0012208F"/>
    <w:rsid w:val="00124691"/>
    <w:rsid w:val="00125D26"/>
    <w:rsid w:val="00130B77"/>
    <w:rsid w:val="00136FC4"/>
    <w:rsid w:val="00146F49"/>
    <w:rsid w:val="00154974"/>
    <w:rsid w:val="00155F75"/>
    <w:rsid w:val="00156F74"/>
    <w:rsid w:val="00173293"/>
    <w:rsid w:val="00186476"/>
    <w:rsid w:val="001A64D5"/>
    <w:rsid w:val="001A6A98"/>
    <w:rsid w:val="001B383C"/>
    <w:rsid w:val="001C38A3"/>
    <w:rsid w:val="001C617E"/>
    <w:rsid w:val="001D473C"/>
    <w:rsid w:val="001D4ADB"/>
    <w:rsid w:val="001D61EB"/>
    <w:rsid w:val="001E304B"/>
    <w:rsid w:val="001E7875"/>
    <w:rsid w:val="001F4D55"/>
    <w:rsid w:val="001F6F42"/>
    <w:rsid w:val="001F7BDE"/>
    <w:rsid w:val="00202CA8"/>
    <w:rsid w:val="002048B1"/>
    <w:rsid w:val="00212F92"/>
    <w:rsid w:val="00215179"/>
    <w:rsid w:val="00215F0E"/>
    <w:rsid w:val="00217D98"/>
    <w:rsid w:val="00223E16"/>
    <w:rsid w:val="002374A6"/>
    <w:rsid w:val="002378BD"/>
    <w:rsid w:val="0024630C"/>
    <w:rsid w:val="0024651A"/>
    <w:rsid w:val="00256D06"/>
    <w:rsid w:val="00256D84"/>
    <w:rsid w:val="0026231E"/>
    <w:rsid w:val="00273363"/>
    <w:rsid w:val="00275650"/>
    <w:rsid w:val="002768DB"/>
    <w:rsid w:val="0027741E"/>
    <w:rsid w:val="002873CB"/>
    <w:rsid w:val="00294B95"/>
    <w:rsid w:val="002A05E4"/>
    <w:rsid w:val="002B3292"/>
    <w:rsid w:val="002B6735"/>
    <w:rsid w:val="002B773A"/>
    <w:rsid w:val="002C2C3E"/>
    <w:rsid w:val="002D239B"/>
    <w:rsid w:val="002D2930"/>
    <w:rsid w:val="002D4200"/>
    <w:rsid w:val="002E5CC0"/>
    <w:rsid w:val="003023AE"/>
    <w:rsid w:val="00304131"/>
    <w:rsid w:val="0031000F"/>
    <w:rsid w:val="00310629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76D39"/>
    <w:rsid w:val="00382373"/>
    <w:rsid w:val="00384288"/>
    <w:rsid w:val="00390433"/>
    <w:rsid w:val="003956A8"/>
    <w:rsid w:val="003A255C"/>
    <w:rsid w:val="003A386E"/>
    <w:rsid w:val="003A3EDD"/>
    <w:rsid w:val="003B5B7D"/>
    <w:rsid w:val="003C31E4"/>
    <w:rsid w:val="003C3A2A"/>
    <w:rsid w:val="003C3B4C"/>
    <w:rsid w:val="003C3FAB"/>
    <w:rsid w:val="003C6BBF"/>
    <w:rsid w:val="003D18BD"/>
    <w:rsid w:val="003D2954"/>
    <w:rsid w:val="003D2CCE"/>
    <w:rsid w:val="003D474E"/>
    <w:rsid w:val="003E57B4"/>
    <w:rsid w:val="003E6CB4"/>
    <w:rsid w:val="003E768F"/>
    <w:rsid w:val="003E7846"/>
    <w:rsid w:val="003F3384"/>
    <w:rsid w:val="003F3D8E"/>
    <w:rsid w:val="003F7C7C"/>
    <w:rsid w:val="00402F61"/>
    <w:rsid w:val="00403913"/>
    <w:rsid w:val="00413380"/>
    <w:rsid w:val="00421B72"/>
    <w:rsid w:val="00422728"/>
    <w:rsid w:val="0042392C"/>
    <w:rsid w:val="00425BFD"/>
    <w:rsid w:val="00447FB5"/>
    <w:rsid w:val="0045543D"/>
    <w:rsid w:val="00462749"/>
    <w:rsid w:val="00474F20"/>
    <w:rsid w:val="00475389"/>
    <w:rsid w:val="004758F8"/>
    <w:rsid w:val="00483D65"/>
    <w:rsid w:val="00485B55"/>
    <w:rsid w:val="004864C9"/>
    <w:rsid w:val="00486E15"/>
    <w:rsid w:val="00494F6D"/>
    <w:rsid w:val="004A3CA3"/>
    <w:rsid w:val="004A6E25"/>
    <w:rsid w:val="004B7455"/>
    <w:rsid w:val="004C118B"/>
    <w:rsid w:val="004C1B58"/>
    <w:rsid w:val="004D61F5"/>
    <w:rsid w:val="004E77BC"/>
    <w:rsid w:val="004F194D"/>
    <w:rsid w:val="004F22D2"/>
    <w:rsid w:val="0051672D"/>
    <w:rsid w:val="00524E07"/>
    <w:rsid w:val="0052651B"/>
    <w:rsid w:val="00527304"/>
    <w:rsid w:val="005343E0"/>
    <w:rsid w:val="0053441D"/>
    <w:rsid w:val="00534A31"/>
    <w:rsid w:val="005368A5"/>
    <w:rsid w:val="00540AA9"/>
    <w:rsid w:val="0054580C"/>
    <w:rsid w:val="00546213"/>
    <w:rsid w:val="00546F0A"/>
    <w:rsid w:val="005502EC"/>
    <w:rsid w:val="005514B6"/>
    <w:rsid w:val="00575C21"/>
    <w:rsid w:val="005838E6"/>
    <w:rsid w:val="00585282"/>
    <w:rsid w:val="00592C28"/>
    <w:rsid w:val="0059403A"/>
    <w:rsid w:val="00595F3E"/>
    <w:rsid w:val="005A301B"/>
    <w:rsid w:val="005C1732"/>
    <w:rsid w:val="005E12F6"/>
    <w:rsid w:val="005E2975"/>
    <w:rsid w:val="005E5EA7"/>
    <w:rsid w:val="005E6885"/>
    <w:rsid w:val="005F4721"/>
    <w:rsid w:val="005F7F27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50352"/>
    <w:rsid w:val="0066542C"/>
    <w:rsid w:val="006659D1"/>
    <w:rsid w:val="00685321"/>
    <w:rsid w:val="006915D2"/>
    <w:rsid w:val="00695DF3"/>
    <w:rsid w:val="006A7D26"/>
    <w:rsid w:val="006B0E6C"/>
    <w:rsid w:val="006B105E"/>
    <w:rsid w:val="006B2047"/>
    <w:rsid w:val="006C150B"/>
    <w:rsid w:val="006C48C5"/>
    <w:rsid w:val="006D1F79"/>
    <w:rsid w:val="006F244F"/>
    <w:rsid w:val="006F5510"/>
    <w:rsid w:val="006F795D"/>
    <w:rsid w:val="006F7F9F"/>
    <w:rsid w:val="00707F05"/>
    <w:rsid w:val="0071012C"/>
    <w:rsid w:val="007113AE"/>
    <w:rsid w:val="00711CB0"/>
    <w:rsid w:val="0071503B"/>
    <w:rsid w:val="00740AED"/>
    <w:rsid w:val="00740B67"/>
    <w:rsid w:val="00743F72"/>
    <w:rsid w:val="00746DA6"/>
    <w:rsid w:val="007471E0"/>
    <w:rsid w:val="00751D6A"/>
    <w:rsid w:val="00763817"/>
    <w:rsid w:val="0078069C"/>
    <w:rsid w:val="00782973"/>
    <w:rsid w:val="00783638"/>
    <w:rsid w:val="00784ABB"/>
    <w:rsid w:val="00791073"/>
    <w:rsid w:val="007A3547"/>
    <w:rsid w:val="007B0FDD"/>
    <w:rsid w:val="007B5D9B"/>
    <w:rsid w:val="007B5E9E"/>
    <w:rsid w:val="007B650D"/>
    <w:rsid w:val="007B76FF"/>
    <w:rsid w:val="007C1101"/>
    <w:rsid w:val="007C1FB9"/>
    <w:rsid w:val="007C28B7"/>
    <w:rsid w:val="007C3437"/>
    <w:rsid w:val="007D477F"/>
    <w:rsid w:val="007D5AC8"/>
    <w:rsid w:val="007E1328"/>
    <w:rsid w:val="007E2D93"/>
    <w:rsid w:val="007E3D2D"/>
    <w:rsid w:val="007E7F8A"/>
    <w:rsid w:val="007F108C"/>
    <w:rsid w:val="007F7E52"/>
    <w:rsid w:val="00805400"/>
    <w:rsid w:val="00810712"/>
    <w:rsid w:val="00811720"/>
    <w:rsid w:val="008148A0"/>
    <w:rsid w:val="00826CF0"/>
    <w:rsid w:val="008365B4"/>
    <w:rsid w:val="008444AD"/>
    <w:rsid w:val="00844C88"/>
    <w:rsid w:val="008456A3"/>
    <w:rsid w:val="00847781"/>
    <w:rsid w:val="00850143"/>
    <w:rsid w:val="00857229"/>
    <w:rsid w:val="00863CF5"/>
    <w:rsid w:val="00866BE9"/>
    <w:rsid w:val="00876CBF"/>
    <w:rsid w:val="008879C7"/>
    <w:rsid w:val="008920C5"/>
    <w:rsid w:val="00892392"/>
    <w:rsid w:val="00893528"/>
    <w:rsid w:val="008A6E1A"/>
    <w:rsid w:val="008B4B22"/>
    <w:rsid w:val="008B7481"/>
    <w:rsid w:val="008C472F"/>
    <w:rsid w:val="008D1E74"/>
    <w:rsid w:val="008D61EA"/>
    <w:rsid w:val="008E048D"/>
    <w:rsid w:val="008E1AEE"/>
    <w:rsid w:val="008E557D"/>
    <w:rsid w:val="008E5CFF"/>
    <w:rsid w:val="008E5EA0"/>
    <w:rsid w:val="008E7BE0"/>
    <w:rsid w:val="008F38C5"/>
    <w:rsid w:val="008F4216"/>
    <w:rsid w:val="008F56AC"/>
    <w:rsid w:val="009032A1"/>
    <w:rsid w:val="00915C7D"/>
    <w:rsid w:val="00920CCA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6170A"/>
    <w:rsid w:val="00966B1B"/>
    <w:rsid w:val="0097324D"/>
    <w:rsid w:val="0097601F"/>
    <w:rsid w:val="00980025"/>
    <w:rsid w:val="009824C7"/>
    <w:rsid w:val="00991C91"/>
    <w:rsid w:val="00996016"/>
    <w:rsid w:val="009960D0"/>
    <w:rsid w:val="00997AE4"/>
    <w:rsid w:val="009A4241"/>
    <w:rsid w:val="009C08BB"/>
    <w:rsid w:val="009C2E2C"/>
    <w:rsid w:val="009C61BC"/>
    <w:rsid w:val="009D1527"/>
    <w:rsid w:val="009D3215"/>
    <w:rsid w:val="009D5E04"/>
    <w:rsid w:val="009E37F0"/>
    <w:rsid w:val="009E49F7"/>
    <w:rsid w:val="009F34E9"/>
    <w:rsid w:val="009F77EB"/>
    <w:rsid w:val="00A137AF"/>
    <w:rsid w:val="00A14F02"/>
    <w:rsid w:val="00A15B54"/>
    <w:rsid w:val="00A258AE"/>
    <w:rsid w:val="00A275BF"/>
    <w:rsid w:val="00A33F5B"/>
    <w:rsid w:val="00A4090D"/>
    <w:rsid w:val="00A41741"/>
    <w:rsid w:val="00A574DB"/>
    <w:rsid w:val="00A600E9"/>
    <w:rsid w:val="00A66245"/>
    <w:rsid w:val="00A71519"/>
    <w:rsid w:val="00A72CB0"/>
    <w:rsid w:val="00A77271"/>
    <w:rsid w:val="00A81BFA"/>
    <w:rsid w:val="00A81C61"/>
    <w:rsid w:val="00A83D47"/>
    <w:rsid w:val="00A84CDD"/>
    <w:rsid w:val="00A86C4C"/>
    <w:rsid w:val="00A97D50"/>
    <w:rsid w:val="00AC6F2B"/>
    <w:rsid w:val="00AE44C7"/>
    <w:rsid w:val="00AF4D6B"/>
    <w:rsid w:val="00AF7564"/>
    <w:rsid w:val="00AF7FB9"/>
    <w:rsid w:val="00B021D5"/>
    <w:rsid w:val="00B042A5"/>
    <w:rsid w:val="00B113A9"/>
    <w:rsid w:val="00B3006F"/>
    <w:rsid w:val="00B36091"/>
    <w:rsid w:val="00B43F6C"/>
    <w:rsid w:val="00B50D22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8136E"/>
    <w:rsid w:val="00B84A4C"/>
    <w:rsid w:val="00B85D05"/>
    <w:rsid w:val="00B92ADF"/>
    <w:rsid w:val="00B94EBC"/>
    <w:rsid w:val="00B95540"/>
    <w:rsid w:val="00BB205B"/>
    <w:rsid w:val="00BB2AE1"/>
    <w:rsid w:val="00BB654F"/>
    <w:rsid w:val="00BC58E7"/>
    <w:rsid w:val="00BD4A39"/>
    <w:rsid w:val="00BD5691"/>
    <w:rsid w:val="00BD56D8"/>
    <w:rsid w:val="00BD591A"/>
    <w:rsid w:val="00BE31A6"/>
    <w:rsid w:val="00BF1AC2"/>
    <w:rsid w:val="00BF250D"/>
    <w:rsid w:val="00BF4E2A"/>
    <w:rsid w:val="00C05221"/>
    <w:rsid w:val="00C30EA1"/>
    <w:rsid w:val="00C35B06"/>
    <w:rsid w:val="00C41808"/>
    <w:rsid w:val="00C42A9B"/>
    <w:rsid w:val="00C51435"/>
    <w:rsid w:val="00C63538"/>
    <w:rsid w:val="00C735C9"/>
    <w:rsid w:val="00C82EA9"/>
    <w:rsid w:val="00C90ACD"/>
    <w:rsid w:val="00CA1262"/>
    <w:rsid w:val="00CB2CA7"/>
    <w:rsid w:val="00CB30EF"/>
    <w:rsid w:val="00CC3EE0"/>
    <w:rsid w:val="00CD368E"/>
    <w:rsid w:val="00CD3968"/>
    <w:rsid w:val="00CE0B65"/>
    <w:rsid w:val="00CE0E93"/>
    <w:rsid w:val="00CE4719"/>
    <w:rsid w:val="00CE5F90"/>
    <w:rsid w:val="00CF1AC4"/>
    <w:rsid w:val="00CF32B4"/>
    <w:rsid w:val="00CF52F5"/>
    <w:rsid w:val="00D031B9"/>
    <w:rsid w:val="00D069E7"/>
    <w:rsid w:val="00D13005"/>
    <w:rsid w:val="00D1686D"/>
    <w:rsid w:val="00D2030F"/>
    <w:rsid w:val="00D23211"/>
    <w:rsid w:val="00D423F2"/>
    <w:rsid w:val="00D46233"/>
    <w:rsid w:val="00D667AF"/>
    <w:rsid w:val="00D8061F"/>
    <w:rsid w:val="00D8734C"/>
    <w:rsid w:val="00D905EF"/>
    <w:rsid w:val="00DA3AA2"/>
    <w:rsid w:val="00DA5A39"/>
    <w:rsid w:val="00DA72F8"/>
    <w:rsid w:val="00DB19F5"/>
    <w:rsid w:val="00DB492A"/>
    <w:rsid w:val="00DB7BDD"/>
    <w:rsid w:val="00DC5C99"/>
    <w:rsid w:val="00DC73C9"/>
    <w:rsid w:val="00DD773F"/>
    <w:rsid w:val="00DE3EC5"/>
    <w:rsid w:val="00DE6993"/>
    <w:rsid w:val="00DF2AD1"/>
    <w:rsid w:val="00E00CDD"/>
    <w:rsid w:val="00E03F41"/>
    <w:rsid w:val="00E04341"/>
    <w:rsid w:val="00E1347C"/>
    <w:rsid w:val="00E24878"/>
    <w:rsid w:val="00E264D8"/>
    <w:rsid w:val="00E372FD"/>
    <w:rsid w:val="00E3736F"/>
    <w:rsid w:val="00E53C4D"/>
    <w:rsid w:val="00E60C15"/>
    <w:rsid w:val="00E633CE"/>
    <w:rsid w:val="00E637CA"/>
    <w:rsid w:val="00E63F16"/>
    <w:rsid w:val="00E66DEA"/>
    <w:rsid w:val="00E77954"/>
    <w:rsid w:val="00E919FC"/>
    <w:rsid w:val="00EA028D"/>
    <w:rsid w:val="00EA097A"/>
    <w:rsid w:val="00EA1A61"/>
    <w:rsid w:val="00EA3125"/>
    <w:rsid w:val="00EC2946"/>
    <w:rsid w:val="00EC4556"/>
    <w:rsid w:val="00ED00FC"/>
    <w:rsid w:val="00ED08A7"/>
    <w:rsid w:val="00ED328A"/>
    <w:rsid w:val="00ED4750"/>
    <w:rsid w:val="00ED718C"/>
    <w:rsid w:val="00EE0D54"/>
    <w:rsid w:val="00EE4C24"/>
    <w:rsid w:val="00EF0C7D"/>
    <w:rsid w:val="00F034D0"/>
    <w:rsid w:val="00F10443"/>
    <w:rsid w:val="00F12216"/>
    <w:rsid w:val="00F15404"/>
    <w:rsid w:val="00F22016"/>
    <w:rsid w:val="00F27E31"/>
    <w:rsid w:val="00F3180A"/>
    <w:rsid w:val="00F35217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5F90"/>
    <w:rsid w:val="00FB687B"/>
    <w:rsid w:val="00FC01BD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AFE1AB2"/>
    <w:rsid w:val="2C7E555C"/>
    <w:rsid w:val="702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E271"/>
  <w15:docId w15:val="{C3C0663C-F285-4521-AF38-BD7418EC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63F16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E043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张园园</dc:creator>
  <cp:lastModifiedBy>investors</cp:lastModifiedBy>
  <cp:revision>267</cp:revision>
  <dcterms:created xsi:type="dcterms:W3CDTF">2023-09-01T07:58:00Z</dcterms:created>
  <dcterms:modified xsi:type="dcterms:W3CDTF">2024-01-23T09:30:00Z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8ECDA022CAA841048473D2EBD0508557</vt:lpwstr>
  </property>
</Properties>
</file>