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4A39" w14:textId="77777777" w:rsidR="00466F7C" w:rsidRDefault="00000000">
      <w:pPr>
        <w:spacing w:line="360" w:lineRule="auto"/>
        <w:ind w:firstLineChars="0" w:firstLine="0"/>
        <w:rPr>
          <w:rFonts w:eastAsia="宋体"/>
          <w:szCs w:val="32"/>
        </w:rPr>
      </w:pPr>
      <w:r>
        <w:rPr>
          <w:rFonts w:eastAsia="宋体"/>
          <w:b/>
          <w:bCs/>
          <w:szCs w:val="32"/>
        </w:rPr>
        <w:t>证券代码：</w:t>
      </w:r>
      <w:r>
        <w:rPr>
          <w:rFonts w:eastAsia="宋体"/>
          <w:szCs w:val="32"/>
        </w:rPr>
        <w:t xml:space="preserve">688156                  </w:t>
      </w:r>
      <w:r>
        <w:rPr>
          <w:rFonts w:eastAsia="宋体"/>
          <w:b/>
          <w:bCs/>
          <w:szCs w:val="32"/>
        </w:rPr>
        <w:t>证券简称：</w:t>
      </w:r>
      <w:r>
        <w:rPr>
          <w:rFonts w:eastAsia="宋体"/>
          <w:szCs w:val="32"/>
        </w:rPr>
        <w:t>路德环境</w:t>
      </w:r>
    </w:p>
    <w:p w14:paraId="495E5E5F" w14:textId="77777777" w:rsidR="00466F7C" w:rsidRDefault="00466F7C">
      <w:pPr>
        <w:spacing w:line="360" w:lineRule="auto"/>
        <w:ind w:firstLineChars="0" w:firstLine="0"/>
        <w:rPr>
          <w:rFonts w:eastAsia="宋体"/>
          <w:szCs w:val="32"/>
        </w:rPr>
      </w:pPr>
    </w:p>
    <w:p w14:paraId="44575168" w14:textId="77777777" w:rsidR="00466F7C" w:rsidRDefault="00000000">
      <w:pPr>
        <w:spacing w:line="360" w:lineRule="auto"/>
        <w:ind w:firstLineChars="0" w:firstLine="0"/>
        <w:jc w:val="center"/>
        <w:rPr>
          <w:rFonts w:eastAsia="宋体"/>
          <w:b/>
          <w:iCs/>
          <w:color w:val="000000"/>
          <w:sz w:val="44"/>
          <w:szCs w:val="44"/>
        </w:rPr>
      </w:pPr>
      <w:r>
        <w:rPr>
          <w:rFonts w:eastAsia="宋体"/>
          <w:b/>
          <w:iCs/>
          <w:color w:val="000000"/>
          <w:sz w:val="44"/>
          <w:szCs w:val="44"/>
        </w:rPr>
        <w:t>路德环境科技股份有限公司</w:t>
      </w:r>
    </w:p>
    <w:p w14:paraId="64DAD606" w14:textId="77777777" w:rsidR="00466F7C" w:rsidRDefault="00000000">
      <w:pPr>
        <w:spacing w:line="360" w:lineRule="auto"/>
        <w:ind w:firstLineChars="0" w:firstLine="0"/>
        <w:jc w:val="center"/>
        <w:rPr>
          <w:rFonts w:eastAsia="宋体"/>
          <w:b/>
          <w:iCs/>
          <w:color w:val="000000"/>
          <w:sz w:val="44"/>
          <w:szCs w:val="44"/>
        </w:rPr>
      </w:pPr>
      <w:r>
        <w:rPr>
          <w:rFonts w:eastAsia="宋体"/>
          <w:b/>
          <w:iCs/>
          <w:color w:val="000000"/>
          <w:sz w:val="44"/>
          <w:szCs w:val="44"/>
        </w:rPr>
        <w:t>投资者关系活动记录表</w:t>
      </w:r>
    </w:p>
    <w:p w14:paraId="3A519CD1" w14:textId="77777777" w:rsidR="00466F7C" w:rsidRDefault="00466F7C">
      <w:pPr>
        <w:spacing w:line="360" w:lineRule="auto"/>
        <w:ind w:firstLineChars="0" w:firstLine="0"/>
        <w:jc w:val="center"/>
        <w:rPr>
          <w:rFonts w:eastAsia="宋体"/>
          <w:b/>
          <w:iCs/>
          <w:color w:val="000000"/>
          <w:sz w:val="24"/>
          <w:szCs w:val="24"/>
        </w:rPr>
      </w:pPr>
    </w:p>
    <w:p w14:paraId="67F9C255" w14:textId="77777777" w:rsidR="00466F7C" w:rsidRDefault="00000000">
      <w:pPr>
        <w:spacing w:line="360" w:lineRule="auto"/>
        <w:ind w:firstLineChars="0" w:firstLine="0"/>
        <w:rPr>
          <w:rFonts w:eastAsia="宋体"/>
          <w:bCs/>
          <w:iCs/>
          <w:color w:val="000000"/>
          <w:sz w:val="24"/>
          <w:szCs w:val="24"/>
        </w:rPr>
      </w:pPr>
      <w:r>
        <w:rPr>
          <w:rFonts w:eastAsia="宋体"/>
          <w:bCs/>
          <w:iCs/>
          <w:color w:val="000000"/>
          <w:sz w:val="24"/>
          <w:szCs w:val="24"/>
        </w:rPr>
        <w:t xml:space="preserve">                                          </w:t>
      </w:r>
      <w:r>
        <w:rPr>
          <w:rFonts w:eastAsia="宋体" w:hint="eastAsia"/>
          <w:bCs/>
          <w:iCs/>
          <w:color w:val="000000"/>
          <w:sz w:val="24"/>
          <w:szCs w:val="24"/>
        </w:rPr>
        <w:t xml:space="preserve">   </w:t>
      </w:r>
      <w:r>
        <w:rPr>
          <w:rFonts w:eastAsia="宋体"/>
          <w:bCs/>
          <w:iCs/>
          <w:color w:val="000000"/>
          <w:sz w:val="24"/>
          <w:szCs w:val="24"/>
        </w:rPr>
        <w:t>编号：</w:t>
      </w:r>
      <w:r>
        <w:rPr>
          <w:rFonts w:eastAsia="宋体"/>
          <w:bCs/>
          <w:iCs/>
          <w:color w:val="000000"/>
          <w:sz w:val="24"/>
          <w:szCs w:val="24"/>
        </w:rPr>
        <w:t>LDHJ 202</w:t>
      </w:r>
      <w:r>
        <w:rPr>
          <w:rFonts w:eastAsia="宋体" w:hint="eastAsia"/>
          <w:bCs/>
          <w:iCs/>
          <w:color w:val="000000"/>
          <w:sz w:val="24"/>
          <w:szCs w:val="24"/>
        </w:rPr>
        <w:t>4-001</w:t>
      </w:r>
      <w:r>
        <w:rPr>
          <w:rFonts w:eastAsia="宋体" w:hint="eastAsia"/>
          <w:bCs/>
          <w:iCs/>
          <w:color w:val="000000"/>
          <w:sz w:val="24"/>
          <w:szCs w:val="24"/>
        </w:rPr>
        <w:t>至</w:t>
      </w:r>
      <w:r>
        <w:rPr>
          <w:rFonts w:eastAsia="宋体" w:hint="eastAsia"/>
          <w:bCs/>
          <w:iCs/>
          <w:color w:val="000000"/>
          <w:sz w:val="24"/>
          <w:szCs w:val="24"/>
        </w:rPr>
        <w:t>004</w:t>
      </w:r>
      <w:r>
        <w:rPr>
          <w:rFonts w:eastAsia="宋体"/>
          <w:bCs/>
          <w:iCs/>
          <w:color w:val="000000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6449"/>
      </w:tblGrid>
      <w:tr w:rsidR="00466F7C" w14:paraId="6FFA5F6A" w14:textId="77777777">
        <w:trPr>
          <w:jc w:val="center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30DC" w14:textId="77777777" w:rsidR="00466F7C" w:rsidRDefault="0000000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t>投资者关系活动类别</w:t>
            </w:r>
          </w:p>
          <w:p w14:paraId="09DC5D0A" w14:textId="77777777" w:rsidR="00466F7C" w:rsidRDefault="00466F7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1"/>
                <w:szCs w:val="21"/>
              </w:rPr>
            </w:pP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F883" w14:textId="77777777" w:rsidR="00466F7C" w:rsidRDefault="00000000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t>□特定对象调研        □分析师会议</w:t>
            </w:r>
          </w:p>
          <w:p w14:paraId="5BEF960D" w14:textId="77777777" w:rsidR="00466F7C" w:rsidRDefault="00000000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t xml:space="preserve">□媒体采访    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t>业绩说明会</w:t>
            </w:r>
          </w:p>
          <w:p w14:paraId="115C501C" w14:textId="77777777" w:rsidR="00466F7C" w:rsidRDefault="00000000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t xml:space="preserve">□新闻发布会  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t>路演活动</w:t>
            </w:r>
          </w:p>
          <w:p w14:paraId="1D79FE6B" w14:textId="77777777" w:rsidR="00466F7C" w:rsidRDefault="00000000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t xml:space="preserve">☑现场参观    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sym w:font="Wingdings 2" w:char="0052"/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t>电话会议</w:t>
            </w:r>
          </w:p>
          <w:p w14:paraId="6C2203D8" w14:textId="77777777" w:rsidR="00466F7C" w:rsidRDefault="00000000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t>☑网络会议            □其他</w:t>
            </w:r>
          </w:p>
        </w:tc>
      </w:tr>
      <w:tr w:rsidR="00466F7C" w14:paraId="40EEA1B2" w14:textId="77777777">
        <w:trPr>
          <w:jc w:val="center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5FB7" w14:textId="77777777" w:rsidR="00466F7C" w:rsidRDefault="0000000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t>参与单位名称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D335" w14:textId="77777777" w:rsidR="00466F7C" w:rsidRDefault="00000000">
            <w:pPr>
              <w:spacing w:line="360" w:lineRule="auto"/>
              <w:ind w:firstLine="42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公司于2024年</w:t>
            </w:r>
            <w:r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月15日-1月19日组织线上、线下投资者交流活动，浙商证券、广发证券、平安基金、前海人寿、琮碧秋实等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家机构参与。名单详见附件清单。</w:t>
            </w:r>
          </w:p>
          <w:p w14:paraId="47CA8F77" w14:textId="77777777" w:rsidR="00466F7C" w:rsidRDefault="00000000">
            <w:pPr>
              <w:spacing w:line="360" w:lineRule="auto"/>
              <w:ind w:firstLine="42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重要提示：参会人员名单由组织机构提供并经整理后展示。公司无法保证参会人员及其单位名称的完整性和准确性，请投资者注意。</w:t>
            </w:r>
          </w:p>
        </w:tc>
      </w:tr>
      <w:tr w:rsidR="00466F7C" w14:paraId="65CCE4F0" w14:textId="77777777">
        <w:trPr>
          <w:jc w:val="center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FEDC" w14:textId="77777777" w:rsidR="00466F7C" w:rsidRDefault="0000000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7058E" w14:textId="62FD1ADF" w:rsidR="00466F7C" w:rsidRDefault="00000000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t>2024年01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月1</w:t>
            </w:r>
            <w:r w:rsidR="003A7289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日</w:t>
            </w:r>
            <w:r w:rsidR="003A7289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-1月19日</w:t>
            </w:r>
          </w:p>
        </w:tc>
      </w:tr>
      <w:tr w:rsidR="00466F7C" w14:paraId="0AC1BB3C" w14:textId="77777777">
        <w:trPr>
          <w:jc w:val="center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A88D" w14:textId="77777777" w:rsidR="00466F7C" w:rsidRDefault="0000000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t>地点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E924" w14:textId="77777777" w:rsidR="00466F7C" w:rsidRDefault="00000000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t>线下、网络会议</w:t>
            </w:r>
          </w:p>
        </w:tc>
      </w:tr>
      <w:tr w:rsidR="00466F7C" w14:paraId="114AC462" w14:textId="77777777">
        <w:trPr>
          <w:jc w:val="center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B1C5" w14:textId="77777777" w:rsidR="00466F7C" w:rsidRDefault="0000000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t>上市公司接待</w:t>
            </w:r>
          </w:p>
          <w:p w14:paraId="2B08A0E8" w14:textId="77777777" w:rsidR="00466F7C" w:rsidRDefault="0000000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t>人员姓名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A745" w14:textId="77777777" w:rsidR="00466F7C" w:rsidRDefault="00000000">
            <w:pPr>
              <w:spacing w:line="360" w:lineRule="auto"/>
              <w:ind w:firstLineChars="0" w:firstLine="0"/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1"/>
                <w:szCs w:val="21"/>
              </w:rPr>
              <w:t>副总经理、董事会秘书：刘菁</w:t>
            </w:r>
          </w:p>
        </w:tc>
      </w:tr>
      <w:tr w:rsidR="00466F7C" w14:paraId="52696546" w14:textId="77777777">
        <w:trPr>
          <w:jc w:val="center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8D8F" w14:textId="77777777" w:rsidR="00466F7C" w:rsidRDefault="0000000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投资者关系活动</w:t>
            </w:r>
          </w:p>
          <w:p w14:paraId="05AF9C5E" w14:textId="77777777" w:rsidR="00466F7C" w:rsidRDefault="0000000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5B9BD5" w:themeColor="accen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主要内容介绍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678A" w14:textId="77777777" w:rsidR="00466F7C" w:rsidRDefault="00000000">
            <w:pPr>
              <w:spacing w:line="360" w:lineRule="auto"/>
              <w:ind w:firstLine="42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2024年</w:t>
            </w:r>
            <w:r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月15日-19日投资者交流中，公司高管就投资者关心的问题在合规范围内与调研人员进行了沟通。以下为活动纪要：</w:t>
            </w:r>
          </w:p>
          <w:p w14:paraId="6CA6E51C" w14:textId="51205A17" w:rsidR="00466F7C" w:rsidRDefault="003A7289">
            <w:pPr>
              <w:spacing w:line="360" w:lineRule="auto"/>
              <w:ind w:firstLine="422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  <w:t>Q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1：公司的营销团队建设进展？</w:t>
            </w:r>
          </w:p>
          <w:p w14:paraId="59B0440E" w14:textId="372D8CE2" w:rsidR="00466F7C" w:rsidRDefault="003A7289">
            <w:pPr>
              <w:pStyle w:val="a0"/>
              <w:spacing w:line="360" w:lineRule="auto"/>
              <w:ind w:firstLineChars="200" w:firstLine="420"/>
            </w:pPr>
            <w:r w:rsidRPr="003A7289">
              <w:rPr>
                <w:rFonts w:hint="eastAsia"/>
              </w:rPr>
              <w:t>A1：</w:t>
            </w:r>
            <w:r>
              <w:rPr>
                <w:rFonts w:hint="eastAsia"/>
              </w:rPr>
              <w:t>公司的</w:t>
            </w:r>
            <w:r w:rsidR="00E20A0A">
              <w:rPr>
                <w:rFonts w:hint="eastAsia"/>
              </w:rPr>
              <w:t>全资</w:t>
            </w:r>
            <w:r>
              <w:rPr>
                <w:rFonts w:hint="eastAsia"/>
              </w:rPr>
              <w:t>销售子公司武汉路康德生物饲料有限公司已于2023年12月设立完毕。近期，公司加速组建销售队伍，提升销售和服务能力建设。在不断优化直销团队，引入多位拥有饲料养殖行业丰富经验营销精英的同时，整合产品研发、应用技术和质量品控对客户</w:t>
            </w:r>
            <w:r>
              <w:rPr>
                <w:rFonts w:hint="eastAsia"/>
              </w:rPr>
              <w:lastRenderedPageBreak/>
              <w:t>的服务协同。目前，公司营销队伍已扩充至将近30人，业务拓展能力及服务水平持续提高。</w:t>
            </w:r>
          </w:p>
          <w:p w14:paraId="5A2FA1AE" w14:textId="1435CCA2" w:rsidR="00466F7C" w:rsidRDefault="003A7289">
            <w:pPr>
              <w:pStyle w:val="a0"/>
              <w:spacing w:line="360" w:lineRule="auto"/>
              <w:ind w:left="109" w:firstLineChars="200" w:firstLine="422"/>
              <w:rPr>
                <w:b/>
                <w:bCs/>
              </w:rPr>
            </w:pPr>
            <w:r>
              <w:rPr>
                <w:b/>
                <w:bCs/>
              </w:rPr>
              <w:t>Q2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b/>
                <w:bCs/>
              </w:rPr>
              <w:t>公司市场业务拓展规划？</w:t>
            </w:r>
          </w:p>
          <w:p w14:paraId="705A6CD2" w14:textId="35D6F9B1" w:rsidR="00466F7C" w:rsidRDefault="003A7289">
            <w:pPr>
              <w:pStyle w:val="a0"/>
              <w:spacing w:line="360" w:lineRule="auto"/>
              <w:ind w:left="109" w:firstLineChars="200" w:firstLine="420"/>
            </w:pPr>
            <w:r w:rsidRPr="003A7289">
              <w:rPr>
                <w:rFonts w:hint="eastAsia"/>
              </w:rPr>
              <w:t>A</w:t>
            </w:r>
            <w:r w:rsidRPr="003A7289">
              <w:t>2：</w:t>
            </w:r>
            <w:r>
              <w:t>应不同类型客户的个性化需求，公司将制定不同的市场拓展和服务策略。目前，公司基于业务逻辑，对市场客户提供差异化的产品和服务方案。首先，对于行业饲料和养殖头部客户，公司安排“一对一”的拓展和服务方案，结合客户需要和公司产品独特的技术特性，进行个性化的产品定制和应用技术服务。同时，公司强化直销、经销的服务职能，助力成长性饲料客户提升产品力，助力成长性养殖客户降本增效。公司还大力发展地市级服务网络，提升对自配料为主</w:t>
            </w:r>
            <w:r w:rsidR="004A66D1">
              <w:rPr>
                <w:rFonts w:hint="eastAsia"/>
              </w:rPr>
              <w:t>的</w:t>
            </w:r>
            <w:r>
              <w:t>家庭牧场的技术服务覆盖度。</w:t>
            </w:r>
          </w:p>
          <w:p w14:paraId="580DA19C" w14:textId="1DFD7D27" w:rsidR="00466F7C" w:rsidRDefault="003A7289">
            <w:pPr>
              <w:pStyle w:val="a0"/>
              <w:spacing w:line="360" w:lineRule="auto"/>
              <w:ind w:firstLineChars="200" w:firstLine="422"/>
            </w:pPr>
            <w:r>
              <w:rPr>
                <w:b/>
                <w:bCs/>
              </w:rPr>
              <w:t>Q3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b/>
                <w:bCs/>
              </w:rPr>
              <w:t>近期，饲料原料价格大幅下跌，请问公司饲料产品及价格变动情况？</w:t>
            </w:r>
          </w:p>
          <w:p w14:paraId="1DFDB81D" w14:textId="0390F108" w:rsidR="00466F7C" w:rsidRDefault="003A7289">
            <w:pPr>
              <w:pStyle w:val="a0"/>
              <w:spacing w:line="360" w:lineRule="auto"/>
              <w:ind w:firstLineChars="200" w:firstLine="420"/>
            </w:pPr>
            <w:r w:rsidRPr="003A7289">
              <w:rPr>
                <w:rFonts w:hint="eastAsia"/>
              </w:rPr>
              <w:t>A</w:t>
            </w:r>
            <w:r w:rsidRPr="003A7289">
              <w:t>3</w:t>
            </w:r>
            <w:r w:rsidRPr="003A7289">
              <w:rPr>
                <w:rFonts w:hint="eastAsia"/>
              </w:rPr>
              <w:t>：</w:t>
            </w:r>
            <w:r>
              <w:t>公司聚</w:t>
            </w:r>
            <w:r>
              <w:rPr>
                <w:rFonts w:hint="eastAsia"/>
              </w:rPr>
              <w:t>焦</w:t>
            </w:r>
            <w:r>
              <w:t>“倍肽德®”、“蔺福®”品牌以高端白酒糟为底物的生物发酵饲料系列产品</w:t>
            </w:r>
            <w:r>
              <w:rPr>
                <w:rFonts w:hint="eastAsia"/>
              </w:rPr>
              <w:t>，产</w:t>
            </w:r>
            <w:r>
              <w:t>品定位</w:t>
            </w:r>
            <w:r>
              <w:rPr>
                <w:rFonts w:hint="eastAsia"/>
              </w:rPr>
              <w:t>为</w:t>
            </w:r>
            <w:r>
              <w:t>功能性饲料原料。公司高度重视产品品质与性能的提升，不断进行产品迭代升级，即将推出“倍肽德®2.0”系列产品，增强产品的功能性效能和营养价值。当前，畜牧养殖行业低迷行情仍在延续，公司坚定与行业砥砺前行，共度时艰，结合产品的应用拓展和综合性价比，采取灵活的定价机制，助力合作伙伴降本增效。</w:t>
            </w:r>
          </w:p>
          <w:p w14:paraId="298CED3B" w14:textId="48EFF9D5" w:rsidR="00466F7C" w:rsidRDefault="003A7289">
            <w:pPr>
              <w:pStyle w:val="a0"/>
              <w:spacing w:line="360" w:lineRule="auto"/>
              <w:ind w:firstLineChars="200" w:firstLine="422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>
              <w:rPr>
                <w:rFonts w:hint="eastAsia"/>
                <w:b/>
                <w:bCs/>
              </w:rPr>
              <w:t>4、公司的客户开发进展？</w:t>
            </w:r>
          </w:p>
          <w:p w14:paraId="1E75A8DB" w14:textId="3B5838B0" w:rsidR="00466F7C" w:rsidRDefault="003A7289">
            <w:pPr>
              <w:pStyle w:val="a0"/>
              <w:spacing w:line="360" w:lineRule="auto"/>
              <w:ind w:firstLineChars="200" w:firstLine="420"/>
            </w:pPr>
            <w:r w:rsidRPr="003A7289">
              <w:t>A</w:t>
            </w:r>
            <w:r w:rsidRPr="003A7289">
              <w:rPr>
                <w:rFonts w:hint="eastAsia"/>
              </w:rPr>
              <w:t>4：</w:t>
            </w:r>
            <w:r>
              <w:rPr>
                <w:rFonts w:hint="eastAsia"/>
              </w:rPr>
              <w:t>公司持续深耕现有客户，推进深化合作，同时加大新客户开发力度，积极拓展增量市场，目前，已有部分潜在客户进入产品试喂评估阶段。</w:t>
            </w:r>
          </w:p>
          <w:p w14:paraId="22DBAAC8" w14:textId="03E3D7C6" w:rsidR="00466F7C" w:rsidRDefault="003A7289">
            <w:pPr>
              <w:pStyle w:val="a0"/>
              <w:spacing w:line="360" w:lineRule="auto"/>
              <w:ind w:firstLineChars="200" w:firstLine="422"/>
              <w:rPr>
                <w:b/>
                <w:bCs/>
              </w:rPr>
            </w:pPr>
            <w:r>
              <w:rPr>
                <w:b/>
                <w:bCs/>
              </w:rPr>
              <w:t>Q5</w:t>
            </w:r>
            <w:r>
              <w:rPr>
                <w:rFonts w:hint="eastAsia"/>
                <w:b/>
                <w:bCs/>
              </w:rPr>
              <w:t>：连云港碱渣项目的基本情况与项目进展？</w:t>
            </w:r>
          </w:p>
          <w:p w14:paraId="60339099" w14:textId="4E3F77CD" w:rsidR="00466F7C" w:rsidRDefault="003A7289">
            <w:pPr>
              <w:pStyle w:val="a0"/>
              <w:spacing w:line="360" w:lineRule="auto"/>
              <w:ind w:firstLineChars="200" w:firstLine="420"/>
            </w:pPr>
            <w:r w:rsidRPr="003A7289">
              <w:rPr>
                <w:rFonts w:hint="eastAsia"/>
              </w:rPr>
              <w:t>A</w:t>
            </w:r>
            <w:r w:rsidRPr="003A7289">
              <w:t>5</w:t>
            </w:r>
            <w:r>
              <w:rPr>
                <w:rFonts w:hint="eastAsia"/>
              </w:rPr>
              <w:t>：2023年5月，公司先中标连云港碱渣治理运营项目材料采购（中标金额约9400万），后又与中核环保工程有限公司签订总金额约5.18亿的《连云港碱渣治理与资源化利用创新示范项目A工艺运行专业分包合同》。公司主要负责项目A工艺设备供应、生产调试、</w:t>
            </w:r>
            <w:r>
              <w:rPr>
                <w:rFonts w:hint="eastAsia"/>
              </w:rPr>
              <w:lastRenderedPageBreak/>
              <w:t>投产运行、余水处理排放，承担以上活动过程中所需的资源配置和技术支持，属于轻资产运营项目。</w:t>
            </w:r>
          </w:p>
          <w:p w14:paraId="353F2489" w14:textId="77777777" w:rsidR="00466F7C" w:rsidRDefault="00000000">
            <w:pPr>
              <w:pStyle w:val="a0"/>
              <w:spacing w:line="360" w:lineRule="auto"/>
              <w:ind w:firstLineChars="200" w:firstLine="420"/>
            </w:pPr>
            <w:r>
              <w:rPr>
                <w:rFonts w:hint="eastAsia"/>
              </w:rPr>
              <w:t>2023年9月至今，公司连云港碱渣治理项目处于联调联试阶段，对所有设备、工艺流程进行联合调试。</w:t>
            </w:r>
          </w:p>
        </w:tc>
      </w:tr>
      <w:tr w:rsidR="00466F7C" w14:paraId="46B61B72" w14:textId="77777777">
        <w:trPr>
          <w:jc w:val="center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F0F8A" w14:textId="77777777" w:rsidR="00466F7C" w:rsidRDefault="0000000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lastRenderedPageBreak/>
              <w:t>附件清单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E431" w14:textId="77777777" w:rsidR="00466F7C" w:rsidRDefault="00000000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详见附件</w:t>
            </w:r>
          </w:p>
        </w:tc>
      </w:tr>
      <w:tr w:rsidR="00466F7C" w14:paraId="020EA2D0" w14:textId="77777777">
        <w:trPr>
          <w:jc w:val="center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B09E" w14:textId="77777777" w:rsidR="00466F7C" w:rsidRDefault="0000000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日期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6CD4" w14:textId="7205A4C2" w:rsidR="00466F7C" w:rsidRDefault="00000000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2024年</w:t>
            </w:r>
            <w:r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2</w:t>
            </w:r>
            <w:r w:rsidR="003A7289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日</w:t>
            </w:r>
          </w:p>
        </w:tc>
      </w:tr>
    </w:tbl>
    <w:p w14:paraId="0688B5F9" w14:textId="77777777" w:rsidR="00466F7C" w:rsidRDefault="00466F7C">
      <w:pPr>
        <w:spacing w:line="360" w:lineRule="auto"/>
        <w:ind w:firstLineChars="0" w:firstLine="0"/>
        <w:rPr>
          <w:rFonts w:eastAsia="宋体"/>
          <w:sz w:val="24"/>
          <w:szCs w:val="24"/>
        </w:rPr>
      </w:pPr>
    </w:p>
    <w:p w14:paraId="45B9B9FB" w14:textId="77777777" w:rsidR="00466F7C" w:rsidRDefault="00000000">
      <w:pPr>
        <w:spacing w:line="360" w:lineRule="auto"/>
        <w:ind w:firstLineChars="0" w:firstLine="0"/>
        <w:jc w:val="center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附件清单（排名不分先后）</w:t>
      </w:r>
    </w:p>
    <w:tbl>
      <w:tblPr>
        <w:tblStyle w:val="aa"/>
        <w:tblW w:w="8521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481"/>
        <w:gridCol w:w="384"/>
        <w:gridCol w:w="1530"/>
        <w:gridCol w:w="2430"/>
      </w:tblGrid>
      <w:tr w:rsidR="00466F7C" w14:paraId="691E8E8F" w14:textId="77777777">
        <w:trPr>
          <w:jc w:val="center"/>
        </w:trPr>
        <w:tc>
          <w:tcPr>
            <w:tcW w:w="1696" w:type="dxa"/>
            <w:shd w:val="clear" w:color="auto" w:fill="D8D8D8" w:themeFill="background1" w:themeFillShade="D8"/>
          </w:tcPr>
          <w:p w14:paraId="0120B668" w14:textId="77777777" w:rsidR="00466F7C" w:rsidRDefault="00000000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eastAsia="宋体"/>
                <w:b/>
                <w:bCs/>
                <w:sz w:val="20"/>
              </w:rPr>
              <w:t>单位名称</w:t>
            </w:r>
          </w:p>
        </w:tc>
        <w:tc>
          <w:tcPr>
            <w:tcW w:w="2481" w:type="dxa"/>
            <w:tcBorders>
              <w:right w:val="single" w:sz="4" w:space="0" w:color="auto"/>
            </w:tcBorders>
            <w:shd w:val="clear" w:color="auto" w:fill="D8D8D8" w:themeFill="background1" w:themeFillShade="D8"/>
          </w:tcPr>
          <w:p w14:paraId="5F0251E7" w14:textId="77777777" w:rsidR="00466F7C" w:rsidRDefault="00000000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eastAsia="宋体"/>
                <w:b/>
                <w:bCs/>
                <w:sz w:val="20"/>
              </w:rPr>
              <w:t>参与人员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0CE581" w14:textId="77777777" w:rsidR="00466F7C" w:rsidRDefault="00466F7C">
            <w:pPr>
              <w:spacing w:line="240" w:lineRule="auto"/>
              <w:ind w:firstLine="402"/>
              <w:rPr>
                <w:rFonts w:eastAsia="宋体"/>
                <w:b/>
                <w:bCs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D8D8D8" w:themeFill="background1" w:themeFillShade="D8"/>
          </w:tcPr>
          <w:p w14:paraId="44CD8252" w14:textId="77777777" w:rsidR="00466F7C" w:rsidRDefault="00000000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eastAsia="宋体"/>
                <w:b/>
                <w:bCs/>
                <w:sz w:val="20"/>
              </w:rPr>
              <w:t>单位名称</w:t>
            </w:r>
          </w:p>
        </w:tc>
        <w:tc>
          <w:tcPr>
            <w:tcW w:w="2430" w:type="dxa"/>
            <w:shd w:val="clear" w:color="auto" w:fill="D8D8D8" w:themeFill="background1" w:themeFillShade="D8"/>
          </w:tcPr>
          <w:p w14:paraId="1B0D5264" w14:textId="77777777" w:rsidR="00466F7C" w:rsidRDefault="00000000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eastAsia="宋体"/>
                <w:b/>
                <w:bCs/>
                <w:sz w:val="20"/>
              </w:rPr>
              <w:t>参与人员</w:t>
            </w:r>
          </w:p>
        </w:tc>
      </w:tr>
      <w:tr w:rsidR="00466F7C" w14:paraId="503E3826" w14:textId="77777777">
        <w:trPr>
          <w:jc w:val="center"/>
        </w:trPr>
        <w:tc>
          <w:tcPr>
            <w:tcW w:w="1696" w:type="dxa"/>
            <w:vAlign w:val="center"/>
          </w:tcPr>
          <w:p w14:paraId="544FE1AF" w14:textId="77777777" w:rsidR="00466F7C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琮碧秋实</w:t>
            </w:r>
          </w:p>
        </w:tc>
        <w:tc>
          <w:tcPr>
            <w:tcW w:w="2481" w:type="dxa"/>
            <w:tcBorders>
              <w:right w:val="single" w:sz="4" w:space="0" w:color="auto"/>
            </w:tcBorders>
            <w:vAlign w:val="center"/>
          </w:tcPr>
          <w:p w14:paraId="1791D955" w14:textId="77777777" w:rsidR="00466F7C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李文魁、曹博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B54CA" w14:textId="77777777" w:rsidR="00466F7C" w:rsidRDefault="00466F7C"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5200AB17" w14:textId="77777777" w:rsidR="00466F7C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广发证券</w:t>
            </w:r>
          </w:p>
        </w:tc>
        <w:tc>
          <w:tcPr>
            <w:tcW w:w="2430" w:type="dxa"/>
            <w:vAlign w:val="center"/>
          </w:tcPr>
          <w:p w14:paraId="7EB065CC" w14:textId="77777777" w:rsidR="00466F7C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荣凌琪</w:t>
            </w:r>
          </w:p>
        </w:tc>
      </w:tr>
      <w:tr w:rsidR="00466F7C" w14:paraId="4579EA56" w14:textId="77777777">
        <w:trPr>
          <w:jc w:val="center"/>
        </w:trPr>
        <w:tc>
          <w:tcPr>
            <w:tcW w:w="1696" w:type="dxa"/>
            <w:vAlign w:val="center"/>
          </w:tcPr>
          <w:p w14:paraId="7DFCD926" w14:textId="77777777" w:rsidR="00466F7C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鼎萨投资</w:t>
            </w:r>
          </w:p>
        </w:tc>
        <w:tc>
          <w:tcPr>
            <w:tcW w:w="2481" w:type="dxa"/>
            <w:tcBorders>
              <w:right w:val="single" w:sz="4" w:space="0" w:color="auto"/>
            </w:tcBorders>
            <w:vAlign w:val="center"/>
          </w:tcPr>
          <w:p w14:paraId="682394B7" w14:textId="77777777" w:rsidR="00466F7C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王东升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0D31E2" w14:textId="77777777" w:rsidR="00466F7C" w:rsidRDefault="00466F7C"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6D3F792D" w14:textId="77777777" w:rsidR="00466F7C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华泰柏瑞</w:t>
            </w:r>
          </w:p>
        </w:tc>
        <w:tc>
          <w:tcPr>
            <w:tcW w:w="2430" w:type="dxa"/>
            <w:vAlign w:val="center"/>
          </w:tcPr>
          <w:p w14:paraId="37189787" w14:textId="77777777" w:rsidR="00466F7C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方纬、龚剑</w:t>
            </w:r>
          </w:p>
        </w:tc>
      </w:tr>
      <w:tr w:rsidR="00466F7C" w14:paraId="1DA043FB" w14:textId="77777777">
        <w:trPr>
          <w:jc w:val="center"/>
        </w:trPr>
        <w:tc>
          <w:tcPr>
            <w:tcW w:w="1696" w:type="dxa"/>
            <w:vAlign w:val="center"/>
          </w:tcPr>
          <w:p w14:paraId="711FCC57" w14:textId="77777777" w:rsidR="00466F7C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平安基金</w:t>
            </w:r>
          </w:p>
        </w:tc>
        <w:tc>
          <w:tcPr>
            <w:tcW w:w="2481" w:type="dxa"/>
            <w:tcBorders>
              <w:right w:val="single" w:sz="4" w:space="0" w:color="auto"/>
            </w:tcBorders>
            <w:vAlign w:val="center"/>
          </w:tcPr>
          <w:p w14:paraId="6BEF2368" w14:textId="77777777" w:rsidR="00466F7C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周金菲、吴海立、黄维、薛冀颖、丁琳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E4C15" w14:textId="77777777" w:rsidR="00466F7C" w:rsidRDefault="00466F7C"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1B29B2D9" w14:textId="77777777" w:rsidR="00466F7C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前海人寿</w:t>
            </w:r>
          </w:p>
        </w:tc>
        <w:tc>
          <w:tcPr>
            <w:tcW w:w="2430" w:type="dxa"/>
            <w:vAlign w:val="center"/>
          </w:tcPr>
          <w:p w14:paraId="29BEF3EB" w14:textId="77777777" w:rsidR="00466F7C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吴锡雄、李克强、孙辉辉、张蕾</w:t>
            </w:r>
          </w:p>
        </w:tc>
      </w:tr>
      <w:tr w:rsidR="00466F7C" w14:paraId="6455BBAF" w14:textId="77777777">
        <w:trPr>
          <w:jc w:val="center"/>
        </w:trPr>
        <w:tc>
          <w:tcPr>
            <w:tcW w:w="1696" w:type="dxa"/>
            <w:vAlign w:val="center"/>
          </w:tcPr>
          <w:p w14:paraId="285CC435" w14:textId="77777777" w:rsidR="00466F7C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浙商证券</w:t>
            </w:r>
          </w:p>
        </w:tc>
        <w:tc>
          <w:tcPr>
            <w:tcW w:w="2481" w:type="dxa"/>
            <w:tcBorders>
              <w:right w:val="single" w:sz="4" w:space="0" w:color="auto"/>
            </w:tcBorders>
            <w:vAlign w:val="center"/>
          </w:tcPr>
          <w:p w14:paraId="09DFFECC" w14:textId="77777777" w:rsidR="00466F7C" w:rsidRDefault="00000000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张家祯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E8DE8" w14:textId="77777777" w:rsidR="00466F7C" w:rsidRDefault="00466F7C"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07D6E729" w14:textId="77777777" w:rsidR="00466F7C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--</w:t>
            </w:r>
          </w:p>
        </w:tc>
        <w:tc>
          <w:tcPr>
            <w:tcW w:w="2430" w:type="dxa"/>
            <w:vAlign w:val="center"/>
          </w:tcPr>
          <w:p w14:paraId="5A6EB655" w14:textId="77777777" w:rsidR="00466F7C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lang w:bidi="ar"/>
              </w:rPr>
              <w:t>--</w:t>
            </w:r>
          </w:p>
        </w:tc>
      </w:tr>
    </w:tbl>
    <w:p w14:paraId="480E1C7D" w14:textId="77777777" w:rsidR="00466F7C" w:rsidRDefault="00466F7C">
      <w:pPr>
        <w:spacing w:line="240" w:lineRule="auto"/>
        <w:ind w:firstLineChars="0" w:firstLine="0"/>
        <w:rPr>
          <w:rFonts w:eastAsia="宋体"/>
          <w:sz w:val="20"/>
        </w:rPr>
      </w:pPr>
    </w:p>
    <w:p w14:paraId="6067C12C" w14:textId="77777777" w:rsidR="00466F7C" w:rsidRDefault="00466F7C">
      <w:pPr>
        <w:spacing w:line="240" w:lineRule="auto"/>
        <w:ind w:firstLineChars="0" w:firstLine="0"/>
        <w:rPr>
          <w:rFonts w:ascii="宋体" w:eastAsia="宋体" w:hAnsi="宋体" w:cs="宋体"/>
          <w:sz w:val="24"/>
          <w:szCs w:val="24"/>
        </w:rPr>
      </w:pPr>
    </w:p>
    <w:sectPr w:rsidR="00466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B0AB" w14:textId="77777777" w:rsidR="0031557E" w:rsidRDefault="0031557E">
      <w:pPr>
        <w:spacing w:line="240" w:lineRule="auto"/>
        <w:ind w:firstLine="640"/>
      </w:pPr>
      <w:r>
        <w:separator/>
      </w:r>
    </w:p>
  </w:endnote>
  <w:endnote w:type="continuationSeparator" w:id="0">
    <w:p w14:paraId="2B1F398C" w14:textId="77777777" w:rsidR="0031557E" w:rsidRDefault="0031557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2984" w14:textId="77777777" w:rsidR="00466F7C" w:rsidRDefault="00466F7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D075" w14:textId="77777777" w:rsidR="00466F7C" w:rsidRDefault="00466F7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7585" w14:textId="77777777" w:rsidR="00466F7C" w:rsidRDefault="00466F7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0A52" w14:textId="77777777" w:rsidR="0031557E" w:rsidRDefault="0031557E">
      <w:pPr>
        <w:spacing w:line="240" w:lineRule="auto"/>
        <w:ind w:firstLine="640"/>
      </w:pPr>
      <w:r>
        <w:separator/>
      </w:r>
    </w:p>
  </w:footnote>
  <w:footnote w:type="continuationSeparator" w:id="0">
    <w:p w14:paraId="4AAF7599" w14:textId="77777777" w:rsidR="0031557E" w:rsidRDefault="0031557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F528" w14:textId="77777777" w:rsidR="00466F7C" w:rsidRDefault="00466F7C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5318" w14:textId="77777777" w:rsidR="00466F7C" w:rsidRDefault="00000000">
    <w:pPr>
      <w:pBdr>
        <w:bottom w:val="single" w:sz="6" w:space="9" w:color="auto"/>
      </w:pBdr>
      <w:tabs>
        <w:tab w:val="center" w:pos="4153"/>
        <w:tab w:val="right" w:pos="8306"/>
      </w:tabs>
      <w:snapToGrid w:val="0"/>
      <w:ind w:firstLine="360"/>
      <w:rPr>
        <w:rFonts w:ascii="宋体" w:eastAsia="宋体" w:hAnsi="宋体"/>
        <w:sz w:val="24"/>
        <w:szCs w:val="24"/>
      </w:rPr>
    </w:pPr>
    <w:r>
      <w:rPr>
        <w:rFonts w:eastAsia="宋体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7E76016" wp14:editId="025E1D83">
          <wp:simplePos x="0" y="0"/>
          <wp:positionH relativeFrom="column">
            <wp:posOffset>185420</wp:posOffset>
          </wp:positionH>
          <wp:positionV relativeFrom="paragraph">
            <wp:posOffset>55245</wp:posOffset>
          </wp:positionV>
          <wp:extent cx="1272540" cy="396240"/>
          <wp:effectExtent l="0" t="0" r="3810" b="3810"/>
          <wp:wrapSquare wrapText="bothSides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4" t="38632" r="65826" b="55653"/>
                  <a:stretch>
                    <a:fillRect/>
                  </a:stretch>
                </pic:blipFill>
                <pic:spPr>
                  <a:xfrm>
                    <a:off x="0" y="0"/>
                    <a:ext cx="12725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 w:hint="eastAsia"/>
        <w:sz w:val="24"/>
        <w:szCs w:val="24"/>
      </w:rPr>
      <w:t xml:space="preserve"> </w:t>
    </w:r>
    <w:r>
      <w:rPr>
        <w:rFonts w:ascii="宋体" w:eastAsia="宋体" w:hAnsi="宋体"/>
        <w:sz w:val="24"/>
        <w:szCs w:val="24"/>
      </w:rPr>
      <w:t xml:space="preserve">                    </w:t>
    </w:r>
    <w:r>
      <w:rPr>
        <w:rFonts w:ascii="宋体" w:eastAsia="宋体" w:hAnsi="宋体" w:hint="eastAsia"/>
        <w:b/>
        <w:bCs/>
        <w:sz w:val="24"/>
        <w:szCs w:val="24"/>
      </w:rPr>
      <w:t>路德环境科技股份有限公司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83DCE" w14:textId="77777777" w:rsidR="00466F7C" w:rsidRDefault="00466F7C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ZhOGRhOWFhNzYyMzQ0ZjE0NzBiZWQwYzc5NTU3NTMifQ=="/>
  </w:docVars>
  <w:rsids>
    <w:rsidRoot w:val="00172A27"/>
    <w:rsid w:val="000000F5"/>
    <w:rsid w:val="00001923"/>
    <w:rsid w:val="0000349E"/>
    <w:rsid w:val="000039B3"/>
    <w:rsid w:val="00003DC3"/>
    <w:rsid w:val="000058FA"/>
    <w:rsid w:val="0001028C"/>
    <w:rsid w:val="00011A7D"/>
    <w:rsid w:val="0001290C"/>
    <w:rsid w:val="000147B3"/>
    <w:rsid w:val="00014D0E"/>
    <w:rsid w:val="00015549"/>
    <w:rsid w:val="00022AB1"/>
    <w:rsid w:val="00022D26"/>
    <w:rsid w:val="000237C9"/>
    <w:rsid w:val="00023CCF"/>
    <w:rsid w:val="00030BDD"/>
    <w:rsid w:val="0003273C"/>
    <w:rsid w:val="00033FFE"/>
    <w:rsid w:val="00035012"/>
    <w:rsid w:val="00035219"/>
    <w:rsid w:val="00036E01"/>
    <w:rsid w:val="0004785E"/>
    <w:rsid w:val="00052179"/>
    <w:rsid w:val="00052F4B"/>
    <w:rsid w:val="00056AB7"/>
    <w:rsid w:val="000653CF"/>
    <w:rsid w:val="00067D13"/>
    <w:rsid w:val="0007338E"/>
    <w:rsid w:val="00073DAB"/>
    <w:rsid w:val="0007401C"/>
    <w:rsid w:val="0007793E"/>
    <w:rsid w:val="00080953"/>
    <w:rsid w:val="000913BF"/>
    <w:rsid w:val="00092214"/>
    <w:rsid w:val="00092977"/>
    <w:rsid w:val="0009624B"/>
    <w:rsid w:val="00097505"/>
    <w:rsid w:val="000A1EF6"/>
    <w:rsid w:val="000A322E"/>
    <w:rsid w:val="000A61D8"/>
    <w:rsid w:val="000A79BB"/>
    <w:rsid w:val="000B7EF3"/>
    <w:rsid w:val="000C3A73"/>
    <w:rsid w:val="000D0BE3"/>
    <w:rsid w:val="000D1773"/>
    <w:rsid w:val="000D3D23"/>
    <w:rsid w:val="000D7912"/>
    <w:rsid w:val="000E1E5A"/>
    <w:rsid w:val="000E53EA"/>
    <w:rsid w:val="000E6670"/>
    <w:rsid w:val="000F0E37"/>
    <w:rsid w:val="000F4EE6"/>
    <w:rsid w:val="00103620"/>
    <w:rsid w:val="001100D3"/>
    <w:rsid w:val="0011014A"/>
    <w:rsid w:val="001113FD"/>
    <w:rsid w:val="00116341"/>
    <w:rsid w:val="001239F4"/>
    <w:rsid w:val="001243B5"/>
    <w:rsid w:val="001326F9"/>
    <w:rsid w:val="00132B56"/>
    <w:rsid w:val="001407B1"/>
    <w:rsid w:val="001451B0"/>
    <w:rsid w:val="00155607"/>
    <w:rsid w:val="00166809"/>
    <w:rsid w:val="00172A27"/>
    <w:rsid w:val="00172B12"/>
    <w:rsid w:val="00173508"/>
    <w:rsid w:val="00176C04"/>
    <w:rsid w:val="001800D4"/>
    <w:rsid w:val="00186A24"/>
    <w:rsid w:val="00186C83"/>
    <w:rsid w:val="001925FB"/>
    <w:rsid w:val="00194A00"/>
    <w:rsid w:val="00195311"/>
    <w:rsid w:val="00196D19"/>
    <w:rsid w:val="001A1204"/>
    <w:rsid w:val="001A6D35"/>
    <w:rsid w:val="001A6DDA"/>
    <w:rsid w:val="001B06EA"/>
    <w:rsid w:val="001B6604"/>
    <w:rsid w:val="001C7179"/>
    <w:rsid w:val="001D6C5A"/>
    <w:rsid w:val="001E04C8"/>
    <w:rsid w:val="001E3240"/>
    <w:rsid w:val="001E58B6"/>
    <w:rsid w:val="001E7255"/>
    <w:rsid w:val="001F2257"/>
    <w:rsid w:val="0020303E"/>
    <w:rsid w:val="002040FB"/>
    <w:rsid w:val="002131C4"/>
    <w:rsid w:val="002177B1"/>
    <w:rsid w:val="00217D91"/>
    <w:rsid w:val="0022095A"/>
    <w:rsid w:val="0023310B"/>
    <w:rsid w:val="0023549A"/>
    <w:rsid w:val="00244D0D"/>
    <w:rsid w:val="002473F3"/>
    <w:rsid w:val="00247B86"/>
    <w:rsid w:val="002551A8"/>
    <w:rsid w:val="00263965"/>
    <w:rsid w:val="00265C03"/>
    <w:rsid w:val="00267D50"/>
    <w:rsid w:val="00274B53"/>
    <w:rsid w:val="002775D0"/>
    <w:rsid w:val="00277DA7"/>
    <w:rsid w:val="002824BF"/>
    <w:rsid w:val="00282A38"/>
    <w:rsid w:val="00290FD5"/>
    <w:rsid w:val="0029147E"/>
    <w:rsid w:val="00295A90"/>
    <w:rsid w:val="00296750"/>
    <w:rsid w:val="002A102E"/>
    <w:rsid w:val="002C00B3"/>
    <w:rsid w:val="002D27A1"/>
    <w:rsid w:val="002D2FE5"/>
    <w:rsid w:val="002D4861"/>
    <w:rsid w:val="002D61E0"/>
    <w:rsid w:val="002D6753"/>
    <w:rsid w:val="002E1590"/>
    <w:rsid w:val="002E16EF"/>
    <w:rsid w:val="002E23B1"/>
    <w:rsid w:val="002E331B"/>
    <w:rsid w:val="002F3D9C"/>
    <w:rsid w:val="002F622F"/>
    <w:rsid w:val="002F6860"/>
    <w:rsid w:val="002F706D"/>
    <w:rsid w:val="00300EC4"/>
    <w:rsid w:val="00304C18"/>
    <w:rsid w:val="00305B42"/>
    <w:rsid w:val="00311E06"/>
    <w:rsid w:val="0031557E"/>
    <w:rsid w:val="00315B57"/>
    <w:rsid w:val="0031707F"/>
    <w:rsid w:val="00320C06"/>
    <w:rsid w:val="003224B6"/>
    <w:rsid w:val="003236A3"/>
    <w:rsid w:val="00324B1E"/>
    <w:rsid w:val="003314D8"/>
    <w:rsid w:val="00332681"/>
    <w:rsid w:val="00334CCB"/>
    <w:rsid w:val="00340634"/>
    <w:rsid w:val="00340761"/>
    <w:rsid w:val="00347B29"/>
    <w:rsid w:val="00361BE0"/>
    <w:rsid w:val="00361FFC"/>
    <w:rsid w:val="00362A29"/>
    <w:rsid w:val="0036518B"/>
    <w:rsid w:val="0036531C"/>
    <w:rsid w:val="00365C97"/>
    <w:rsid w:val="003675F4"/>
    <w:rsid w:val="003701AB"/>
    <w:rsid w:val="003746B3"/>
    <w:rsid w:val="003746D5"/>
    <w:rsid w:val="00375731"/>
    <w:rsid w:val="00377887"/>
    <w:rsid w:val="0038475F"/>
    <w:rsid w:val="00385652"/>
    <w:rsid w:val="00391BC3"/>
    <w:rsid w:val="00395208"/>
    <w:rsid w:val="003A0C72"/>
    <w:rsid w:val="003A1E73"/>
    <w:rsid w:val="003A24AF"/>
    <w:rsid w:val="003A3589"/>
    <w:rsid w:val="003A5AD7"/>
    <w:rsid w:val="003A7289"/>
    <w:rsid w:val="003B4313"/>
    <w:rsid w:val="003C2D9A"/>
    <w:rsid w:val="003C598E"/>
    <w:rsid w:val="003C79EE"/>
    <w:rsid w:val="003E717C"/>
    <w:rsid w:val="003E7B1D"/>
    <w:rsid w:val="003F0EAA"/>
    <w:rsid w:val="003F730B"/>
    <w:rsid w:val="00405172"/>
    <w:rsid w:val="004059CA"/>
    <w:rsid w:val="004066FE"/>
    <w:rsid w:val="00414930"/>
    <w:rsid w:val="00422681"/>
    <w:rsid w:val="004322BB"/>
    <w:rsid w:val="00433859"/>
    <w:rsid w:val="004365BE"/>
    <w:rsid w:val="004376AE"/>
    <w:rsid w:val="00442048"/>
    <w:rsid w:val="004512DC"/>
    <w:rsid w:val="00455D74"/>
    <w:rsid w:val="004650B2"/>
    <w:rsid w:val="00465AE7"/>
    <w:rsid w:val="00465DAB"/>
    <w:rsid w:val="00466F7C"/>
    <w:rsid w:val="00467703"/>
    <w:rsid w:val="004708E0"/>
    <w:rsid w:val="00470A82"/>
    <w:rsid w:val="00470F96"/>
    <w:rsid w:val="00471811"/>
    <w:rsid w:val="004734AE"/>
    <w:rsid w:val="00476665"/>
    <w:rsid w:val="0048457A"/>
    <w:rsid w:val="00486E8F"/>
    <w:rsid w:val="00487555"/>
    <w:rsid w:val="00487974"/>
    <w:rsid w:val="004945A9"/>
    <w:rsid w:val="00496619"/>
    <w:rsid w:val="004A1ADC"/>
    <w:rsid w:val="004A66D1"/>
    <w:rsid w:val="004A7213"/>
    <w:rsid w:val="004B4F58"/>
    <w:rsid w:val="004B6B39"/>
    <w:rsid w:val="004D07E0"/>
    <w:rsid w:val="004D3543"/>
    <w:rsid w:val="004E13D0"/>
    <w:rsid w:val="004E2458"/>
    <w:rsid w:val="004E27A8"/>
    <w:rsid w:val="004E33FB"/>
    <w:rsid w:val="004E73FB"/>
    <w:rsid w:val="004F1159"/>
    <w:rsid w:val="004F1ADD"/>
    <w:rsid w:val="004F2CB8"/>
    <w:rsid w:val="004F426C"/>
    <w:rsid w:val="00502082"/>
    <w:rsid w:val="00503387"/>
    <w:rsid w:val="00504280"/>
    <w:rsid w:val="00504FEC"/>
    <w:rsid w:val="005171E9"/>
    <w:rsid w:val="005209C2"/>
    <w:rsid w:val="00524B01"/>
    <w:rsid w:val="00527DD6"/>
    <w:rsid w:val="00531F04"/>
    <w:rsid w:val="00532DDB"/>
    <w:rsid w:val="00534363"/>
    <w:rsid w:val="00542FF6"/>
    <w:rsid w:val="00550EE7"/>
    <w:rsid w:val="00554EDF"/>
    <w:rsid w:val="00561034"/>
    <w:rsid w:val="0056172C"/>
    <w:rsid w:val="00565D7E"/>
    <w:rsid w:val="00583A66"/>
    <w:rsid w:val="0058706E"/>
    <w:rsid w:val="005A6706"/>
    <w:rsid w:val="005B54C6"/>
    <w:rsid w:val="005B57BB"/>
    <w:rsid w:val="005B6A34"/>
    <w:rsid w:val="005C05B2"/>
    <w:rsid w:val="005C08BA"/>
    <w:rsid w:val="005C175B"/>
    <w:rsid w:val="005D065C"/>
    <w:rsid w:val="005D07F3"/>
    <w:rsid w:val="005D22B8"/>
    <w:rsid w:val="005D2E74"/>
    <w:rsid w:val="005D5665"/>
    <w:rsid w:val="005D5A1C"/>
    <w:rsid w:val="005D6C7A"/>
    <w:rsid w:val="005E28F5"/>
    <w:rsid w:val="005F1854"/>
    <w:rsid w:val="005F2E60"/>
    <w:rsid w:val="005F2FB2"/>
    <w:rsid w:val="005F4F6F"/>
    <w:rsid w:val="006009C7"/>
    <w:rsid w:val="00603EE9"/>
    <w:rsid w:val="0060792B"/>
    <w:rsid w:val="00607F6A"/>
    <w:rsid w:val="00617713"/>
    <w:rsid w:val="00620A2D"/>
    <w:rsid w:val="00621A1E"/>
    <w:rsid w:val="006231ED"/>
    <w:rsid w:val="00625C6F"/>
    <w:rsid w:val="00627A9A"/>
    <w:rsid w:val="00630C20"/>
    <w:rsid w:val="00634EE6"/>
    <w:rsid w:val="006372E8"/>
    <w:rsid w:val="0064031E"/>
    <w:rsid w:val="00640E1B"/>
    <w:rsid w:val="00641D7E"/>
    <w:rsid w:val="006420D5"/>
    <w:rsid w:val="00642296"/>
    <w:rsid w:val="0064236F"/>
    <w:rsid w:val="00642FE9"/>
    <w:rsid w:val="006502AA"/>
    <w:rsid w:val="00650CAC"/>
    <w:rsid w:val="00650F8B"/>
    <w:rsid w:val="00653074"/>
    <w:rsid w:val="006553B1"/>
    <w:rsid w:val="006557DE"/>
    <w:rsid w:val="00656A86"/>
    <w:rsid w:val="0066090B"/>
    <w:rsid w:val="006623AE"/>
    <w:rsid w:val="00663EA4"/>
    <w:rsid w:val="00665F60"/>
    <w:rsid w:val="0068319C"/>
    <w:rsid w:val="00686A5D"/>
    <w:rsid w:val="00692FE9"/>
    <w:rsid w:val="00695C1F"/>
    <w:rsid w:val="006A1BAD"/>
    <w:rsid w:val="006B2209"/>
    <w:rsid w:val="006C1E3B"/>
    <w:rsid w:val="006C3F55"/>
    <w:rsid w:val="006C46EA"/>
    <w:rsid w:val="006C5309"/>
    <w:rsid w:val="006D2569"/>
    <w:rsid w:val="006D3142"/>
    <w:rsid w:val="006E262F"/>
    <w:rsid w:val="006E3BFA"/>
    <w:rsid w:val="006E6793"/>
    <w:rsid w:val="006F1D90"/>
    <w:rsid w:val="006F3B16"/>
    <w:rsid w:val="006F4454"/>
    <w:rsid w:val="006F549C"/>
    <w:rsid w:val="007052F6"/>
    <w:rsid w:val="00707C5B"/>
    <w:rsid w:val="00714D31"/>
    <w:rsid w:val="00722553"/>
    <w:rsid w:val="007242C3"/>
    <w:rsid w:val="00731553"/>
    <w:rsid w:val="007338A8"/>
    <w:rsid w:val="00733E62"/>
    <w:rsid w:val="00737DA7"/>
    <w:rsid w:val="0074376E"/>
    <w:rsid w:val="0074572E"/>
    <w:rsid w:val="00755E8F"/>
    <w:rsid w:val="00756129"/>
    <w:rsid w:val="007656DB"/>
    <w:rsid w:val="00771BB2"/>
    <w:rsid w:val="007747A7"/>
    <w:rsid w:val="00784996"/>
    <w:rsid w:val="007858EC"/>
    <w:rsid w:val="007916E1"/>
    <w:rsid w:val="00792321"/>
    <w:rsid w:val="00795093"/>
    <w:rsid w:val="007A2E26"/>
    <w:rsid w:val="007A2FB7"/>
    <w:rsid w:val="007B07A6"/>
    <w:rsid w:val="007B78C3"/>
    <w:rsid w:val="007C16DB"/>
    <w:rsid w:val="007C28FE"/>
    <w:rsid w:val="007C7E59"/>
    <w:rsid w:val="007D359A"/>
    <w:rsid w:val="007D70F6"/>
    <w:rsid w:val="007E0552"/>
    <w:rsid w:val="007E0DD5"/>
    <w:rsid w:val="007E29C9"/>
    <w:rsid w:val="007E2CE3"/>
    <w:rsid w:val="007E5D42"/>
    <w:rsid w:val="007E62EA"/>
    <w:rsid w:val="007F1D39"/>
    <w:rsid w:val="007F3219"/>
    <w:rsid w:val="007F5004"/>
    <w:rsid w:val="007F6410"/>
    <w:rsid w:val="0080002B"/>
    <w:rsid w:val="00802121"/>
    <w:rsid w:val="008037DB"/>
    <w:rsid w:val="00806C60"/>
    <w:rsid w:val="008071E1"/>
    <w:rsid w:val="008102B1"/>
    <w:rsid w:val="00811B54"/>
    <w:rsid w:val="0081567A"/>
    <w:rsid w:val="008176EC"/>
    <w:rsid w:val="008223C5"/>
    <w:rsid w:val="00825437"/>
    <w:rsid w:val="008275FF"/>
    <w:rsid w:val="00837816"/>
    <w:rsid w:val="00854900"/>
    <w:rsid w:val="00863328"/>
    <w:rsid w:val="008729AE"/>
    <w:rsid w:val="00874B4B"/>
    <w:rsid w:val="00875C0A"/>
    <w:rsid w:val="0088223B"/>
    <w:rsid w:val="0088227D"/>
    <w:rsid w:val="008833FA"/>
    <w:rsid w:val="00884CF1"/>
    <w:rsid w:val="008901E7"/>
    <w:rsid w:val="008917C0"/>
    <w:rsid w:val="00891B27"/>
    <w:rsid w:val="00892CF9"/>
    <w:rsid w:val="0089313F"/>
    <w:rsid w:val="0089422D"/>
    <w:rsid w:val="00894797"/>
    <w:rsid w:val="008A1195"/>
    <w:rsid w:val="008A1AE8"/>
    <w:rsid w:val="008A3859"/>
    <w:rsid w:val="008A5E93"/>
    <w:rsid w:val="008A785A"/>
    <w:rsid w:val="008B0BFE"/>
    <w:rsid w:val="008B6343"/>
    <w:rsid w:val="008B674B"/>
    <w:rsid w:val="008C0645"/>
    <w:rsid w:val="008C676B"/>
    <w:rsid w:val="008D0253"/>
    <w:rsid w:val="008D22F5"/>
    <w:rsid w:val="008E17FA"/>
    <w:rsid w:val="008E2615"/>
    <w:rsid w:val="008E2876"/>
    <w:rsid w:val="008F0277"/>
    <w:rsid w:val="008F059B"/>
    <w:rsid w:val="008F1430"/>
    <w:rsid w:val="008F1CE1"/>
    <w:rsid w:val="008F2818"/>
    <w:rsid w:val="008F2B1A"/>
    <w:rsid w:val="008F7893"/>
    <w:rsid w:val="009021F3"/>
    <w:rsid w:val="00903B6F"/>
    <w:rsid w:val="009052A7"/>
    <w:rsid w:val="0090752D"/>
    <w:rsid w:val="00912F0D"/>
    <w:rsid w:val="009177B8"/>
    <w:rsid w:val="0092086D"/>
    <w:rsid w:val="009229EA"/>
    <w:rsid w:val="00925AB1"/>
    <w:rsid w:val="00926EF3"/>
    <w:rsid w:val="00940BF6"/>
    <w:rsid w:val="0094593C"/>
    <w:rsid w:val="00961B0D"/>
    <w:rsid w:val="00967F77"/>
    <w:rsid w:val="00970216"/>
    <w:rsid w:val="00971428"/>
    <w:rsid w:val="00972E9A"/>
    <w:rsid w:val="00975355"/>
    <w:rsid w:val="00975957"/>
    <w:rsid w:val="00980004"/>
    <w:rsid w:val="00981DE3"/>
    <w:rsid w:val="009826FF"/>
    <w:rsid w:val="009854A0"/>
    <w:rsid w:val="00992D68"/>
    <w:rsid w:val="009A2755"/>
    <w:rsid w:val="009A5FA7"/>
    <w:rsid w:val="009A6351"/>
    <w:rsid w:val="009B17B3"/>
    <w:rsid w:val="009B2C63"/>
    <w:rsid w:val="009B70E4"/>
    <w:rsid w:val="009C3CD3"/>
    <w:rsid w:val="009C4DC4"/>
    <w:rsid w:val="009C5C1F"/>
    <w:rsid w:val="009C6169"/>
    <w:rsid w:val="009C6BE5"/>
    <w:rsid w:val="009D259A"/>
    <w:rsid w:val="009D460C"/>
    <w:rsid w:val="009D4F6E"/>
    <w:rsid w:val="009E181B"/>
    <w:rsid w:val="009E2C63"/>
    <w:rsid w:val="009E31DB"/>
    <w:rsid w:val="009F27C5"/>
    <w:rsid w:val="009F58D1"/>
    <w:rsid w:val="00A009E9"/>
    <w:rsid w:val="00A1006E"/>
    <w:rsid w:val="00A1036F"/>
    <w:rsid w:val="00A11682"/>
    <w:rsid w:val="00A1307E"/>
    <w:rsid w:val="00A15502"/>
    <w:rsid w:val="00A164E2"/>
    <w:rsid w:val="00A23CE0"/>
    <w:rsid w:val="00A27DCE"/>
    <w:rsid w:val="00A32345"/>
    <w:rsid w:val="00A3496C"/>
    <w:rsid w:val="00A4068B"/>
    <w:rsid w:val="00A42809"/>
    <w:rsid w:val="00A43D27"/>
    <w:rsid w:val="00A510BE"/>
    <w:rsid w:val="00A54B3C"/>
    <w:rsid w:val="00A6340E"/>
    <w:rsid w:val="00A64669"/>
    <w:rsid w:val="00A71200"/>
    <w:rsid w:val="00A91FCD"/>
    <w:rsid w:val="00A93BEB"/>
    <w:rsid w:val="00A94C75"/>
    <w:rsid w:val="00A9502A"/>
    <w:rsid w:val="00AA109D"/>
    <w:rsid w:val="00AA4E37"/>
    <w:rsid w:val="00AA7796"/>
    <w:rsid w:val="00AB1197"/>
    <w:rsid w:val="00AB11B3"/>
    <w:rsid w:val="00AB164A"/>
    <w:rsid w:val="00AB34D4"/>
    <w:rsid w:val="00AB52D8"/>
    <w:rsid w:val="00AB6A0E"/>
    <w:rsid w:val="00AB71F7"/>
    <w:rsid w:val="00AB7FC7"/>
    <w:rsid w:val="00AC0115"/>
    <w:rsid w:val="00AC0BBC"/>
    <w:rsid w:val="00AC3018"/>
    <w:rsid w:val="00AC3DF0"/>
    <w:rsid w:val="00AC454B"/>
    <w:rsid w:val="00AC64B5"/>
    <w:rsid w:val="00AC775E"/>
    <w:rsid w:val="00AD0199"/>
    <w:rsid w:val="00AD16B6"/>
    <w:rsid w:val="00AD2F52"/>
    <w:rsid w:val="00AD60BB"/>
    <w:rsid w:val="00AF0D70"/>
    <w:rsid w:val="00AF1B50"/>
    <w:rsid w:val="00AF70D8"/>
    <w:rsid w:val="00AF7738"/>
    <w:rsid w:val="00AF7FCB"/>
    <w:rsid w:val="00B05605"/>
    <w:rsid w:val="00B05908"/>
    <w:rsid w:val="00B07A75"/>
    <w:rsid w:val="00B147C7"/>
    <w:rsid w:val="00B15344"/>
    <w:rsid w:val="00B16DAC"/>
    <w:rsid w:val="00B1751D"/>
    <w:rsid w:val="00B207C9"/>
    <w:rsid w:val="00B37210"/>
    <w:rsid w:val="00B42945"/>
    <w:rsid w:val="00B4521D"/>
    <w:rsid w:val="00B46CA8"/>
    <w:rsid w:val="00B47F91"/>
    <w:rsid w:val="00B50EBB"/>
    <w:rsid w:val="00B5364A"/>
    <w:rsid w:val="00B807A1"/>
    <w:rsid w:val="00B82925"/>
    <w:rsid w:val="00B87410"/>
    <w:rsid w:val="00BA626B"/>
    <w:rsid w:val="00BA6A36"/>
    <w:rsid w:val="00BA6ABD"/>
    <w:rsid w:val="00BB0996"/>
    <w:rsid w:val="00BB3E6D"/>
    <w:rsid w:val="00BB451E"/>
    <w:rsid w:val="00BB6161"/>
    <w:rsid w:val="00BB7501"/>
    <w:rsid w:val="00BB782F"/>
    <w:rsid w:val="00BC1BB0"/>
    <w:rsid w:val="00BD01A9"/>
    <w:rsid w:val="00BD30A7"/>
    <w:rsid w:val="00BD30EB"/>
    <w:rsid w:val="00BE55D2"/>
    <w:rsid w:val="00C02AAA"/>
    <w:rsid w:val="00C10E97"/>
    <w:rsid w:val="00C120BA"/>
    <w:rsid w:val="00C12658"/>
    <w:rsid w:val="00C13A40"/>
    <w:rsid w:val="00C14B94"/>
    <w:rsid w:val="00C2075C"/>
    <w:rsid w:val="00C23547"/>
    <w:rsid w:val="00C25695"/>
    <w:rsid w:val="00C25A46"/>
    <w:rsid w:val="00C2717C"/>
    <w:rsid w:val="00C321E2"/>
    <w:rsid w:val="00C372A4"/>
    <w:rsid w:val="00C437BA"/>
    <w:rsid w:val="00C44A96"/>
    <w:rsid w:val="00C50E10"/>
    <w:rsid w:val="00C55537"/>
    <w:rsid w:val="00C5729C"/>
    <w:rsid w:val="00C61FA2"/>
    <w:rsid w:val="00C6445A"/>
    <w:rsid w:val="00C65305"/>
    <w:rsid w:val="00C67E95"/>
    <w:rsid w:val="00C73B3F"/>
    <w:rsid w:val="00C77C38"/>
    <w:rsid w:val="00C77DC4"/>
    <w:rsid w:val="00C77FFA"/>
    <w:rsid w:val="00C81E91"/>
    <w:rsid w:val="00C837FE"/>
    <w:rsid w:val="00C83CF8"/>
    <w:rsid w:val="00C90D5D"/>
    <w:rsid w:val="00C96D3F"/>
    <w:rsid w:val="00CA48AD"/>
    <w:rsid w:val="00CC0529"/>
    <w:rsid w:val="00CC3832"/>
    <w:rsid w:val="00CC4521"/>
    <w:rsid w:val="00CE0CC0"/>
    <w:rsid w:val="00CF08CA"/>
    <w:rsid w:val="00CF3BD2"/>
    <w:rsid w:val="00CF6727"/>
    <w:rsid w:val="00CF7549"/>
    <w:rsid w:val="00D0474D"/>
    <w:rsid w:val="00D05720"/>
    <w:rsid w:val="00D14F01"/>
    <w:rsid w:val="00D16742"/>
    <w:rsid w:val="00D23B99"/>
    <w:rsid w:val="00D25CD1"/>
    <w:rsid w:val="00D26E6B"/>
    <w:rsid w:val="00D27F64"/>
    <w:rsid w:val="00D32327"/>
    <w:rsid w:val="00D358EE"/>
    <w:rsid w:val="00D40680"/>
    <w:rsid w:val="00D429BC"/>
    <w:rsid w:val="00D430B8"/>
    <w:rsid w:val="00D43AF4"/>
    <w:rsid w:val="00D44919"/>
    <w:rsid w:val="00D4544B"/>
    <w:rsid w:val="00D45920"/>
    <w:rsid w:val="00D47143"/>
    <w:rsid w:val="00D548E4"/>
    <w:rsid w:val="00D6013C"/>
    <w:rsid w:val="00D66713"/>
    <w:rsid w:val="00D70ABD"/>
    <w:rsid w:val="00D71742"/>
    <w:rsid w:val="00D71FF8"/>
    <w:rsid w:val="00D73AB0"/>
    <w:rsid w:val="00D770DA"/>
    <w:rsid w:val="00D77366"/>
    <w:rsid w:val="00D815F4"/>
    <w:rsid w:val="00D81A7C"/>
    <w:rsid w:val="00D828D9"/>
    <w:rsid w:val="00D83537"/>
    <w:rsid w:val="00D9234D"/>
    <w:rsid w:val="00DA0FBA"/>
    <w:rsid w:val="00DA6FDE"/>
    <w:rsid w:val="00DB0DD1"/>
    <w:rsid w:val="00DB1CD7"/>
    <w:rsid w:val="00DB3A80"/>
    <w:rsid w:val="00DB5F26"/>
    <w:rsid w:val="00DB68BC"/>
    <w:rsid w:val="00DC16DD"/>
    <w:rsid w:val="00DC3B89"/>
    <w:rsid w:val="00DD07A0"/>
    <w:rsid w:val="00DD3CE9"/>
    <w:rsid w:val="00DD600A"/>
    <w:rsid w:val="00DE0285"/>
    <w:rsid w:val="00DE1ED4"/>
    <w:rsid w:val="00DE4448"/>
    <w:rsid w:val="00DE523B"/>
    <w:rsid w:val="00DE5EC5"/>
    <w:rsid w:val="00DE7477"/>
    <w:rsid w:val="00DE78DE"/>
    <w:rsid w:val="00DF00BB"/>
    <w:rsid w:val="00DF1256"/>
    <w:rsid w:val="00DF188E"/>
    <w:rsid w:val="00DF4ACE"/>
    <w:rsid w:val="00DF587C"/>
    <w:rsid w:val="00E01633"/>
    <w:rsid w:val="00E037BA"/>
    <w:rsid w:val="00E03D0F"/>
    <w:rsid w:val="00E03DA0"/>
    <w:rsid w:val="00E04EE7"/>
    <w:rsid w:val="00E0700B"/>
    <w:rsid w:val="00E113E8"/>
    <w:rsid w:val="00E17913"/>
    <w:rsid w:val="00E20A0A"/>
    <w:rsid w:val="00E20E3B"/>
    <w:rsid w:val="00E248E4"/>
    <w:rsid w:val="00E32FBE"/>
    <w:rsid w:val="00E336B9"/>
    <w:rsid w:val="00E40A00"/>
    <w:rsid w:val="00E41C2F"/>
    <w:rsid w:val="00E517C2"/>
    <w:rsid w:val="00E5235C"/>
    <w:rsid w:val="00E56382"/>
    <w:rsid w:val="00E642F6"/>
    <w:rsid w:val="00E6762B"/>
    <w:rsid w:val="00E72B7D"/>
    <w:rsid w:val="00E73BD1"/>
    <w:rsid w:val="00E7498E"/>
    <w:rsid w:val="00E80627"/>
    <w:rsid w:val="00E8121D"/>
    <w:rsid w:val="00E905FB"/>
    <w:rsid w:val="00E9074E"/>
    <w:rsid w:val="00E943FD"/>
    <w:rsid w:val="00E956F4"/>
    <w:rsid w:val="00E97D48"/>
    <w:rsid w:val="00EB41F4"/>
    <w:rsid w:val="00EB58C9"/>
    <w:rsid w:val="00EB5BB6"/>
    <w:rsid w:val="00EB6596"/>
    <w:rsid w:val="00EC56AE"/>
    <w:rsid w:val="00EE4E9E"/>
    <w:rsid w:val="00EE53A5"/>
    <w:rsid w:val="00F01ACB"/>
    <w:rsid w:val="00F033F1"/>
    <w:rsid w:val="00F10CFE"/>
    <w:rsid w:val="00F1212C"/>
    <w:rsid w:val="00F13714"/>
    <w:rsid w:val="00F154A9"/>
    <w:rsid w:val="00F250EA"/>
    <w:rsid w:val="00F25199"/>
    <w:rsid w:val="00F265CD"/>
    <w:rsid w:val="00F26E20"/>
    <w:rsid w:val="00F312DB"/>
    <w:rsid w:val="00F31586"/>
    <w:rsid w:val="00F36CAF"/>
    <w:rsid w:val="00F43E73"/>
    <w:rsid w:val="00F45CF2"/>
    <w:rsid w:val="00F45F87"/>
    <w:rsid w:val="00F46FC6"/>
    <w:rsid w:val="00F5279C"/>
    <w:rsid w:val="00F5287A"/>
    <w:rsid w:val="00F55262"/>
    <w:rsid w:val="00F5541C"/>
    <w:rsid w:val="00F56894"/>
    <w:rsid w:val="00F57A1F"/>
    <w:rsid w:val="00F64591"/>
    <w:rsid w:val="00F773D2"/>
    <w:rsid w:val="00F80450"/>
    <w:rsid w:val="00F83845"/>
    <w:rsid w:val="00F849BB"/>
    <w:rsid w:val="00F8632D"/>
    <w:rsid w:val="00F9036D"/>
    <w:rsid w:val="00F90A62"/>
    <w:rsid w:val="00F9118E"/>
    <w:rsid w:val="00F927DF"/>
    <w:rsid w:val="00F93500"/>
    <w:rsid w:val="00F95EE9"/>
    <w:rsid w:val="00F97C77"/>
    <w:rsid w:val="00FA002C"/>
    <w:rsid w:val="00FA6C91"/>
    <w:rsid w:val="00FA714C"/>
    <w:rsid w:val="00FB1A79"/>
    <w:rsid w:val="00FB225B"/>
    <w:rsid w:val="00FB3838"/>
    <w:rsid w:val="00FB40B0"/>
    <w:rsid w:val="00FB4B57"/>
    <w:rsid w:val="00FC1454"/>
    <w:rsid w:val="00FC14EE"/>
    <w:rsid w:val="00FC24A4"/>
    <w:rsid w:val="00FC7D5E"/>
    <w:rsid w:val="00FE5826"/>
    <w:rsid w:val="00FE7AE7"/>
    <w:rsid w:val="00FF2B2A"/>
    <w:rsid w:val="010A2A30"/>
    <w:rsid w:val="01510052"/>
    <w:rsid w:val="01AA1D3F"/>
    <w:rsid w:val="024535A0"/>
    <w:rsid w:val="025713CD"/>
    <w:rsid w:val="026A6B4E"/>
    <w:rsid w:val="03103CF0"/>
    <w:rsid w:val="03605A7E"/>
    <w:rsid w:val="05482F86"/>
    <w:rsid w:val="05C47699"/>
    <w:rsid w:val="07CB4847"/>
    <w:rsid w:val="083E2F6B"/>
    <w:rsid w:val="08663C4D"/>
    <w:rsid w:val="09423355"/>
    <w:rsid w:val="09E91C03"/>
    <w:rsid w:val="0B58147D"/>
    <w:rsid w:val="0BE206E2"/>
    <w:rsid w:val="0C4B7895"/>
    <w:rsid w:val="0D057491"/>
    <w:rsid w:val="0D533015"/>
    <w:rsid w:val="111127BC"/>
    <w:rsid w:val="11AE07E5"/>
    <w:rsid w:val="134B5D3B"/>
    <w:rsid w:val="13DF1765"/>
    <w:rsid w:val="156B205C"/>
    <w:rsid w:val="15A91FED"/>
    <w:rsid w:val="15E156B9"/>
    <w:rsid w:val="161F2532"/>
    <w:rsid w:val="162C3C3A"/>
    <w:rsid w:val="178E523C"/>
    <w:rsid w:val="179E7E02"/>
    <w:rsid w:val="17A806FA"/>
    <w:rsid w:val="17C9185D"/>
    <w:rsid w:val="1B942028"/>
    <w:rsid w:val="1BE932F7"/>
    <w:rsid w:val="1CBC0E9D"/>
    <w:rsid w:val="1D9C759C"/>
    <w:rsid w:val="1E422969"/>
    <w:rsid w:val="1E547805"/>
    <w:rsid w:val="1E890F8D"/>
    <w:rsid w:val="23AA60EE"/>
    <w:rsid w:val="23ED3D6C"/>
    <w:rsid w:val="245A4308"/>
    <w:rsid w:val="2609117A"/>
    <w:rsid w:val="268D42D9"/>
    <w:rsid w:val="269F479D"/>
    <w:rsid w:val="26EA00EF"/>
    <w:rsid w:val="26F12015"/>
    <w:rsid w:val="26F61BE2"/>
    <w:rsid w:val="27BF7FC2"/>
    <w:rsid w:val="297E48B0"/>
    <w:rsid w:val="2AAB5C47"/>
    <w:rsid w:val="2B400DAF"/>
    <w:rsid w:val="2B88714F"/>
    <w:rsid w:val="2BA44FCF"/>
    <w:rsid w:val="2CFA113B"/>
    <w:rsid w:val="2D355E3C"/>
    <w:rsid w:val="2E7C5B4C"/>
    <w:rsid w:val="2E913FDC"/>
    <w:rsid w:val="2F1D5B45"/>
    <w:rsid w:val="3131735B"/>
    <w:rsid w:val="313E4483"/>
    <w:rsid w:val="38284F1B"/>
    <w:rsid w:val="396E63A7"/>
    <w:rsid w:val="3A0747AD"/>
    <w:rsid w:val="3C0A21FA"/>
    <w:rsid w:val="3C6F7D25"/>
    <w:rsid w:val="3CB5279C"/>
    <w:rsid w:val="3CCC246D"/>
    <w:rsid w:val="3CD025DD"/>
    <w:rsid w:val="3D41514F"/>
    <w:rsid w:val="3D4319E8"/>
    <w:rsid w:val="3E025B80"/>
    <w:rsid w:val="3E365605"/>
    <w:rsid w:val="40065126"/>
    <w:rsid w:val="404F6598"/>
    <w:rsid w:val="41BD351D"/>
    <w:rsid w:val="461F369E"/>
    <w:rsid w:val="467725D9"/>
    <w:rsid w:val="47150D60"/>
    <w:rsid w:val="477261B2"/>
    <w:rsid w:val="47732924"/>
    <w:rsid w:val="4775525E"/>
    <w:rsid w:val="4835032C"/>
    <w:rsid w:val="48EE70C8"/>
    <w:rsid w:val="48FB2B49"/>
    <w:rsid w:val="496F0BFB"/>
    <w:rsid w:val="4AD35957"/>
    <w:rsid w:val="4BE77129"/>
    <w:rsid w:val="4C0C1A5F"/>
    <w:rsid w:val="4C48076C"/>
    <w:rsid w:val="4CFC7BF8"/>
    <w:rsid w:val="4D03117E"/>
    <w:rsid w:val="4D40640B"/>
    <w:rsid w:val="4EDB5C80"/>
    <w:rsid w:val="502D711A"/>
    <w:rsid w:val="504827BD"/>
    <w:rsid w:val="50E739B3"/>
    <w:rsid w:val="51362D97"/>
    <w:rsid w:val="5147420C"/>
    <w:rsid w:val="52CB4BE4"/>
    <w:rsid w:val="531258E5"/>
    <w:rsid w:val="53AA56F7"/>
    <w:rsid w:val="53C06DC4"/>
    <w:rsid w:val="540E41C7"/>
    <w:rsid w:val="542039B0"/>
    <w:rsid w:val="55CF2DF6"/>
    <w:rsid w:val="567354E3"/>
    <w:rsid w:val="56D71D82"/>
    <w:rsid w:val="56F733D4"/>
    <w:rsid w:val="57B72571"/>
    <w:rsid w:val="5806097D"/>
    <w:rsid w:val="584E61E8"/>
    <w:rsid w:val="586631C9"/>
    <w:rsid w:val="58BE38E3"/>
    <w:rsid w:val="58E267D9"/>
    <w:rsid w:val="5B276AEE"/>
    <w:rsid w:val="5C2A7A93"/>
    <w:rsid w:val="5C461A97"/>
    <w:rsid w:val="5D1032C9"/>
    <w:rsid w:val="5DD16269"/>
    <w:rsid w:val="609570E0"/>
    <w:rsid w:val="613C2F14"/>
    <w:rsid w:val="628404D4"/>
    <w:rsid w:val="62882711"/>
    <w:rsid w:val="635561D4"/>
    <w:rsid w:val="64AD1D49"/>
    <w:rsid w:val="655F0113"/>
    <w:rsid w:val="657B5DDA"/>
    <w:rsid w:val="66243470"/>
    <w:rsid w:val="671B7521"/>
    <w:rsid w:val="6749107D"/>
    <w:rsid w:val="682278DC"/>
    <w:rsid w:val="682D24AB"/>
    <w:rsid w:val="6959537A"/>
    <w:rsid w:val="6BBE20A7"/>
    <w:rsid w:val="6C705F6D"/>
    <w:rsid w:val="6CB402C6"/>
    <w:rsid w:val="6DF74B57"/>
    <w:rsid w:val="6E900B48"/>
    <w:rsid w:val="6FC43175"/>
    <w:rsid w:val="706A32BC"/>
    <w:rsid w:val="70A703CB"/>
    <w:rsid w:val="712E463F"/>
    <w:rsid w:val="72331F17"/>
    <w:rsid w:val="72F5203C"/>
    <w:rsid w:val="73E62BC2"/>
    <w:rsid w:val="754F7BBF"/>
    <w:rsid w:val="75707881"/>
    <w:rsid w:val="75B570E6"/>
    <w:rsid w:val="777F79AC"/>
    <w:rsid w:val="787D332F"/>
    <w:rsid w:val="7B787971"/>
    <w:rsid w:val="7D836308"/>
    <w:rsid w:val="7DCB71A1"/>
    <w:rsid w:val="7F2A392C"/>
    <w:rsid w:val="7F6D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DF76F"/>
  <w15:docId w15:val="{20721BFE-2DA0-4584-BE76-80592A29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spacing w:line="560" w:lineRule="exact"/>
      <w:ind w:firstLineChars="200" w:firstLine="200"/>
      <w:jc w:val="both"/>
    </w:pPr>
    <w:rPr>
      <w:rFonts w:eastAsia="仿宋"/>
      <w:kern w:val="2"/>
      <w:sz w:val="32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ind w:firstLineChars="0" w:firstLine="0"/>
    </w:pPr>
    <w:rPr>
      <w:rFonts w:asciiTheme="minorEastAsia" w:eastAsiaTheme="minorEastAsia" w:hAnsiTheme="minorEastAsia"/>
      <w:sz w:val="21"/>
      <w:szCs w:val="21"/>
    </w:rPr>
  </w:style>
  <w:style w:type="paragraph" w:styleId="a4">
    <w:name w:val="annotation text"/>
    <w:basedOn w:val="a"/>
    <w:autoRedefine/>
    <w:qFormat/>
    <w:pPr>
      <w:jc w:val="left"/>
    </w:p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1"/>
    <w:autoRedefine/>
    <w:qFormat/>
    <w:rPr>
      <w:i/>
    </w:rPr>
  </w:style>
  <w:style w:type="character" w:customStyle="1" w:styleId="a8">
    <w:name w:val="页眉 字符"/>
    <w:basedOn w:val="a1"/>
    <w:link w:val="a7"/>
    <w:autoRedefine/>
    <w:qFormat/>
    <w:rPr>
      <w:rFonts w:ascii="Times New Roman" w:eastAsia="仿宋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1"/>
    <w:link w:val="a5"/>
    <w:autoRedefine/>
    <w:qFormat/>
    <w:rPr>
      <w:rFonts w:ascii="Times New Roman" w:eastAsia="仿宋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1"/>
    <w:link w:val="1"/>
    <w:autoRedefine/>
    <w:qFormat/>
    <w:rPr>
      <w:rFonts w:ascii="Times New Roman" w:eastAsia="仿宋" w:hAnsi="Times New Roman" w:cs="Times New Roman"/>
      <w:b/>
      <w:bCs/>
      <w:kern w:val="44"/>
      <w:sz w:val="44"/>
      <w:szCs w:val="44"/>
    </w:rPr>
  </w:style>
  <w:style w:type="paragraph" w:customStyle="1" w:styleId="11">
    <w:name w:val="修订1"/>
    <w:autoRedefine/>
    <w:hidden/>
    <w:uiPriority w:val="99"/>
    <w:semiHidden/>
    <w:qFormat/>
    <w:rPr>
      <w:rFonts w:eastAsia="仿宋"/>
      <w:kern w:val="2"/>
      <w:sz w:val="32"/>
    </w:rPr>
  </w:style>
  <w:style w:type="paragraph" w:styleId="ac">
    <w:name w:val="List Paragraph"/>
    <w:basedOn w:val="a"/>
    <w:autoRedefine/>
    <w:uiPriority w:val="99"/>
    <w:qFormat/>
    <w:pPr>
      <w:ind w:firstLine="420"/>
    </w:pPr>
  </w:style>
  <w:style w:type="paragraph" w:customStyle="1" w:styleId="Style154">
    <w:name w:val="_Style 154"/>
    <w:basedOn w:val="Style123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tyle123">
    <w:name w:val="_Style 123"/>
    <w:autoRedefine/>
    <w:qFormat/>
    <w:pPr>
      <w:widowControl w:val="0"/>
      <w:jc w:val="both"/>
    </w:pPr>
    <w:rPr>
      <w:kern w:val="2"/>
      <w:sz w:val="21"/>
      <w:szCs w:val="21"/>
    </w:rPr>
  </w:style>
  <w:style w:type="paragraph" w:customStyle="1" w:styleId="2">
    <w:name w:val="修订2"/>
    <w:autoRedefine/>
    <w:hidden/>
    <w:uiPriority w:val="99"/>
    <w:unhideWhenUsed/>
    <w:qFormat/>
    <w:rPr>
      <w:rFonts w:eastAsia="仿宋"/>
      <w:kern w:val="2"/>
      <w:sz w:val="32"/>
    </w:rPr>
  </w:style>
  <w:style w:type="paragraph" w:customStyle="1" w:styleId="3">
    <w:name w:val="修订3"/>
    <w:autoRedefine/>
    <w:hidden/>
    <w:uiPriority w:val="99"/>
    <w:unhideWhenUsed/>
    <w:qFormat/>
    <w:rPr>
      <w:rFonts w:eastAsia="仿宋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0C2F-C8F9-4A28-A5C1-A3860DBA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li.jiang</dc:creator>
  <cp:lastModifiedBy>Administrator</cp:lastModifiedBy>
  <cp:revision>4</cp:revision>
  <cp:lastPrinted>2023-08-15T08:51:00Z</cp:lastPrinted>
  <dcterms:created xsi:type="dcterms:W3CDTF">2024-01-24T06:07:00Z</dcterms:created>
  <dcterms:modified xsi:type="dcterms:W3CDTF">2024-01-25T08:24:00Z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E8EF0838C03D4954A22DEE4C6CCEF44F_13</vt:lpwstr>
  </property>
</Properties>
</file>