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宋体"/>
          <w:b/>
          <w:bCs/>
          <w:sz w:val="30"/>
          <w:szCs w:val="30"/>
        </w:rPr>
      </w:pPr>
      <w:r>
        <w:rPr>
          <w:rFonts w:hint="eastAsia" w:ascii="Times New Roman" w:hAnsi="Times New Roman" w:eastAsia="宋体" w:cs="宋体"/>
          <w:b/>
          <w:bCs/>
          <w:sz w:val="30"/>
          <w:szCs w:val="30"/>
        </w:rPr>
        <w:t>深圳佰维存储科技股份有限公司</w:t>
      </w:r>
    </w:p>
    <w:p>
      <w:pPr>
        <w:jc w:val="center"/>
        <w:rPr>
          <w:rFonts w:ascii="Times New Roman" w:hAnsi="Times New Roman" w:eastAsia="宋体" w:cs="宋体"/>
          <w:b/>
          <w:bCs/>
          <w:sz w:val="30"/>
          <w:szCs w:val="30"/>
        </w:rPr>
      </w:pPr>
      <w:r>
        <w:rPr>
          <w:rFonts w:hint="eastAsia" w:ascii="Times New Roman" w:hAnsi="Times New Roman" w:eastAsia="宋体" w:cs="宋体"/>
          <w:b/>
          <w:bCs/>
          <w:sz w:val="30"/>
          <w:szCs w:val="30"/>
        </w:rPr>
        <w:t>投资者关系活动记录汇总表</w:t>
      </w:r>
    </w:p>
    <w:p>
      <w:pPr>
        <w:jc w:val="center"/>
        <w:rPr>
          <w:rFonts w:ascii="Times New Roman" w:hAnsi="Times New Roman" w:eastAsia="宋体" w:cs="宋体"/>
          <w:b/>
          <w:bCs/>
          <w:sz w:val="30"/>
          <w:szCs w:val="30"/>
        </w:rPr>
      </w:pPr>
      <w:r>
        <w:rPr>
          <w:rFonts w:hint="eastAsia" w:ascii="Times New Roman" w:hAnsi="Times New Roman" w:eastAsia="宋体" w:cs="宋体"/>
          <w:b/>
          <w:bCs/>
          <w:sz w:val="30"/>
          <w:szCs w:val="30"/>
        </w:rPr>
        <w:t>（2024年</w:t>
      </w:r>
      <w:r>
        <w:rPr>
          <w:rFonts w:ascii="Times New Roman" w:hAnsi="Times New Roman" w:eastAsia="宋体" w:cs="宋体"/>
          <w:b/>
          <w:bCs/>
          <w:sz w:val="30"/>
          <w:szCs w:val="30"/>
        </w:rPr>
        <w:t>1</w:t>
      </w:r>
      <w:r>
        <w:rPr>
          <w:rFonts w:hint="eastAsia" w:ascii="Times New Roman" w:hAnsi="Times New Roman" w:eastAsia="宋体" w:cs="宋体"/>
          <w:b/>
          <w:bCs/>
          <w:sz w:val="30"/>
          <w:szCs w:val="30"/>
        </w:rPr>
        <w:t>月</w:t>
      </w:r>
      <w:r>
        <w:rPr>
          <w:rFonts w:ascii="Times New Roman" w:hAnsi="Times New Roman" w:eastAsia="宋体" w:cs="宋体"/>
          <w:b/>
          <w:bCs/>
          <w:sz w:val="30"/>
          <w:szCs w:val="30"/>
        </w:rPr>
        <w:t>23</w:t>
      </w:r>
      <w:r>
        <w:rPr>
          <w:rFonts w:hint="eastAsia" w:ascii="Times New Roman" w:hAnsi="Times New Roman" w:eastAsia="宋体" w:cs="宋体"/>
          <w:b/>
          <w:bCs/>
          <w:sz w:val="30"/>
          <w:szCs w:val="30"/>
        </w:rPr>
        <w:t>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spacing w:line="240" w:lineRule="atLeast"/>
              <w:jc w:val="center"/>
              <w:rPr>
                <w:rFonts w:ascii="Times New Roman" w:hAnsi="Times New Roman" w:eastAsia="宋体" w:cs="宋体"/>
                <w:b/>
                <w:bCs/>
                <w:szCs w:val="21"/>
              </w:rPr>
            </w:pPr>
            <w:r>
              <w:rPr>
                <w:rFonts w:hint="eastAsia" w:ascii="Times New Roman" w:hAnsi="Times New Roman" w:eastAsia="宋体" w:cs="宋体"/>
                <w:b/>
                <w:bCs/>
                <w:szCs w:val="21"/>
              </w:rPr>
              <w:t>投资者关系活动类别</w:t>
            </w:r>
          </w:p>
        </w:tc>
        <w:tc>
          <w:tcPr>
            <w:tcW w:w="7406" w:type="dxa"/>
          </w:tcPr>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F0FE"/>
            </w:r>
            <w:r>
              <w:rPr>
                <w:rFonts w:hint="eastAsia" w:ascii="Times New Roman" w:hAnsi="Times New Roman" w:eastAsia="宋体" w:cs="宋体"/>
                <w:szCs w:val="21"/>
                <w:shd w:val="clear" w:color="auto" w:fill="FFFFFF"/>
              </w:rPr>
              <w:t xml:space="preserve">特定对象调研                        </w:t>
            </w:r>
            <w:r>
              <w:rPr>
                <w:rFonts w:hint="eastAsia" w:ascii="Times New Roman" w:hAnsi="Times New Roman" w:eastAsia="宋体" w:cs="宋体"/>
                <w:szCs w:val="21"/>
                <w:shd w:val="clear" w:color="auto" w:fill="FFFFFF"/>
              </w:rPr>
              <w:sym w:font="Wingdings" w:char="F0A8"/>
            </w:r>
            <w:r>
              <w:rPr>
                <w:rFonts w:hint="eastAsia" w:ascii="Times New Roman" w:hAnsi="Times New Roman" w:eastAsia="宋体" w:cs="宋体"/>
                <w:szCs w:val="21"/>
                <w:shd w:val="clear" w:color="auto" w:fill="FFFFFF"/>
              </w:rPr>
              <w:t>分析师会议</w:t>
            </w:r>
          </w:p>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媒体采访                            </w:t>
            </w:r>
            <w:r>
              <w:rPr>
                <w:rFonts w:hint="eastAsia" w:ascii="Times New Roman" w:hAnsi="Times New Roman" w:eastAsia="宋体" w:cs="宋体"/>
                <w:szCs w:val="21"/>
                <w:shd w:val="clear" w:color="auto" w:fill="FFFFFF"/>
              </w:rPr>
              <w:sym w:font="Wingdings" w:char="F0A8"/>
            </w:r>
            <w:r>
              <w:rPr>
                <w:rFonts w:hint="eastAsia" w:ascii="Times New Roman" w:hAnsi="Times New Roman" w:eastAsia="宋体" w:cs="宋体"/>
                <w:szCs w:val="21"/>
                <w:shd w:val="clear" w:color="auto" w:fill="FFFFFF"/>
              </w:rPr>
              <w:t>业绩说明会</w:t>
            </w:r>
          </w:p>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新闻发布会                          </w:t>
            </w: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路演活动</w:t>
            </w:r>
          </w:p>
          <w:p>
            <w:pPr>
              <w:wordWrap w:val="0"/>
              <w:topLinePunct/>
              <w:rPr>
                <w:rFonts w:ascii="Times New Roman" w:hAnsi="Times New Roman" w:eastAsia="宋体" w:cs="宋体"/>
                <w:szCs w:val="21"/>
                <w:shd w:val="clear" w:color="auto" w:fill="FFFFFF"/>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专场机构交流会                      </w:t>
            </w:r>
            <w:r>
              <w:rPr>
                <w:rFonts w:hint="eastAsia" w:ascii="Times New Roman" w:hAnsi="Times New Roman" w:eastAsia="宋体" w:cs="宋体"/>
                <w:szCs w:val="21"/>
                <w:shd w:val="clear" w:color="auto" w:fill="FFFFFF"/>
              </w:rPr>
              <w:sym w:font="Wingdings" w:char="F0A8"/>
            </w:r>
            <w:r>
              <w:rPr>
                <w:rFonts w:hint="eastAsia" w:ascii="Times New Roman" w:hAnsi="Times New Roman" w:eastAsia="宋体" w:cs="宋体"/>
                <w:szCs w:val="21"/>
                <w:shd w:val="clear" w:color="auto" w:fill="FFFFFF"/>
              </w:rPr>
              <w:t>现场参观</w:t>
            </w:r>
          </w:p>
          <w:p>
            <w:pPr>
              <w:wordWrap w:val="0"/>
              <w:topLinePunct/>
              <w:rPr>
                <w:rFonts w:ascii="Times New Roman" w:hAnsi="Times New Roman" w:eastAsia="宋体" w:cs="宋体"/>
                <w:szCs w:val="21"/>
              </w:rPr>
            </w:pPr>
            <w:r>
              <w:rPr>
                <w:rFonts w:hint="eastAsia" w:ascii="Times New Roman" w:hAnsi="Times New Roman" w:eastAsia="宋体" w:cs="宋体"/>
                <w:szCs w:val="21"/>
                <w:shd w:val="clear" w:color="auto" w:fill="FFFFFF"/>
              </w:rPr>
              <w:sym w:font="Wingdings" w:char="00A8"/>
            </w:r>
            <w:r>
              <w:rPr>
                <w:rFonts w:hint="eastAsia" w:ascii="Times New Roman" w:hAnsi="Times New Roman" w:eastAsia="宋体" w:cs="宋体"/>
                <w:szCs w:val="21"/>
                <w:shd w:val="clear" w:color="auto" w:fill="FFFFFF"/>
              </w:rPr>
              <w:t xml:space="preserve">其他 </w:t>
            </w:r>
            <w:r>
              <w:rPr>
                <w:rFonts w:hint="eastAsia" w:ascii="Times New Roman" w:hAnsi="Times New Roman" w:eastAsia="宋体" w:cs="宋体"/>
                <w:szCs w:val="21"/>
                <w:u w:val="single"/>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参与单位名称及人员姓名</w:t>
            </w:r>
          </w:p>
        </w:tc>
        <w:tc>
          <w:tcPr>
            <w:tcW w:w="7406" w:type="dxa"/>
          </w:tcPr>
          <w:p>
            <w:pPr>
              <w:widowControl/>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BALYASNY ASSET MANAGEMENT  JAYSON HUANG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BNP PARIBAS INVESTMENT PARTNERS  JEFFREY KWONG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COATUE</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DONALD ZHENG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D E SHAW AND COMPANY INCORPORATED  SHERRY LIANG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FENGHE FUND MANAGEMENT PTE LTD  DEREK ZHANG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FIDELITY INTERNATIONAL</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TERENCE TSAI</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FIDELITY INTERNATIONAL</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TAOSHA WANG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GREENWOODS ASSET MGMT LTD  WEI XU</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MILLENNIUM PARTNERS</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CHUCK YAO</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POLAR CAPITAL PTNRS</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JERRY WU</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POLYMER CAPITAL MANAGEMENT (HK) LIMITED   ANDY KUNG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UBS GLOBAL ASSET MANAGEMENT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SHOU PIN CHOO</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VALUE PARTNERS  GILBERT WONG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JPMORGAN  BILLY FENG</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JPMORGAN  YE LIU</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JPMORGAN  RAE XU</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JPMORGAN  ANQI 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会议时间</w:t>
            </w:r>
          </w:p>
        </w:tc>
        <w:tc>
          <w:tcPr>
            <w:tcW w:w="7406" w:type="dxa"/>
            <w:vAlign w:val="center"/>
          </w:tcPr>
          <w:p>
            <w:pPr>
              <w:wordWrap w:val="0"/>
              <w:topLinePunct/>
              <w:rPr>
                <w:rFonts w:ascii="Times New Roman" w:hAnsi="Times New Roman" w:eastAsia="宋体" w:cs="宋体"/>
                <w:szCs w:val="21"/>
              </w:rPr>
            </w:pPr>
            <w:r>
              <w:rPr>
                <w:rFonts w:hint="eastAsia" w:ascii="Times New Roman" w:hAnsi="Times New Roman" w:eastAsia="宋体" w:cs="宋体"/>
                <w:szCs w:val="21"/>
              </w:rPr>
              <w:t>2024年</w:t>
            </w:r>
            <w:r>
              <w:rPr>
                <w:rFonts w:ascii="Times New Roman" w:hAnsi="Times New Roman" w:eastAsia="宋体" w:cs="宋体"/>
                <w:szCs w:val="21"/>
              </w:rPr>
              <w:t>1</w:t>
            </w:r>
            <w:r>
              <w:rPr>
                <w:rFonts w:hint="eastAsia" w:ascii="Times New Roman" w:hAnsi="Times New Roman" w:eastAsia="宋体" w:cs="宋体"/>
                <w:szCs w:val="21"/>
              </w:rPr>
              <w:t>月</w:t>
            </w:r>
            <w:r>
              <w:rPr>
                <w:rFonts w:ascii="Times New Roman" w:hAnsi="Times New Roman" w:eastAsia="宋体" w:cs="宋体"/>
                <w:szCs w:val="21"/>
              </w:rPr>
              <w:t>23</w:t>
            </w:r>
            <w:r>
              <w:rPr>
                <w:rFonts w:hint="eastAsia" w:ascii="Times New Roman" w:hAnsi="Times New Roman" w:eastAsia="宋体" w:cs="宋体"/>
                <w:szCs w:val="21"/>
              </w:rPr>
              <w:t xml:space="preserve">日 </w:t>
            </w:r>
            <w:r>
              <w:rPr>
                <w:rFonts w:ascii="Times New Roman" w:hAnsi="Times New Roman" w:eastAsia="宋体" w:cs="宋体"/>
                <w:szCs w:val="21"/>
              </w:rPr>
              <w:t>10</w:t>
            </w:r>
            <w:r>
              <w:rPr>
                <w:rFonts w:hint="eastAsia" w:ascii="Times New Roman" w:hAnsi="Times New Roman" w:eastAsia="宋体" w:cs="宋体"/>
                <w:szCs w:val="21"/>
              </w:rPr>
              <w:t>：</w:t>
            </w:r>
            <w:r>
              <w:rPr>
                <w:rFonts w:ascii="Times New Roman" w:hAnsi="Times New Roman" w:eastAsia="宋体" w:cs="宋体"/>
                <w:szCs w:val="21"/>
              </w:rPr>
              <w:t>4</w:t>
            </w:r>
            <w:r>
              <w:rPr>
                <w:rFonts w:hint="eastAsia" w:ascii="Times New Roman" w:hAnsi="Times New Roman" w:eastAsia="宋体" w:cs="宋体"/>
                <w:szCs w:val="21"/>
              </w:rPr>
              <w:t>0</w:t>
            </w:r>
            <w:r>
              <w:rPr>
                <w:rFonts w:ascii="Times New Roman" w:hAnsi="Times New Roman" w:eastAsia="宋体" w:cs="宋体"/>
                <w:szCs w:val="21"/>
              </w:rPr>
              <w:t>-11</w:t>
            </w:r>
            <w:r>
              <w:rPr>
                <w:rFonts w:hint="eastAsia" w:ascii="Times New Roman" w:hAnsi="Times New Roman" w:eastAsia="宋体" w:cs="宋体"/>
                <w:szCs w:val="21"/>
              </w:rPr>
              <w:t>：</w:t>
            </w:r>
            <w:r>
              <w:rPr>
                <w:rFonts w:ascii="Times New Roman" w:hAnsi="Times New Roman" w:eastAsia="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会议地点</w:t>
            </w:r>
          </w:p>
        </w:tc>
        <w:tc>
          <w:tcPr>
            <w:tcW w:w="7406" w:type="dxa"/>
            <w:vAlign w:val="center"/>
          </w:tcPr>
          <w:p>
            <w:pPr>
              <w:wordWrap w:val="0"/>
              <w:topLinePunct/>
              <w:rPr>
                <w:rFonts w:ascii="Times New Roman" w:hAnsi="Times New Roman" w:eastAsia="宋体" w:cs="宋体"/>
                <w:szCs w:val="21"/>
              </w:rPr>
            </w:pPr>
            <w:r>
              <w:rPr>
                <w:rFonts w:hint="eastAsia" w:ascii="Times New Roman" w:hAnsi="Times New Roman" w:eastAsia="宋体" w:cs="宋体"/>
                <w:szCs w:val="21"/>
              </w:rPr>
              <w:t>佰维存储三楼会议室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上市公司接待人员姓名</w:t>
            </w:r>
          </w:p>
        </w:tc>
        <w:tc>
          <w:tcPr>
            <w:tcW w:w="7406" w:type="dxa"/>
            <w:vAlign w:val="center"/>
          </w:tcPr>
          <w:p>
            <w:pPr>
              <w:wordWrap w:val="0"/>
              <w:topLinePunct/>
              <w:rPr>
                <w:rFonts w:ascii="Times New Roman" w:hAnsi="Times New Roman" w:eastAsia="宋体" w:cs="宋体"/>
                <w:szCs w:val="21"/>
              </w:rPr>
            </w:pPr>
            <w:r>
              <w:rPr>
                <w:rFonts w:hint="eastAsia" w:ascii="Times New Roman" w:hAnsi="Times New Roman" w:eastAsia="宋体" w:cs="宋体"/>
                <w:szCs w:val="21"/>
              </w:rPr>
              <w:t>公司管理层</w:t>
            </w:r>
          </w:p>
          <w:p>
            <w:pPr>
              <w:wordWrap w:val="0"/>
              <w:topLinePunct/>
              <w:rPr>
                <w:rFonts w:ascii="Times New Roman" w:hAnsi="Times New Roman" w:eastAsia="宋体" w:cs="宋体"/>
                <w:szCs w:val="21"/>
              </w:rPr>
            </w:pPr>
            <w:r>
              <w:rPr>
                <w:rFonts w:hint="eastAsia" w:ascii="Times New Roman" w:hAnsi="Times New Roman" w:eastAsia="宋体" w:cs="宋体"/>
                <w:szCs w:val="21"/>
              </w:rPr>
              <w:t>董办工作人员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投资者关系活动主要内容介绍</w:t>
            </w:r>
          </w:p>
        </w:tc>
        <w:tc>
          <w:tcPr>
            <w:tcW w:w="7406" w:type="dxa"/>
          </w:tcPr>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1</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公司近期的经营情况怎么样？在手订单如何？如何把握周期上行带来的发展机会？</w:t>
            </w:r>
          </w:p>
          <w:p>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w:t>
            </w:r>
            <w:r>
              <w:rPr>
                <w:rFonts w:hint="eastAsia"/>
                <w:szCs w:val="21"/>
              </w:rPr>
              <w:t>公司目前经营情况持续向好，在手订单充足。公司持续深耕存储主业，致力于大客户市场的开拓与突破。同时，公司将继续加大研发投入，完善产业链布局，增强硬科技实力，以更好的把握产业景气度回升实现业绩快速成长。</w:t>
            </w:r>
          </w:p>
          <w:p>
            <w:pPr>
              <w:rPr>
                <w:b/>
                <w:bCs/>
                <w:color w:val="000000" w:themeColor="text1"/>
                <w:szCs w:val="2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2</w:t>
            </w:r>
            <w:r>
              <w:rPr>
                <w:rFonts w:hint="eastAsia"/>
                <w:b/>
                <w:bCs/>
                <w:color w:val="000000" w:themeColor="text1"/>
                <w:szCs w:val="21"/>
                <w14:textFill>
                  <w14:solidFill>
                    <w14:schemeClr w14:val="tx1"/>
                  </w14:solidFill>
                </w14:textFill>
              </w:rPr>
              <w:t>.</w:t>
            </w:r>
            <w:r>
              <w:rPr>
                <w:rFonts w:hint="eastAsia"/>
                <w:b/>
                <w:bCs/>
                <w:color w:val="000000" w:themeColor="text1"/>
                <w14:textFill>
                  <w14:solidFill>
                    <w14:schemeClr w14:val="tx1"/>
                  </w14:solidFill>
                </w14:textFill>
              </w:rPr>
              <w:t xml:space="preserve"> 如何看待</w:t>
            </w:r>
            <w:r>
              <w:rPr>
                <w:rFonts w:hint="eastAsia"/>
                <w:b/>
                <w:bCs/>
              </w:rPr>
              <w:t>AI对存储行业的影响？</w:t>
            </w:r>
          </w:p>
          <w:p>
            <w:pPr>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数据需要存储，存储需要芯片。公司看好AI叠加智能手机、PC、智能穿戴等带来的端侧AI设备增长，将进一步推动存储技术升级和容量提升。此外，随着存算一体技术的发展，算力与存力的深度绑定，也将推动AI服务器的发展。</w:t>
            </w:r>
          </w:p>
          <w:p>
            <w:pPr>
              <w:rPr>
                <w:color w:val="000000" w:themeColor="text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3</w:t>
            </w:r>
            <w:r>
              <w:rPr>
                <w:rFonts w:hint="eastAsia"/>
                <w:b/>
                <w:bCs/>
                <w:color w:val="000000" w:themeColor="text1"/>
                <w:szCs w:val="21"/>
                <w14:textFill>
                  <w14:solidFill>
                    <w14:schemeClr w14:val="tx1"/>
                  </w14:solidFill>
                </w14:textFill>
              </w:rPr>
              <w:t>.</w:t>
            </w:r>
            <w:r>
              <w:rPr>
                <w:rFonts w:hint="eastAsia"/>
                <w:b/>
                <w:bCs/>
                <w:color w:val="000000" w:themeColor="text1"/>
                <w14:textFill>
                  <w14:solidFill>
                    <w14:schemeClr w14:val="tx1"/>
                  </w14:solidFill>
                </w14:textFill>
              </w:rPr>
              <w:t xml:space="preserve"> 2024年的存储行业是否会延续涨价？</w:t>
            </w:r>
          </w:p>
          <w:p>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预期2024年行业将迎来景气复苏，Q1存储产品价格将延续涨价势头，可参考行业机构发布的相关研究报告。</w:t>
            </w:r>
          </w:p>
          <w:p/>
          <w:p>
            <w:pPr>
              <w:widowControl/>
              <w:jc w:val="left"/>
              <w:rPr>
                <w:rFonts w:ascii="宋体" w:hAnsi="宋体" w:eastAsia="宋体" w:cs="宋体"/>
                <w:color w:val="000000" w:themeColor="text1"/>
                <w:kern w:val="0"/>
                <w:sz w:val="24"/>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4</w:t>
            </w:r>
            <w:r>
              <w:rPr>
                <w:rFonts w:hint="eastAsia"/>
                <w:b/>
                <w:bCs/>
                <w:color w:val="000000" w:themeColor="text1"/>
                <w:szCs w:val="21"/>
                <w14:textFill>
                  <w14:solidFill>
                    <w14:schemeClr w14:val="tx1"/>
                  </w14:solidFill>
                </w14:textFill>
              </w:rPr>
              <w:t>.</w:t>
            </w:r>
            <w:r>
              <w:rPr>
                <w:rFonts w:hint="eastAsia"/>
                <w:b/>
                <w:bCs/>
                <w:color w:val="000000" w:themeColor="text1"/>
                <w14:textFill>
                  <w14:solidFill>
                    <w14:schemeClr w14:val="tx1"/>
                  </w14:solidFill>
                </w14:textFill>
              </w:rPr>
              <w:t xml:space="preserve"> 公司的上游供应商有哪些？</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：公司已经和全球主要存储晶圆原厂、经销商建立了长期稳定的合作关系，可以保障存储晶圆供应的持续、稳定；与慧荣科技、联芸科技、英韧科技等行业内主流主控芯片供应商也建立了长期稳定的合作关系。</w:t>
            </w:r>
          </w:p>
          <w:p>
            <w:pPr>
              <w:rPr>
                <w:b/>
                <w:bCs/>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5</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公司在行业周期下行时的备货是否会提升公司的毛利率？</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：公司在周期低点加强战略备库，预期2</w:t>
            </w:r>
            <w:r>
              <w:rPr>
                <w:color w:val="000000" w:themeColor="text1"/>
                <w:szCs w:val="21"/>
                <w14:textFill>
                  <w14:solidFill>
                    <w14:schemeClr w14:val="tx1"/>
                  </w14:solidFill>
                </w14:textFill>
              </w:rPr>
              <w:t>024</w:t>
            </w:r>
            <w:r>
              <w:rPr>
                <w:rFonts w:hint="eastAsia"/>
                <w:color w:val="000000" w:themeColor="text1"/>
                <w:szCs w:val="21"/>
                <w14:textFill>
                  <w14:solidFill>
                    <w14:schemeClr w14:val="tx1"/>
                  </w14:solidFill>
                </w14:textFill>
              </w:rPr>
              <w:t>年行业将迎来景气复苏，会在一定程度上改善公司的毛利率。</w:t>
            </w:r>
          </w:p>
          <w:p>
            <w:pPr>
              <w:rPr>
                <w:color w:val="000000" w:themeColor="text1"/>
                <w:szCs w:val="21"/>
                <w14:textFill>
                  <w14:solidFill>
                    <w14:schemeClr w14:val="tx1"/>
                  </w14:solidFill>
                </w14:textFill>
              </w:rPr>
            </w:pPr>
          </w:p>
          <w:p>
            <w:pP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Q</w:t>
            </w:r>
            <w:r>
              <w:rPr>
                <w:b/>
                <w:bCs/>
                <w:color w:val="000000" w:themeColor="text1"/>
                <w:szCs w:val="21"/>
                <w14:textFill>
                  <w14:solidFill>
                    <w14:schemeClr w14:val="tx1"/>
                  </w14:solidFill>
                </w14:textFill>
              </w:rPr>
              <w:t>6</w:t>
            </w:r>
            <w:r>
              <w:rPr>
                <w:rFonts w:hint="eastAsia"/>
                <w:b/>
                <w:bCs/>
                <w:color w:val="000000" w:themeColor="text1"/>
                <w:szCs w:val="21"/>
                <w14:textFill>
                  <w14:solidFill>
                    <w14:schemeClr w14:val="tx1"/>
                  </w14:solidFill>
                </w14:textFill>
              </w:rPr>
              <w:t>.</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目前公司研发的主要方向有哪些？</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：在技术端，公司目前在芯片 IC 设计、固件算法、先进封测和测试设备研发等领域持续创新，同时也在积极布局CXL、晶圆级封测等技术领域；在产品端，主要投入在消费级、工业车规、企业级存储的研发，不断增强公司的核心竞争力，延伸公司的价值链条。</w:t>
            </w:r>
          </w:p>
          <w:p>
            <w:pPr>
              <w:rPr>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附件清单</w:t>
            </w:r>
          </w:p>
        </w:tc>
        <w:tc>
          <w:tcPr>
            <w:tcW w:w="7406" w:type="dxa"/>
          </w:tcPr>
          <w:p>
            <w:pPr>
              <w:wordWrap w:val="0"/>
              <w:topLinePunct/>
              <w:rPr>
                <w:rFonts w:ascii="Times New Roman" w:hAnsi="Times New Roman" w:eastAsia="宋体" w:cs="宋体"/>
                <w:szCs w:val="21"/>
              </w:rPr>
            </w:pPr>
            <w:r>
              <w:rPr>
                <w:rFonts w:hint="eastAsia" w:ascii="Times New Roman" w:hAnsi="Times New Roman" w:eastAsia="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日期</w:t>
            </w:r>
          </w:p>
        </w:tc>
        <w:tc>
          <w:tcPr>
            <w:tcW w:w="7406" w:type="dxa"/>
          </w:tcPr>
          <w:p>
            <w:pPr>
              <w:wordWrap w:val="0"/>
              <w:topLinePunct/>
              <w:rPr>
                <w:rFonts w:ascii="Times New Roman" w:hAnsi="Times New Roman" w:eastAsia="宋体" w:cs="宋体"/>
                <w:szCs w:val="21"/>
              </w:rPr>
            </w:pPr>
            <w:r>
              <w:rPr>
                <w:rFonts w:hint="eastAsia" w:ascii="Times New Roman" w:hAnsi="Times New Roman" w:eastAsia="宋体" w:cs="宋体"/>
                <w:szCs w:val="21"/>
              </w:rPr>
              <w:t>2024年</w:t>
            </w:r>
            <w:r>
              <w:rPr>
                <w:rFonts w:ascii="Times New Roman" w:hAnsi="Times New Roman" w:eastAsia="宋体" w:cs="宋体"/>
                <w:szCs w:val="21"/>
              </w:rPr>
              <w:t>1</w:t>
            </w:r>
            <w:r>
              <w:rPr>
                <w:rFonts w:hint="eastAsia" w:ascii="Times New Roman" w:hAnsi="Times New Roman" w:eastAsia="宋体" w:cs="宋体"/>
                <w:szCs w:val="21"/>
              </w:rPr>
              <w:t>月</w:t>
            </w:r>
            <w:r>
              <w:rPr>
                <w:rFonts w:ascii="Times New Roman" w:hAnsi="Times New Roman" w:eastAsia="宋体" w:cs="宋体"/>
                <w:szCs w:val="21"/>
              </w:rPr>
              <w:t>23</w:t>
            </w:r>
            <w:r>
              <w:rPr>
                <w:rFonts w:hint="eastAsia" w:ascii="Times New Roman" w:hAnsi="Times New Roman" w:eastAsia="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vAlign w:val="center"/>
          </w:tcPr>
          <w:p>
            <w:pPr>
              <w:wordWrap w:val="0"/>
              <w:topLinePunct/>
              <w:jc w:val="center"/>
              <w:rPr>
                <w:rFonts w:ascii="Times New Roman" w:hAnsi="Times New Roman" w:eastAsia="宋体" w:cs="宋体"/>
                <w:b/>
                <w:bCs/>
                <w:szCs w:val="21"/>
              </w:rPr>
            </w:pPr>
            <w:r>
              <w:rPr>
                <w:rFonts w:hint="eastAsia" w:ascii="Times New Roman" w:hAnsi="Times New Roman" w:eastAsia="宋体" w:cs="宋体"/>
                <w:b/>
                <w:bCs/>
                <w:szCs w:val="21"/>
              </w:rPr>
              <w:t>备注</w:t>
            </w:r>
          </w:p>
        </w:tc>
        <w:tc>
          <w:tcPr>
            <w:tcW w:w="7406" w:type="dxa"/>
          </w:tcPr>
          <w:p>
            <w:pPr>
              <w:wordWrap w:val="0"/>
              <w:topLinePunct/>
              <w:ind w:firstLine="420" w:firstLineChars="200"/>
              <w:rPr>
                <w:rFonts w:ascii="Times New Roman" w:hAnsi="Times New Roman" w:eastAsia="宋体" w:cs="宋体"/>
                <w:szCs w:val="21"/>
              </w:rPr>
            </w:pPr>
            <w:r>
              <w:rPr>
                <w:rFonts w:hint="eastAsia" w:ascii="Times New Roman" w:hAnsi="Times New Roman" w:eastAsia="宋体" w:cs="宋体"/>
                <w:szCs w:val="21"/>
              </w:rPr>
              <w:t>接待过程中，公司与投资者进行了充分的交流与沟通，并严格按照公司《信息披露管理制度》等规定，保证信息披露的真实、准确、完整、及时、公平，没有出现未公开重大信息披露等情况。</w:t>
            </w:r>
          </w:p>
        </w:tc>
      </w:tr>
    </w:tbl>
    <w:p>
      <w:pPr>
        <w:rPr>
          <w:rFonts w:ascii="Times New Roman" w:hAnsi="Times New Roman" w:eastAsia="宋体" w:cs="宋体"/>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distribute"/>
      <w:rPr>
        <w:rFonts w:ascii="Times New Roman" w:hAnsi="Times New Roman" w:eastAsia="宋体" w:cs="宋体"/>
        <w:szCs w:val="21"/>
      </w:rPr>
    </w:pPr>
    <w:r>
      <w:rPr>
        <w:rFonts w:hint="eastAsia" w:ascii="Times New Roman" w:hAnsi="Times New Roman" w:eastAsia="宋体" w:cs="宋体"/>
        <w:szCs w:val="21"/>
      </w:rPr>
      <w:t>证券代码：688525                                       证券简称：佰维存储</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VmYmE5MDYxOTlhNDEyNzlhZjRiNmE2NmM5MWNlMmYifQ=="/>
  </w:docVars>
  <w:rsids>
    <w:rsidRoot w:val="6AC1576E"/>
    <w:rsid w:val="00005DE8"/>
    <w:rsid w:val="0000706B"/>
    <w:rsid w:val="00012E7D"/>
    <w:rsid w:val="000157CB"/>
    <w:rsid w:val="00026B52"/>
    <w:rsid w:val="0004273E"/>
    <w:rsid w:val="000427FB"/>
    <w:rsid w:val="00055474"/>
    <w:rsid w:val="00062EF0"/>
    <w:rsid w:val="00071A8C"/>
    <w:rsid w:val="000878B3"/>
    <w:rsid w:val="00092C1D"/>
    <w:rsid w:val="000A50E8"/>
    <w:rsid w:val="000B3869"/>
    <w:rsid w:val="000C0887"/>
    <w:rsid w:val="000C7FE8"/>
    <w:rsid w:val="000D0B68"/>
    <w:rsid w:val="000D3EFA"/>
    <w:rsid w:val="000D47B0"/>
    <w:rsid w:val="000E0BAC"/>
    <w:rsid w:val="000E79C5"/>
    <w:rsid w:val="000F0336"/>
    <w:rsid w:val="000F3EF1"/>
    <w:rsid w:val="00100E20"/>
    <w:rsid w:val="00116553"/>
    <w:rsid w:val="001213BF"/>
    <w:rsid w:val="00130090"/>
    <w:rsid w:val="00134380"/>
    <w:rsid w:val="0014382F"/>
    <w:rsid w:val="00147193"/>
    <w:rsid w:val="00153FD0"/>
    <w:rsid w:val="00171146"/>
    <w:rsid w:val="00173CA8"/>
    <w:rsid w:val="0018509F"/>
    <w:rsid w:val="001A6EB8"/>
    <w:rsid w:val="001A6ED8"/>
    <w:rsid w:val="001A769D"/>
    <w:rsid w:val="001B01A2"/>
    <w:rsid w:val="001B3E19"/>
    <w:rsid w:val="001B6625"/>
    <w:rsid w:val="001C3608"/>
    <w:rsid w:val="001C4A12"/>
    <w:rsid w:val="001E1195"/>
    <w:rsid w:val="001F07B6"/>
    <w:rsid w:val="0020303D"/>
    <w:rsid w:val="002054C3"/>
    <w:rsid w:val="0021107F"/>
    <w:rsid w:val="00213E3C"/>
    <w:rsid w:val="00217A6F"/>
    <w:rsid w:val="00222F71"/>
    <w:rsid w:val="002244D1"/>
    <w:rsid w:val="002263A1"/>
    <w:rsid w:val="00227D69"/>
    <w:rsid w:val="00244407"/>
    <w:rsid w:val="0024599E"/>
    <w:rsid w:val="00250026"/>
    <w:rsid w:val="00256CCD"/>
    <w:rsid w:val="00257408"/>
    <w:rsid w:val="00261964"/>
    <w:rsid w:val="00287EF0"/>
    <w:rsid w:val="002922A4"/>
    <w:rsid w:val="00294303"/>
    <w:rsid w:val="002950C7"/>
    <w:rsid w:val="002976F5"/>
    <w:rsid w:val="002B31FD"/>
    <w:rsid w:val="002B4E1F"/>
    <w:rsid w:val="002C3183"/>
    <w:rsid w:val="002C5BE9"/>
    <w:rsid w:val="002E042E"/>
    <w:rsid w:val="002E1347"/>
    <w:rsid w:val="002E4C29"/>
    <w:rsid w:val="002E4DF3"/>
    <w:rsid w:val="002E5C10"/>
    <w:rsid w:val="003021D0"/>
    <w:rsid w:val="00302EBD"/>
    <w:rsid w:val="00304ECB"/>
    <w:rsid w:val="00312335"/>
    <w:rsid w:val="00316033"/>
    <w:rsid w:val="003223C6"/>
    <w:rsid w:val="00325916"/>
    <w:rsid w:val="00326335"/>
    <w:rsid w:val="003405A4"/>
    <w:rsid w:val="00342FC6"/>
    <w:rsid w:val="003440DC"/>
    <w:rsid w:val="00350028"/>
    <w:rsid w:val="00352423"/>
    <w:rsid w:val="0035334F"/>
    <w:rsid w:val="00357789"/>
    <w:rsid w:val="00366015"/>
    <w:rsid w:val="00385706"/>
    <w:rsid w:val="003863EB"/>
    <w:rsid w:val="00387442"/>
    <w:rsid w:val="003918C9"/>
    <w:rsid w:val="003A269C"/>
    <w:rsid w:val="003A27FF"/>
    <w:rsid w:val="003A6949"/>
    <w:rsid w:val="003B19A6"/>
    <w:rsid w:val="003B3AB5"/>
    <w:rsid w:val="003B687D"/>
    <w:rsid w:val="003C5511"/>
    <w:rsid w:val="003D1487"/>
    <w:rsid w:val="003D2D9C"/>
    <w:rsid w:val="003D3B8E"/>
    <w:rsid w:val="003D7938"/>
    <w:rsid w:val="003F045C"/>
    <w:rsid w:val="003F04D3"/>
    <w:rsid w:val="00400713"/>
    <w:rsid w:val="004032B4"/>
    <w:rsid w:val="004043D6"/>
    <w:rsid w:val="00405C53"/>
    <w:rsid w:val="0040653D"/>
    <w:rsid w:val="00407590"/>
    <w:rsid w:val="0042237A"/>
    <w:rsid w:val="00431DD7"/>
    <w:rsid w:val="00437630"/>
    <w:rsid w:val="00452582"/>
    <w:rsid w:val="00466787"/>
    <w:rsid w:val="004703D7"/>
    <w:rsid w:val="00474BD5"/>
    <w:rsid w:val="00477223"/>
    <w:rsid w:val="00481976"/>
    <w:rsid w:val="00481A8E"/>
    <w:rsid w:val="00482E15"/>
    <w:rsid w:val="00484362"/>
    <w:rsid w:val="00485017"/>
    <w:rsid w:val="00487E7B"/>
    <w:rsid w:val="0049428F"/>
    <w:rsid w:val="004965BE"/>
    <w:rsid w:val="00497237"/>
    <w:rsid w:val="004A26A2"/>
    <w:rsid w:val="004B5CF0"/>
    <w:rsid w:val="004C2CF1"/>
    <w:rsid w:val="004D0B6B"/>
    <w:rsid w:val="004D281B"/>
    <w:rsid w:val="004E6DAB"/>
    <w:rsid w:val="004E7509"/>
    <w:rsid w:val="004F347B"/>
    <w:rsid w:val="004F4DE6"/>
    <w:rsid w:val="004F5356"/>
    <w:rsid w:val="004F6647"/>
    <w:rsid w:val="0050116D"/>
    <w:rsid w:val="00505D22"/>
    <w:rsid w:val="00512877"/>
    <w:rsid w:val="005145AD"/>
    <w:rsid w:val="00517D63"/>
    <w:rsid w:val="005215D5"/>
    <w:rsid w:val="0052300E"/>
    <w:rsid w:val="0053046B"/>
    <w:rsid w:val="00532C81"/>
    <w:rsid w:val="00554E85"/>
    <w:rsid w:val="00556B1A"/>
    <w:rsid w:val="00563952"/>
    <w:rsid w:val="00575010"/>
    <w:rsid w:val="00582739"/>
    <w:rsid w:val="0059132B"/>
    <w:rsid w:val="005A3157"/>
    <w:rsid w:val="005B576A"/>
    <w:rsid w:val="005B65D5"/>
    <w:rsid w:val="005C0476"/>
    <w:rsid w:val="005C5CAD"/>
    <w:rsid w:val="0060422D"/>
    <w:rsid w:val="00604F69"/>
    <w:rsid w:val="00611BC5"/>
    <w:rsid w:val="00613AAF"/>
    <w:rsid w:val="00616D74"/>
    <w:rsid w:val="006200FD"/>
    <w:rsid w:val="006258FA"/>
    <w:rsid w:val="006321C7"/>
    <w:rsid w:val="00636847"/>
    <w:rsid w:val="00646043"/>
    <w:rsid w:val="006503C7"/>
    <w:rsid w:val="00650598"/>
    <w:rsid w:val="0065451B"/>
    <w:rsid w:val="00654BB7"/>
    <w:rsid w:val="006558A2"/>
    <w:rsid w:val="00657826"/>
    <w:rsid w:val="00661D74"/>
    <w:rsid w:val="00666DF6"/>
    <w:rsid w:val="006725BE"/>
    <w:rsid w:val="00673486"/>
    <w:rsid w:val="00673D73"/>
    <w:rsid w:val="00680896"/>
    <w:rsid w:val="00690DFB"/>
    <w:rsid w:val="00693EAC"/>
    <w:rsid w:val="00696C28"/>
    <w:rsid w:val="006A064E"/>
    <w:rsid w:val="006A714D"/>
    <w:rsid w:val="006C5E43"/>
    <w:rsid w:val="006D2841"/>
    <w:rsid w:val="006D521E"/>
    <w:rsid w:val="006E2B9D"/>
    <w:rsid w:val="006E5A6A"/>
    <w:rsid w:val="006F23AE"/>
    <w:rsid w:val="006F35D1"/>
    <w:rsid w:val="006F6FC6"/>
    <w:rsid w:val="0070369D"/>
    <w:rsid w:val="00707323"/>
    <w:rsid w:val="007073A2"/>
    <w:rsid w:val="00712BAD"/>
    <w:rsid w:val="00715B5F"/>
    <w:rsid w:val="00720133"/>
    <w:rsid w:val="007206D4"/>
    <w:rsid w:val="007243DC"/>
    <w:rsid w:val="007265EA"/>
    <w:rsid w:val="007340B9"/>
    <w:rsid w:val="00740E5C"/>
    <w:rsid w:val="00742AA8"/>
    <w:rsid w:val="00744466"/>
    <w:rsid w:val="007475FB"/>
    <w:rsid w:val="00770861"/>
    <w:rsid w:val="00770B4F"/>
    <w:rsid w:val="00770CCC"/>
    <w:rsid w:val="007716D2"/>
    <w:rsid w:val="00771799"/>
    <w:rsid w:val="00771BD9"/>
    <w:rsid w:val="00774A02"/>
    <w:rsid w:val="0077648A"/>
    <w:rsid w:val="007A7B52"/>
    <w:rsid w:val="007B0FE9"/>
    <w:rsid w:val="007B1A71"/>
    <w:rsid w:val="007C2A0C"/>
    <w:rsid w:val="007C3834"/>
    <w:rsid w:val="007C6081"/>
    <w:rsid w:val="007D2150"/>
    <w:rsid w:val="007E2A68"/>
    <w:rsid w:val="007E78D5"/>
    <w:rsid w:val="007F2C92"/>
    <w:rsid w:val="007F3533"/>
    <w:rsid w:val="007F7FCE"/>
    <w:rsid w:val="00817472"/>
    <w:rsid w:val="008243C5"/>
    <w:rsid w:val="00825CC9"/>
    <w:rsid w:val="00826370"/>
    <w:rsid w:val="0083646A"/>
    <w:rsid w:val="00853BB6"/>
    <w:rsid w:val="008602C8"/>
    <w:rsid w:val="00867924"/>
    <w:rsid w:val="0088028C"/>
    <w:rsid w:val="00883717"/>
    <w:rsid w:val="00885239"/>
    <w:rsid w:val="0089329F"/>
    <w:rsid w:val="008A02A4"/>
    <w:rsid w:val="008A244C"/>
    <w:rsid w:val="008A3FAC"/>
    <w:rsid w:val="008A72D2"/>
    <w:rsid w:val="008A76ED"/>
    <w:rsid w:val="008B2169"/>
    <w:rsid w:val="008B3490"/>
    <w:rsid w:val="008B3FFA"/>
    <w:rsid w:val="008D0E15"/>
    <w:rsid w:val="008D52E5"/>
    <w:rsid w:val="008E000F"/>
    <w:rsid w:val="008E099A"/>
    <w:rsid w:val="008E7889"/>
    <w:rsid w:val="008F5F5C"/>
    <w:rsid w:val="0090308A"/>
    <w:rsid w:val="00907341"/>
    <w:rsid w:val="00915DC0"/>
    <w:rsid w:val="00921104"/>
    <w:rsid w:val="00924B61"/>
    <w:rsid w:val="0093656B"/>
    <w:rsid w:val="009431FA"/>
    <w:rsid w:val="00943219"/>
    <w:rsid w:val="0094403A"/>
    <w:rsid w:val="009440CE"/>
    <w:rsid w:val="00950604"/>
    <w:rsid w:val="009558E3"/>
    <w:rsid w:val="009564B3"/>
    <w:rsid w:val="00966934"/>
    <w:rsid w:val="00975B4D"/>
    <w:rsid w:val="0098312F"/>
    <w:rsid w:val="00987C19"/>
    <w:rsid w:val="009B65EB"/>
    <w:rsid w:val="009D19E8"/>
    <w:rsid w:val="009E23FA"/>
    <w:rsid w:val="009E2D6F"/>
    <w:rsid w:val="009F1E9A"/>
    <w:rsid w:val="009F280C"/>
    <w:rsid w:val="009F7C60"/>
    <w:rsid w:val="00A215CB"/>
    <w:rsid w:val="00A21CAB"/>
    <w:rsid w:val="00A374ED"/>
    <w:rsid w:val="00A44337"/>
    <w:rsid w:val="00A474A0"/>
    <w:rsid w:val="00A52016"/>
    <w:rsid w:val="00A60E9B"/>
    <w:rsid w:val="00A745CA"/>
    <w:rsid w:val="00A768D2"/>
    <w:rsid w:val="00AA0C38"/>
    <w:rsid w:val="00AA6A24"/>
    <w:rsid w:val="00AA7453"/>
    <w:rsid w:val="00AC11AA"/>
    <w:rsid w:val="00AC6254"/>
    <w:rsid w:val="00AD157C"/>
    <w:rsid w:val="00AD2504"/>
    <w:rsid w:val="00AE0ECA"/>
    <w:rsid w:val="00AE3865"/>
    <w:rsid w:val="00AF0A93"/>
    <w:rsid w:val="00B01658"/>
    <w:rsid w:val="00B0177D"/>
    <w:rsid w:val="00B0197A"/>
    <w:rsid w:val="00B0515F"/>
    <w:rsid w:val="00B10D20"/>
    <w:rsid w:val="00B15674"/>
    <w:rsid w:val="00B20A9E"/>
    <w:rsid w:val="00B238D7"/>
    <w:rsid w:val="00B32A3C"/>
    <w:rsid w:val="00B35BB9"/>
    <w:rsid w:val="00B4088A"/>
    <w:rsid w:val="00B40949"/>
    <w:rsid w:val="00B413E5"/>
    <w:rsid w:val="00B417D2"/>
    <w:rsid w:val="00B45F4D"/>
    <w:rsid w:val="00B45FF9"/>
    <w:rsid w:val="00B51575"/>
    <w:rsid w:val="00B525E0"/>
    <w:rsid w:val="00B6111A"/>
    <w:rsid w:val="00B63BE9"/>
    <w:rsid w:val="00B6583E"/>
    <w:rsid w:val="00B6698C"/>
    <w:rsid w:val="00B67B17"/>
    <w:rsid w:val="00B71E81"/>
    <w:rsid w:val="00B75C3B"/>
    <w:rsid w:val="00B77144"/>
    <w:rsid w:val="00B77C1C"/>
    <w:rsid w:val="00B822A2"/>
    <w:rsid w:val="00B95496"/>
    <w:rsid w:val="00BA1273"/>
    <w:rsid w:val="00BA5759"/>
    <w:rsid w:val="00BA6C95"/>
    <w:rsid w:val="00BB3693"/>
    <w:rsid w:val="00BB69FD"/>
    <w:rsid w:val="00BC0CA8"/>
    <w:rsid w:val="00BC5EE1"/>
    <w:rsid w:val="00BC66B1"/>
    <w:rsid w:val="00BD5E7E"/>
    <w:rsid w:val="00BE3885"/>
    <w:rsid w:val="00BE7818"/>
    <w:rsid w:val="00BF1F0E"/>
    <w:rsid w:val="00C175B5"/>
    <w:rsid w:val="00C212DB"/>
    <w:rsid w:val="00C35AEF"/>
    <w:rsid w:val="00C50311"/>
    <w:rsid w:val="00C5081D"/>
    <w:rsid w:val="00C53AA3"/>
    <w:rsid w:val="00C55CD6"/>
    <w:rsid w:val="00C6531B"/>
    <w:rsid w:val="00C7122A"/>
    <w:rsid w:val="00C74E8E"/>
    <w:rsid w:val="00C80368"/>
    <w:rsid w:val="00C85D84"/>
    <w:rsid w:val="00C864A3"/>
    <w:rsid w:val="00C93EE4"/>
    <w:rsid w:val="00CA6138"/>
    <w:rsid w:val="00CB29EB"/>
    <w:rsid w:val="00CC79C7"/>
    <w:rsid w:val="00CD66EE"/>
    <w:rsid w:val="00CE209D"/>
    <w:rsid w:val="00D00D65"/>
    <w:rsid w:val="00D05726"/>
    <w:rsid w:val="00D05B83"/>
    <w:rsid w:val="00D1268D"/>
    <w:rsid w:val="00D15ACE"/>
    <w:rsid w:val="00D172AD"/>
    <w:rsid w:val="00D25543"/>
    <w:rsid w:val="00D33B82"/>
    <w:rsid w:val="00D34ECA"/>
    <w:rsid w:val="00D46386"/>
    <w:rsid w:val="00D521C3"/>
    <w:rsid w:val="00D52678"/>
    <w:rsid w:val="00D56575"/>
    <w:rsid w:val="00D62573"/>
    <w:rsid w:val="00D72DB2"/>
    <w:rsid w:val="00D76A29"/>
    <w:rsid w:val="00DA0D97"/>
    <w:rsid w:val="00DA6D2C"/>
    <w:rsid w:val="00DB74E0"/>
    <w:rsid w:val="00DC65F3"/>
    <w:rsid w:val="00DD5401"/>
    <w:rsid w:val="00DE083A"/>
    <w:rsid w:val="00DF10BF"/>
    <w:rsid w:val="00E10EB2"/>
    <w:rsid w:val="00E228CF"/>
    <w:rsid w:val="00E338E1"/>
    <w:rsid w:val="00E33FA0"/>
    <w:rsid w:val="00E4615A"/>
    <w:rsid w:val="00E4688C"/>
    <w:rsid w:val="00E4714F"/>
    <w:rsid w:val="00E60313"/>
    <w:rsid w:val="00E65C1D"/>
    <w:rsid w:val="00E714EC"/>
    <w:rsid w:val="00E8394E"/>
    <w:rsid w:val="00EA699E"/>
    <w:rsid w:val="00EA6BCD"/>
    <w:rsid w:val="00EB230E"/>
    <w:rsid w:val="00EB6FB0"/>
    <w:rsid w:val="00EB746A"/>
    <w:rsid w:val="00EE1791"/>
    <w:rsid w:val="00EE484D"/>
    <w:rsid w:val="00F07ED0"/>
    <w:rsid w:val="00F10B80"/>
    <w:rsid w:val="00F125C9"/>
    <w:rsid w:val="00F13B9D"/>
    <w:rsid w:val="00F20357"/>
    <w:rsid w:val="00F2359E"/>
    <w:rsid w:val="00F278C2"/>
    <w:rsid w:val="00F321A3"/>
    <w:rsid w:val="00F41CF5"/>
    <w:rsid w:val="00F444AC"/>
    <w:rsid w:val="00F54984"/>
    <w:rsid w:val="00F54A04"/>
    <w:rsid w:val="00F62CC1"/>
    <w:rsid w:val="00F80934"/>
    <w:rsid w:val="00F81C9E"/>
    <w:rsid w:val="00F94DB7"/>
    <w:rsid w:val="00F96198"/>
    <w:rsid w:val="00FA26DC"/>
    <w:rsid w:val="00FA2BA5"/>
    <w:rsid w:val="00FA7CB1"/>
    <w:rsid w:val="00FB2ED5"/>
    <w:rsid w:val="00FC0CB6"/>
    <w:rsid w:val="00FC4F18"/>
    <w:rsid w:val="00FC7B5D"/>
    <w:rsid w:val="00FD5299"/>
    <w:rsid w:val="00FE08DE"/>
    <w:rsid w:val="00FE4787"/>
    <w:rsid w:val="00FF5B25"/>
    <w:rsid w:val="0576341B"/>
    <w:rsid w:val="082609BC"/>
    <w:rsid w:val="146925FB"/>
    <w:rsid w:val="1D61352C"/>
    <w:rsid w:val="21E819AE"/>
    <w:rsid w:val="2C3B19B2"/>
    <w:rsid w:val="3599471C"/>
    <w:rsid w:val="3EC407F0"/>
    <w:rsid w:val="439123AD"/>
    <w:rsid w:val="45427A17"/>
    <w:rsid w:val="4D077BC8"/>
    <w:rsid w:val="50706ABC"/>
    <w:rsid w:val="51EF0845"/>
    <w:rsid w:val="5A63604A"/>
    <w:rsid w:val="5ABD56B1"/>
    <w:rsid w:val="603F0141"/>
    <w:rsid w:val="690F37A3"/>
    <w:rsid w:val="6A816DA2"/>
    <w:rsid w:val="6AC1576E"/>
    <w:rsid w:val="6BA16D20"/>
    <w:rsid w:val="6BF223C4"/>
    <w:rsid w:val="780B4948"/>
    <w:rsid w:val="7A7F272C"/>
    <w:rsid w:val="7D2F2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0"/>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annotation subject"/>
    <w:basedOn w:val="2"/>
    <w:next w:val="2"/>
    <w:link w:val="11"/>
    <w:autoRedefine/>
    <w:qFormat/>
    <w:uiPriority w:val="0"/>
    <w:rPr>
      <w:b/>
      <w:bCs/>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autoRedefine/>
    <w:qFormat/>
    <w:uiPriority w:val="0"/>
    <w:rPr>
      <w:sz w:val="21"/>
      <w:szCs w:val="21"/>
    </w:rPr>
  </w:style>
  <w:style w:type="character" w:customStyle="1" w:styleId="10">
    <w:name w:val="批注文字 字符"/>
    <w:basedOn w:val="8"/>
    <w:link w:val="2"/>
    <w:autoRedefine/>
    <w:qFormat/>
    <w:uiPriority w:val="0"/>
    <w:rPr>
      <w:rFonts w:asciiTheme="minorHAnsi" w:hAnsiTheme="minorHAnsi" w:eastAsiaTheme="minorEastAsia" w:cstheme="minorBidi"/>
      <w:kern w:val="2"/>
      <w:sz w:val="21"/>
      <w:szCs w:val="24"/>
    </w:rPr>
  </w:style>
  <w:style w:type="character" w:customStyle="1" w:styleId="11">
    <w:name w:val="批注主题 字符"/>
    <w:basedOn w:val="10"/>
    <w:link w:val="5"/>
    <w:autoRedefine/>
    <w:qFormat/>
    <w:uiPriority w:val="0"/>
    <w:rPr>
      <w:rFonts w:asciiTheme="minorHAnsi" w:hAnsiTheme="minorHAnsi" w:eastAsiaTheme="minorEastAsia" w:cstheme="minorBidi"/>
      <w:b/>
      <w:bCs/>
      <w:kern w:val="2"/>
      <w:sz w:val="21"/>
      <w:szCs w:val="24"/>
    </w:rPr>
  </w:style>
  <w:style w:type="paragraph" w:customStyle="1" w:styleId="12">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3">
    <w:name w:val="Revision"/>
    <w:autoRedefine/>
    <w:hidden/>
    <w:semiHidden/>
    <w:qFormat/>
    <w:uiPriority w:val="99"/>
    <w:rPr>
      <w:rFonts w:asciiTheme="minorHAnsi" w:hAnsiTheme="minorHAnsi" w:eastAsiaTheme="minorEastAsia" w:cstheme="minorBidi"/>
      <w:kern w:val="2"/>
      <w:sz w:val="21"/>
      <w:szCs w:val="24"/>
      <w:lang w:val="en-US" w:eastAsia="zh-CN" w:bidi="ar-SA"/>
    </w:rPr>
  </w:style>
  <w:style w:type="paragraph" w:styleId="14">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251</Words>
  <Characters>1434</Characters>
  <Lines>11</Lines>
  <Paragraphs>3</Paragraphs>
  <TotalTime>1903</TotalTime>
  <ScaleCrop>false</ScaleCrop>
  <LinksUpToDate>false</LinksUpToDate>
  <CharactersWithSpaces>1682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2023-09-25T07:28:00Z</dcterms:created>
  <dc:creator>董咚咚</dc:creator>
  <cp:lastModifiedBy>钟清青</cp:lastModifiedBy>
  <cp:lastPrinted>2023-01-12T08:57:00Z</cp:lastPrinted>
  <dcterms:modified xsi:type="dcterms:W3CDTF">2024-01-25T09:16:20Z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EE497C033D414B1F8566107475CC81B9_13</vt:lpwstr>
  </property>
</Properties>
</file>