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9FA" w:rsidRDefault="000E3609">
      <w:pPr>
        <w:spacing w:line="360" w:lineRule="auto"/>
        <w:jc w:val="left"/>
        <w:rPr>
          <w:rFonts w:ascii="宋体" w:eastAsia="宋体" w:hAnsi="宋体"/>
          <w:sz w:val="24"/>
          <w:szCs w:val="24"/>
        </w:rPr>
      </w:pPr>
      <w:r>
        <w:rPr>
          <w:rFonts w:ascii="宋体" w:eastAsia="宋体" w:hAnsi="宋体" w:hint="eastAsia"/>
          <w:sz w:val="24"/>
          <w:szCs w:val="24"/>
        </w:rPr>
        <w:t xml:space="preserve">证券简称：玲珑轮胎 </w:t>
      </w:r>
      <w:r>
        <w:rPr>
          <w:rFonts w:ascii="宋体" w:eastAsia="宋体" w:hAnsi="宋体"/>
          <w:sz w:val="24"/>
          <w:szCs w:val="24"/>
        </w:rPr>
        <w:t xml:space="preserve">                                  </w:t>
      </w:r>
      <w:r>
        <w:rPr>
          <w:rFonts w:ascii="宋体" w:eastAsia="宋体" w:hAnsi="宋体" w:hint="eastAsia"/>
          <w:sz w:val="24"/>
          <w:szCs w:val="24"/>
        </w:rPr>
        <w:t>证券代码：6</w:t>
      </w:r>
      <w:r>
        <w:rPr>
          <w:rFonts w:ascii="宋体" w:eastAsia="宋体" w:hAnsi="宋体"/>
          <w:sz w:val="24"/>
          <w:szCs w:val="24"/>
        </w:rPr>
        <w:t>01966</w:t>
      </w:r>
    </w:p>
    <w:p w:rsidR="006E69FA" w:rsidRDefault="000E3609">
      <w:pPr>
        <w:spacing w:line="360" w:lineRule="auto"/>
        <w:jc w:val="center"/>
        <w:rPr>
          <w:rFonts w:ascii="宋体" w:eastAsia="宋体" w:hAnsi="宋体"/>
          <w:b/>
          <w:sz w:val="32"/>
          <w:szCs w:val="32"/>
        </w:rPr>
      </w:pPr>
      <w:r>
        <w:rPr>
          <w:rFonts w:ascii="宋体" w:eastAsia="宋体" w:hAnsi="宋体" w:hint="eastAsia"/>
          <w:b/>
          <w:sz w:val="32"/>
          <w:szCs w:val="32"/>
        </w:rPr>
        <w:t>山东玲珑轮胎股份有限公司</w:t>
      </w:r>
    </w:p>
    <w:p w:rsidR="006E69FA" w:rsidRDefault="000E3609">
      <w:pPr>
        <w:spacing w:line="360" w:lineRule="auto"/>
        <w:jc w:val="center"/>
        <w:rPr>
          <w:rFonts w:ascii="宋体" w:eastAsia="宋体" w:hAnsi="宋体"/>
          <w:b/>
          <w:sz w:val="32"/>
          <w:szCs w:val="32"/>
        </w:rPr>
      </w:pPr>
      <w:r>
        <w:rPr>
          <w:rFonts w:ascii="宋体" w:eastAsia="宋体" w:hAnsi="宋体" w:hint="eastAsia"/>
          <w:b/>
          <w:sz w:val="32"/>
          <w:szCs w:val="32"/>
        </w:rPr>
        <w:t>投资者关系活动记录表</w:t>
      </w:r>
    </w:p>
    <w:p w:rsidR="006E69FA" w:rsidRDefault="006E69FA">
      <w:pPr>
        <w:spacing w:line="360" w:lineRule="auto"/>
        <w:jc w:val="right"/>
        <w:rPr>
          <w:rFonts w:ascii="宋体" w:eastAsia="宋体" w:hAnsi="宋体"/>
          <w:b/>
          <w:sz w:val="24"/>
          <w:szCs w:val="24"/>
        </w:rPr>
      </w:pPr>
    </w:p>
    <w:tbl>
      <w:tblPr>
        <w:tblStyle w:val="a7"/>
        <w:tblW w:w="8500" w:type="dxa"/>
        <w:tblLook w:val="04A0" w:firstRow="1" w:lastRow="0" w:firstColumn="1" w:lastColumn="0" w:noHBand="0" w:noVBand="1"/>
      </w:tblPr>
      <w:tblGrid>
        <w:gridCol w:w="2122"/>
        <w:gridCol w:w="6378"/>
      </w:tblGrid>
      <w:tr w:rsidR="006E69FA">
        <w:tc>
          <w:tcPr>
            <w:tcW w:w="2122" w:type="dxa"/>
            <w:vAlign w:val="center"/>
          </w:tcPr>
          <w:p w:rsidR="006E69FA" w:rsidRDefault="000E3609">
            <w:pPr>
              <w:spacing w:line="360" w:lineRule="auto"/>
              <w:jc w:val="center"/>
              <w:rPr>
                <w:rFonts w:ascii="宋体" w:eastAsia="宋体" w:hAnsi="宋体"/>
                <w:b/>
                <w:sz w:val="24"/>
                <w:szCs w:val="24"/>
              </w:rPr>
            </w:pPr>
            <w:r>
              <w:rPr>
                <w:rFonts w:ascii="宋体" w:eastAsia="宋体" w:hAnsi="宋体" w:hint="eastAsia"/>
                <w:b/>
                <w:sz w:val="24"/>
                <w:szCs w:val="24"/>
              </w:rPr>
              <w:t>投资者关系</w:t>
            </w:r>
          </w:p>
          <w:p w:rsidR="006E69FA" w:rsidRDefault="000E3609">
            <w:pPr>
              <w:spacing w:line="360" w:lineRule="auto"/>
              <w:jc w:val="center"/>
              <w:rPr>
                <w:rFonts w:ascii="宋体" w:eastAsia="宋体" w:hAnsi="宋体"/>
                <w:sz w:val="24"/>
                <w:szCs w:val="24"/>
              </w:rPr>
            </w:pPr>
            <w:r>
              <w:rPr>
                <w:rFonts w:ascii="宋体" w:eastAsia="宋体" w:hAnsi="宋体" w:hint="eastAsia"/>
                <w:b/>
                <w:sz w:val="24"/>
                <w:szCs w:val="24"/>
              </w:rPr>
              <w:t>活动类别</w:t>
            </w:r>
          </w:p>
        </w:tc>
        <w:tc>
          <w:tcPr>
            <w:tcW w:w="6378" w:type="dxa"/>
          </w:tcPr>
          <w:p w:rsidR="006E69FA" w:rsidRDefault="00CC4AB2">
            <w:pPr>
              <w:spacing w:line="360" w:lineRule="auto"/>
              <w:jc w:val="left"/>
              <w:rPr>
                <w:rFonts w:ascii="宋体" w:eastAsia="宋体" w:hAnsi="宋体"/>
                <w:sz w:val="24"/>
                <w:szCs w:val="24"/>
              </w:rPr>
            </w:pPr>
            <w:r>
              <w:rPr>
                <w:rFonts w:ascii="宋体" w:eastAsia="宋体" w:hAnsi="宋体" w:hint="eastAsia"/>
                <w:sz w:val="24"/>
                <w:szCs w:val="24"/>
              </w:rPr>
              <w:t>√</w:t>
            </w:r>
            <w:r w:rsidR="000E3609">
              <w:rPr>
                <w:rFonts w:ascii="宋体" w:eastAsia="宋体" w:hAnsi="宋体" w:hint="eastAsia"/>
                <w:sz w:val="24"/>
                <w:szCs w:val="24"/>
              </w:rPr>
              <w:t xml:space="preserve">特定对象调研 </w:t>
            </w:r>
            <w:r w:rsidR="000E3609">
              <w:rPr>
                <w:rFonts w:ascii="宋体" w:eastAsia="宋体" w:hAnsi="宋体"/>
                <w:sz w:val="24"/>
                <w:szCs w:val="24"/>
              </w:rPr>
              <w:t xml:space="preserve">     </w:t>
            </w:r>
            <w:r w:rsidR="000E3609">
              <w:rPr>
                <w:rFonts w:ascii="宋体" w:eastAsia="宋体" w:hAnsi="宋体" w:hint="eastAsia"/>
                <w:sz w:val="24"/>
                <w:szCs w:val="24"/>
              </w:rPr>
              <w:t>□分析师会议</w:t>
            </w:r>
          </w:p>
          <w:p w:rsidR="006E69FA" w:rsidRDefault="000E3609">
            <w:pPr>
              <w:spacing w:line="360" w:lineRule="auto"/>
              <w:jc w:val="left"/>
              <w:rPr>
                <w:rFonts w:ascii="宋体" w:eastAsia="宋体" w:hAnsi="宋体"/>
                <w:sz w:val="24"/>
                <w:szCs w:val="24"/>
              </w:rPr>
            </w:pPr>
            <w:r>
              <w:rPr>
                <w:rFonts w:ascii="宋体" w:eastAsia="宋体" w:hAnsi="宋体" w:hint="eastAsia"/>
                <w:sz w:val="24"/>
                <w:szCs w:val="24"/>
              </w:rPr>
              <w:t xml:space="preserve">□媒体采访 </w:t>
            </w:r>
            <w:r>
              <w:rPr>
                <w:rFonts w:ascii="宋体" w:eastAsia="宋体" w:hAnsi="宋体"/>
                <w:sz w:val="24"/>
                <w:szCs w:val="24"/>
              </w:rPr>
              <w:t xml:space="preserve">       </w:t>
            </w:r>
            <w:r>
              <w:rPr>
                <w:rFonts w:ascii="宋体" w:eastAsia="宋体" w:hAnsi="宋体" w:hint="eastAsia"/>
                <w:sz w:val="24"/>
                <w:szCs w:val="24"/>
              </w:rPr>
              <w:t xml:space="preserve">  </w:t>
            </w:r>
            <w:r w:rsidR="00CC4AB2">
              <w:rPr>
                <w:rFonts w:ascii="宋体" w:eastAsia="宋体" w:hAnsi="宋体" w:hint="eastAsia"/>
                <w:sz w:val="24"/>
                <w:szCs w:val="24"/>
              </w:rPr>
              <w:t>□</w:t>
            </w:r>
            <w:r>
              <w:rPr>
                <w:rFonts w:ascii="宋体" w:eastAsia="宋体" w:hAnsi="宋体" w:hint="eastAsia"/>
                <w:sz w:val="24"/>
                <w:szCs w:val="24"/>
              </w:rPr>
              <w:t>业绩说明会</w:t>
            </w:r>
          </w:p>
          <w:p w:rsidR="006E69FA" w:rsidRDefault="000E3609">
            <w:pPr>
              <w:spacing w:line="360" w:lineRule="auto"/>
              <w:jc w:val="left"/>
              <w:rPr>
                <w:rFonts w:ascii="宋体" w:eastAsia="宋体" w:hAnsi="宋体"/>
                <w:sz w:val="24"/>
                <w:szCs w:val="24"/>
              </w:rPr>
            </w:pPr>
            <w:r>
              <w:rPr>
                <w:rFonts w:ascii="宋体" w:eastAsia="宋体" w:hAnsi="宋体" w:hint="eastAsia"/>
                <w:sz w:val="24"/>
                <w:szCs w:val="24"/>
              </w:rPr>
              <w:t xml:space="preserve">□新闻发布会 </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□路演活动</w:t>
            </w:r>
          </w:p>
          <w:p w:rsidR="006E69FA" w:rsidRDefault="000E3609">
            <w:pPr>
              <w:spacing w:line="360" w:lineRule="auto"/>
              <w:jc w:val="left"/>
              <w:rPr>
                <w:rFonts w:ascii="宋体" w:eastAsia="宋体" w:hAnsi="宋体"/>
                <w:sz w:val="24"/>
                <w:szCs w:val="24"/>
              </w:rPr>
            </w:pPr>
            <w:r>
              <w:rPr>
                <w:rFonts w:ascii="宋体" w:eastAsia="宋体" w:hAnsi="宋体" w:hint="eastAsia"/>
                <w:sz w:val="24"/>
                <w:szCs w:val="24"/>
              </w:rPr>
              <w:t xml:space="preserve">□现场参观 </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□其他</w:t>
            </w:r>
          </w:p>
        </w:tc>
      </w:tr>
      <w:tr w:rsidR="006E69FA">
        <w:tc>
          <w:tcPr>
            <w:tcW w:w="2122" w:type="dxa"/>
            <w:vAlign w:val="center"/>
          </w:tcPr>
          <w:p w:rsidR="006E69FA" w:rsidRDefault="000E3609">
            <w:pPr>
              <w:spacing w:line="360" w:lineRule="auto"/>
              <w:ind w:right="240"/>
              <w:jc w:val="center"/>
              <w:rPr>
                <w:rFonts w:ascii="宋体" w:eastAsia="宋体" w:hAnsi="宋体"/>
                <w:b/>
                <w:sz w:val="24"/>
                <w:szCs w:val="24"/>
              </w:rPr>
            </w:pPr>
            <w:r>
              <w:rPr>
                <w:rFonts w:ascii="宋体" w:eastAsia="宋体" w:hAnsi="宋体" w:hint="eastAsia"/>
                <w:b/>
                <w:sz w:val="24"/>
                <w:szCs w:val="24"/>
              </w:rPr>
              <w:t>参与单位名称</w:t>
            </w:r>
          </w:p>
          <w:p w:rsidR="006E69FA" w:rsidRDefault="000E3609">
            <w:pPr>
              <w:spacing w:line="360" w:lineRule="auto"/>
              <w:ind w:firstLineChars="100" w:firstLine="241"/>
              <w:jc w:val="center"/>
              <w:rPr>
                <w:rFonts w:ascii="宋体" w:eastAsia="宋体" w:hAnsi="宋体"/>
                <w:sz w:val="24"/>
                <w:szCs w:val="24"/>
              </w:rPr>
            </w:pPr>
            <w:r>
              <w:rPr>
                <w:rFonts w:ascii="宋体" w:eastAsia="宋体" w:hAnsi="宋体" w:hint="eastAsia"/>
                <w:b/>
                <w:sz w:val="24"/>
                <w:szCs w:val="24"/>
              </w:rPr>
              <w:t>及人员姓名</w:t>
            </w:r>
          </w:p>
        </w:tc>
        <w:tc>
          <w:tcPr>
            <w:tcW w:w="6378" w:type="dxa"/>
            <w:vAlign w:val="center"/>
          </w:tcPr>
          <w:p w:rsidR="006E69FA" w:rsidRDefault="000E3609">
            <w:pPr>
              <w:spacing w:line="360" w:lineRule="auto"/>
              <w:jc w:val="center"/>
              <w:rPr>
                <w:rFonts w:ascii="宋体" w:eastAsia="宋体" w:hAnsi="宋体"/>
                <w:sz w:val="24"/>
                <w:szCs w:val="24"/>
              </w:rPr>
            </w:pPr>
            <w:r>
              <w:rPr>
                <w:rFonts w:ascii="宋体" w:eastAsia="宋体" w:hAnsi="宋体" w:hint="eastAsia"/>
                <w:sz w:val="24"/>
                <w:szCs w:val="24"/>
              </w:rPr>
              <w:t>平安养老、星石投资、君茂资本、诺德基金、中泰资管、瞰道资产、五地资产、国海证券、国信汽车、天风证券、申万宏源、中信证券、开源证券、德邦化工</w:t>
            </w:r>
          </w:p>
        </w:tc>
      </w:tr>
      <w:tr w:rsidR="006E69FA">
        <w:tc>
          <w:tcPr>
            <w:tcW w:w="2122" w:type="dxa"/>
          </w:tcPr>
          <w:p w:rsidR="006E69FA" w:rsidRDefault="000E3609">
            <w:pPr>
              <w:spacing w:line="360" w:lineRule="auto"/>
              <w:jc w:val="center"/>
              <w:rPr>
                <w:rFonts w:ascii="宋体" w:eastAsia="宋体" w:hAnsi="宋体"/>
                <w:b/>
                <w:sz w:val="24"/>
                <w:szCs w:val="24"/>
              </w:rPr>
            </w:pPr>
            <w:r>
              <w:rPr>
                <w:rFonts w:ascii="宋体" w:eastAsia="宋体" w:hAnsi="宋体" w:hint="eastAsia"/>
                <w:b/>
                <w:sz w:val="24"/>
                <w:szCs w:val="24"/>
              </w:rPr>
              <w:t>时间</w:t>
            </w:r>
          </w:p>
        </w:tc>
        <w:tc>
          <w:tcPr>
            <w:tcW w:w="6378" w:type="dxa"/>
            <w:vAlign w:val="center"/>
          </w:tcPr>
          <w:p w:rsidR="006E69FA" w:rsidRDefault="000E3609">
            <w:pPr>
              <w:spacing w:line="360" w:lineRule="auto"/>
              <w:jc w:val="cente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02</w:t>
            </w:r>
            <w:r>
              <w:rPr>
                <w:rFonts w:ascii="宋体" w:eastAsia="宋体" w:hAnsi="宋体" w:hint="eastAsia"/>
                <w:sz w:val="24"/>
                <w:szCs w:val="24"/>
              </w:rPr>
              <w:t>4</w:t>
            </w:r>
            <w:r>
              <w:rPr>
                <w:rFonts w:ascii="宋体" w:eastAsia="宋体" w:hAnsi="宋体"/>
                <w:sz w:val="24"/>
                <w:szCs w:val="24"/>
              </w:rPr>
              <w:t>.1.2</w:t>
            </w:r>
            <w:r>
              <w:rPr>
                <w:rFonts w:ascii="宋体" w:eastAsia="宋体" w:hAnsi="宋体" w:hint="eastAsia"/>
                <w:sz w:val="24"/>
                <w:szCs w:val="24"/>
              </w:rPr>
              <w:t>5</w:t>
            </w:r>
          </w:p>
        </w:tc>
      </w:tr>
      <w:tr w:rsidR="006E69FA">
        <w:tc>
          <w:tcPr>
            <w:tcW w:w="2122" w:type="dxa"/>
          </w:tcPr>
          <w:p w:rsidR="006E69FA" w:rsidRDefault="000E3609">
            <w:pPr>
              <w:spacing w:line="360" w:lineRule="auto"/>
              <w:jc w:val="center"/>
              <w:rPr>
                <w:rFonts w:ascii="宋体" w:eastAsia="宋体" w:hAnsi="宋体"/>
                <w:b/>
                <w:sz w:val="24"/>
                <w:szCs w:val="24"/>
              </w:rPr>
            </w:pPr>
            <w:r>
              <w:rPr>
                <w:rFonts w:ascii="宋体" w:eastAsia="宋体" w:hAnsi="宋体" w:hint="eastAsia"/>
                <w:b/>
                <w:sz w:val="24"/>
                <w:szCs w:val="24"/>
              </w:rPr>
              <w:t>地点</w:t>
            </w:r>
          </w:p>
        </w:tc>
        <w:tc>
          <w:tcPr>
            <w:tcW w:w="6378" w:type="dxa"/>
            <w:vAlign w:val="center"/>
          </w:tcPr>
          <w:p w:rsidR="006E69FA" w:rsidRDefault="000E3609">
            <w:pPr>
              <w:spacing w:line="360" w:lineRule="auto"/>
              <w:jc w:val="center"/>
              <w:rPr>
                <w:rFonts w:ascii="宋体" w:eastAsia="宋体" w:hAnsi="宋体"/>
                <w:sz w:val="24"/>
                <w:szCs w:val="24"/>
              </w:rPr>
            </w:pPr>
            <w:r>
              <w:rPr>
                <w:rFonts w:ascii="宋体" w:eastAsia="宋体" w:hAnsi="宋体" w:hint="eastAsia"/>
                <w:sz w:val="24"/>
                <w:szCs w:val="24"/>
              </w:rPr>
              <w:t>玲珑</w:t>
            </w:r>
            <w:r w:rsidR="00971342">
              <w:rPr>
                <w:rFonts w:ascii="宋体" w:eastAsia="宋体" w:hAnsi="宋体" w:hint="eastAsia"/>
                <w:sz w:val="24"/>
                <w:szCs w:val="24"/>
              </w:rPr>
              <w:t>轮胎</w:t>
            </w:r>
            <w:r>
              <w:rPr>
                <w:rFonts w:ascii="宋体" w:eastAsia="宋体" w:hAnsi="宋体" w:hint="eastAsia"/>
                <w:sz w:val="24"/>
                <w:szCs w:val="24"/>
              </w:rPr>
              <w:t>烟台</w:t>
            </w:r>
            <w:r w:rsidR="0019522F">
              <w:rPr>
                <w:rFonts w:ascii="宋体" w:eastAsia="宋体" w:hAnsi="宋体" w:hint="eastAsia"/>
                <w:sz w:val="24"/>
                <w:szCs w:val="24"/>
              </w:rPr>
              <w:t>办公楼三楼</w:t>
            </w:r>
            <w:r>
              <w:rPr>
                <w:rFonts w:ascii="宋体" w:eastAsia="宋体" w:hAnsi="宋体" w:hint="eastAsia"/>
                <w:sz w:val="24"/>
                <w:szCs w:val="24"/>
              </w:rPr>
              <w:t>会议室 现场会议</w:t>
            </w:r>
          </w:p>
        </w:tc>
      </w:tr>
      <w:tr w:rsidR="006E69FA">
        <w:tc>
          <w:tcPr>
            <w:tcW w:w="2122" w:type="dxa"/>
          </w:tcPr>
          <w:p w:rsidR="006E69FA" w:rsidRDefault="000E3609">
            <w:pPr>
              <w:spacing w:line="360" w:lineRule="auto"/>
              <w:jc w:val="center"/>
              <w:rPr>
                <w:rFonts w:ascii="宋体" w:eastAsia="宋体" w:hAnsi="宋体"/>
                <w:b/>
                <w:sz w:val="24"/>
                <w:szCs w:val="24"/>
              </w:rPr>
            </w:pPr>
            <w:r>
              <w:rPr>
                <w:rFonts w:ascii="宋体" w:eastAsia="宋体" w:hAnsi="宋体" w:hint="eastAsia"/>
                <w:b/>
                <w:sz w:val="24"/>
                <w:szCs w:val="24"/>
              </w:rPr>
              <w:t>上市公司</w:t>
            </w:r>
          </w:p>
          <w:p w:rsidR="006E69FA" w:rsidRDefault="000E3609">
            <w:pPr>
              <w:spacing w:line="360" w:lineRule="auto"/>
              <w:jc w:val="center"/>
              <w:rPr>
                <w:rFonts w:ascii="宋体" w:eastAsia="宋体" w:hAnsi="宋体"/>
                <w:b/>
                <w:sz w:val="24"/>
                <w:szCs w:val="24"/>
              </w:rPr>
            </w:pPr>
            <w:r>
              <w:rPr>
                <w:rFonts w:ascii="宋体" w:eastAsia="宋体" w:hAnsi="宋体" w:hint="eastAsia"/>
                <w:b/>
                <w:sz w:val="24"/>
                <w:szCs w:val="24"/>
              </w:rPr>
              <w:t>交流人员</w:t>
            </w:r>
          </w:p>
          <w:p w:rsidR="006E69FA" w:rsidRDefault="000E3609">
            <w:pPr>
              <w:spacing w:line="360" w:lineRule="auto"/>
              <w:jc w:val="center"/>
              <w:rPr>
                <w:rFonts w:ascii="宋体" w:eastAsia="宋体" w:hAnsi="宋体"/>
                <w:b/>
                <w:sz w:val="24"/>
                <w:szCs w:val="24"/>
              </w:rPr>
            </w:pPr>
            <w:r>
              <w:rPr>
                <w:rFonts w:ascii="宋体" w:eastAsia="宋体" w:hAnsi="宋体" w:hint="eastAsia"/>
                <w:b/>
                <w:sz w:val="24"/>
                <w:szCs w:val="24"/>
              </w:rPr>
              <w:t>姓名</w:t>
            </w:r>
          </w:p>
        </w:tc>
        <w:tc>
          <w:tcPr>
            <w:tcW w:w="6378" w:type="dxa"/>
            <w:vAlign w:val="center"/>
          </w:tcPr>
          <w:p w:rsidR="006E69FA" w:rsidRDefault="000E3609">
            <w:pPr>
              <w:spacing w:line="360" w:lineRule="auto"/>
              <w:jc w:val="center"/>
              <w:rPr>
                <w:rFonts w:ascii="宋体" w:eastAsia="宋体" w:hAnsi="宋体"/>
                <w:sz w:val="24"/>
                <w:szCs w:val="24"/>
              </w:rPr>
            </w:pPr>
            <w:r>
              <w:rPr>
                <w:rFonts w:ascii="宋体" w:eastAsia="宋体" w:hAnsi="宋体" w:hint="eastAsia"/>
                <w:sz w:val="24"/>
                <w:szCs w:val="24"/>
              </w:rPr>
              <w:t>董事会秘书 孙松涛</w:t>
            </w:r>
          </w:p>
        </w:tc>
      </w:tr>
      <w:tr w:rsidR="006E69FA">
        <w:tc>
          <w:tcPr>
            <w:tcW w:w="2122" w:type="dxa"/>
          </w:tcPr>
          <w:p w:rsidR="006E69FA" w:rsidRDefault="000E3609">
            <w:pPr>
              <w:spacing w:line="360" w:lineRule="auto"/>
              <w:jc w:val="center"/>
              <w:rPr>
                <w:rFonts w:ascii="宋体" w:eastAsia="宋体" w:hAnsi="宋体"/>
                <w:b/>
                <w:sz w:val="24"/>
                <w:szCs w:val="24"/>
              </w:rPr>
            </w:pPr>
            <w:r>
              <w:rPr>
                <w:rFonts w:ascii="宋体" w:eastAsia="宋体" w:hAnsi="宋体" w:hint="eastAsia"/>
                <w:b/>
                <w:sz w:val="24"/>
                <w:szCs w:val="24"/>
              </w:rPr>
              <w:t>投资者关系活动主要内容介绍</w:t>
            </w:r>
          </w:p>
        </w:tc>
        <w:tc>
          <w:tcPr>
            <w:tcW w:w="6378" w:type="dxa"/>
            <w:vAlign w:val="center"/>
          </w:tcPr>
          <w:p w:rsidR="00146B90" w:rsidRPr="00146B90" w:rsidRDefault="00146B90" w:rsidP="00146B90">
            <w:pPr>
              <w:adjustRightInd w:val="0"/>
              <w:snapToGrid w:val="0"/>
              <w:spacing w:beforeLines="50" w:before="156" w:afterLines="50" w:after="156" w:line="360" w:lineRule="auto"/>
              <w:ind w:firstLineChars="200" w:firstLine="482"/>
              <w:rPr>
                <w:rFonts w:ascii="楷体" w:eastAsia="楷体" w:hAnsi="楷体" w:cs="Times New Roman"/>
                <w:b/>
                <w:bCs/>
                <w:sz w:val="24"/>
                <w:szCs w:val="24"/>
              </w:rPr>
            </w:pPr>
            <w:r w:rsidRPr="00146B90">
              <w:rPr>
                <w:rFonts w:ascii="楷体" w:eastAsia="楷体" w:hAnsi="楷体" w:cs="Times New Roman" w:hint="eastAsia"/>
                <w:b/>
                <w:bCs/>
                <w:sz w:val="24"/>
                <w:szCs w:val="24"/>
              </w:rPr>
              <w:t>1、目前美国对泰国半钢双反复审终裁情况以及关税退税情况？</w:t>
            </w:r>
          </w:p>
          <w:p w:rsidR="00146B90" w:rsidRPr="00146B90" w:rsidRDefault="00146B90" w:rsidP="00146B90">
            <w:pPr>
              <w:adjustRightInd w:val="0"/>
              <w:snapToGrid w:val="0"/>
              <w:spacing w:beforeLines="50" w:before="156" w:afterLines="50" w:after="156" w:line="360" w:lineRule="auto"/>
              <w:ind w:firstLineChars="200" w:firstLine="480"/>
              <w:rPr>
                <w:rFonts w:ascii="楷体" w:eastAsia="楷体" w:hAnsi="楷体" w:cs="Times New Roman"/>
                <w:bCs/>
                <w:sz w:val="24"/>
                <w:szCs w:val="24"/>
              </w:rPr>
            </w:pPr>
            <w:r w:rsidRPr="00146B90">
              <w:rPr>
                <w:rFonts w:ascii="楷体" w:eastAsia="楷体" w:hAnsi="楷体" w:cs="Times New Roman" w:hint="eastAsia"/>
                <w:bCs/>
                <w:sz w:val="24"/>
                <w:szCs w:val="24"/>
              </w:rPr>
              <w:t>（1）复审终裁情况：近日，公司从北京金诚同达律师事务所获悉，美国对泰国乘用车和轻卡轮胎反倾销调查第一次年度行政复审终裁结果发布，和初裁时没有变化。本次复审终裁税率发布之前，公司子公司泰国玲珑作为原审调查的强制应诉企业，适用原审单独税率21.09%；本次复审终裁税率发布之后，泰国玲珑适用4.52%的复审终裁税率，为本案中反倾销税率降幅最高的企业，降幅达16.57%。税率大幅降低，将对泰国玲珑的营运能力和订单获取有较大提升，同时快速提升产品竞争力，有利于快速抢占市场份额。</w:t>
            </w:r>
          </w:p>
          <w:p w:rsidR="00146B90" w:rsidRPr="00146B90" w:rsidRDefault="00146B90" w:rsidP="00146B90">
            <w:pPr>
              <w:adjustRightInd w:val="0"/>
              <w:snapToGrid w:val="0"/>
              <w:spacing w:beforeLines="50" w:before="156" w:afterLines="50" w:after="156" w:line="360" w:lineRule="auto"/>
              <w:ind w:firstLineChars="200" w:firstLine="480"/>
              <w:rPr>
                <w:rFonts w:ascii="楷体" w:eastAsia="楷体" w:hAnsi="楷体" w:cs="Times New Roman"/>
                <w:bCs/>
                <w:sz w:val="24"/>
                <w:szCs w:val="24"/>
              </w:rPr>
            </w:pPr>
            <w:r w:rsidRPr="00146B90">
              <w:rPr>
                <w:rFonts w:ascii="楷体" w:eastAsia="楷体" w:hAnsi="楷体" w:cs="Times New Roman" w:hint="eastAsia"/>
                <w:bCs/>
                <w:sz w:val="24"/>
                <w:szCs w:val="24"/>
              </w:rPr>
              <w:t>（2）退税情况：将根据美国商务部发布的正式文件，</w:t>
            </w:r>
            <w:r w:rsidRPr="00146B90">
              <w:rPr>
                <w:rFonts w:ascii="楷体" w:eastAsia="楷体" w:hAnsi="楷体" w:cs="Times New Roman" w:hint="eastAsia"/>
                <w:bCs/>
                <w:sz w:val="24"/>
                <w:szCs w:val="24"/>
              </w:rPr>
              <w:lastRenderedPageBreak/>
              <w:t>逐步开展后续退税工作。</w:t>
            </w:r>
          </w:p>
          <w:p w:rsidR="00146B90" w:rsidRPr="00146B90" w:rsidRDefault="00146B90" w:rsidP="00146B90">
            <w:pPr>
              <w:adjustRightInd w:val="0"/>
              <w:snapToGrid w:val="0"/>
              <w:spacing w:beforeLines="50" w:before="156" w:afterLines="50" w:after="156" w:line="360" w:lineRule="auto"/>
              <w:ind w:firstLineChars="200" w:firstLine="482"/>
              <w:rPr>
                <w:rFonts w:ascii="楷体" w:eastAsia="楷体" w:hAnsi="楷体" w:cs="Times New Roman"/>
                <w:b/>
                <w:bCs/>
                <w:sz w:val="24"/>
                <w:szCs w:val="24"/>
              </w:rPr>
            </w:pPr>
            <w:r w:rsidRPr="00146B90">
              <w:rPr>
                <w:rFonts w:ascii="楷体" w:eastAsia="楷体" w:hAnsi="楷体" w:cs="Times New Roman" w:hint="eastAsia"/>
                <w:b/>
                <w:bCs/>
                <w:sz w:val="24"/>
                <w:szCs w:val="24"/>
              </w:rPr>
              <w:t>2、美国对泰国全钢反倾销目前情况介绍？</w:t>
            </w:r>
          </w:p>
          <w:p w:rsidR="00146B90" w:rsidRPr="00146B90" w:rsidRDefault="00146B90" w:rsidP="00146B90">
            <w:pPr>
              <w:adjustRightInd w:val="0"/>
              <w:snapToGrid w:val="0"/>
              <w:spacing w:beforeLines="50" w:before="156" w:afterLines="50" w:after="156" w:line="360" w:lineRule="auto"/>
              <w:ind w:firstLineChars="200" w:firstLine="480"/>
              <w:rPr>
                <w:rFonts w:ascii="楷体" w:eastAsia="楷体" w:hAnsi="楷体" w:cs="Times New Roman"/>
                <w:bCs/>
                <w:sz w:val="24"/>
                <w:szCs w:val="24"/>
              </w:rPr>
            </w:pPr>
            <w:r w:rsidRPr="00146B90">
              <w:rPr>
                <w:rFonts w:ascii="楷体" w:eastAsia="楷体" w:hAnsi="楷体" w:cs="Times New Roman" w:hint="eastAsia"/>
                <w:bCs/>
                <w:sz w:val="24"/>
                <w:szCs w:val="24"/>
              </w:rPr>
              <w:t>北京时间2023年10月17日晚，美国对泰国卡客车轮胎反倾销已经正式立案。本次反倾销的调查期预计为 2022年10月1日到2023年9月30日。按照律师事务所预测时间，初裁预计会在今年5月左右。</w:t>
            </w:r>
          </w:p>
          <w:p w:rsidR="00146B90" w:rsidRPr="00146B90" w:rsidRDefault="00146B90" w:rsidP="00146B90">
            <w:pPr>
              <w:adjustRightInd w:val="0"/>
              <w:snapToGrid w:val="0"/>
              <w:spacing w:beforeLines="50" w:before="156" w:afterLines="50" w:after="156" w:line="360" w:lineRule="auto"/>
              <w:ind w:firstLineChars="200" w:firstLine="480"/>
              <w:rPr>
                <w:rFonts w:ascii="楷体" w:eastAsia="楷体" w:hAnsi="楷体" w:cs="Times New Roman"/>
                <w:bCs/>
                <w:sz w:val="24"/>
                <w:szCs w:val="24"/>
              </w:rPr>
            </w:pPr>
            <w:r w:rsidRPr="00146B90">
              <w:rPr>
                <w:rFonts w:ascii="楷体" w:eastAsia="楷体" w:hAnsi="楷体" w:cs="Times New Roman"/>
                <w:bCs/>
                <w:sz w:val="24"/>
                <w:szCs w:val="24"/>
              </w:rPr>
              <w:t>对于</w:t>
            </w:r>
            <w:r w:rsidRPr="00146B90">
              <w:rPr>
                <w:rFonts w:ascii="楷体" w:eastAsia="楷体" w:hAnsi="楷体" w:cs="Times New Roman" w:hint="eastAsia"/>
                <w:bCs/>
                <w:sz w:val="24"/>
                <w:szCs w:val="24"/>
              </w:rPr>
              <w:t>本次</w:t>
            </w:r>
            <w:r w:rsidRPr="00146B90">
              <w:rPr>
                <w:rFonts w:ascii="楷体" w:eastAsia="楷体" w:hAnsi="楷体" w:cs="Times New Roman"/>
                <w:bCs/>
                <w:sz w:val="24"/>
                <w:szCs w:val="24"/>
              </w:rPr>
              <w:t>反倾销的应对，</w:t>
            </w:r>
            <w:r w:rsidRPr="00146B90">
              <w:rPr>
                <w:rFonts w:ascii="楷体" w:eastAsia="楷体" w:hAnsi="楷体" w:cs="Times New Roman" w:hint="eastAsia"/>
                <w:bCs/>
                <w:sz w:val="24"/>
                <w:szCs w:val="24"/>
              </w:rPr>
              <w:t>玲珑海外有双基地优势，塞尔维亚全钢项目已经投产，目前正在快速地产能爬坡，公司将通过灵活运用订单调配有效应对美国贸易壁垒。</w:t>
            </w:r>
          </w:p>
          <w:p w:rsidR="00146B90" w:rsidRPr="00146B90" w:rsidRDefault="00146B90" w:rsidP="00146B90">
            <w:pPr>
              <w:adjustRightInd w:val="0"/>
              <w:snapToGrid w:val="0"/>
              <w:spacing w:beforeLines="50" w:before="156" w:afterLines="50" w:after="156" w:line="360" w:lineRule="auto"/>
              <w:ind w:firstLineChars="200" w:firstLine="482"/>
              <w:rPr>
                <w:rFonts w:ascii="楷体" w:eastAsia="楷体" w:hAnsi="楷体" w:cs="Times New Roman"/>
                <w:b/>
                <w:bCs/>
                <w:sz w:val="24"/>
                <w:szCs w:val="24"/>
              </w:rPr>
            </w:pPr>
            <w:r w:rsidRPr="00146B90">
              <w:rPr>
                <w:rFonts w:ascii="楷体" w:eastAsia="楷体" w:hAnsi="楷体" w:cs="Times New Roman" w:hint="eastAsia"/>
                <w:b/>
                <w:bCs/>
                <w:sz w:val="24"/>
                <w:szCs w:val="24"/>
              </w:rPr>
              <w:t>3、公司国内配套毛利率修复情况？</w:t>
            </w:r>
          </w:p>
          <w:p w:rsidR="00146B90" w:rsidRPr="00146B90" w:rsidRDefault="00146B90" w:rsidP="00146B90">
            <w:pPr>
              <w:adjustRightInd w:val="0"/>
              <w:snapToGrid w:val="0"/>
              <w:spacing w:beforeLines="50" w:before="156" w:afterLines="50" w:after="156" w:line="360" w:lineRule="auto"/>
              <w:ind w:firstLineChars="200" w:firstLine="480"/>
              <w:rPr>
                <w:rFonts w:ascii="楷体" w:eastAsia="楷体" w:hAnsi="楷体" w:cs="Times New Roman"/>
                <w:bCs/>
                <w:sz w:val="24"/>
                <w:szCs w:val="24"/>
              </w:rPr>
            </w:pPr>
            <w:r w:rsidRPr="00146B90">
              <w:rPr>
                <w:rFonts w:ascii="楷体" w:eastAsia="楷体" w:hAnsi="楷体" w:cs="Times New Roman" w:hint="eastAsia"/>
                <w:bCs/>
                <w:sz w:val="24"/>
                <w:szCs w:val="24"/>
              </w:rPr>
              <w:t>公司</w:t>
            </w:r>
            <w:r w:rsidRPr="00146B90">
              <w:rPr>
                <w:rFonts w:ascii="楷体" w:eastAsia="楷体" w:hAnsi="楷体" w:cs="Times New Roman"/>
                <w:bCs/>
                <w:sz w:val="24"/>
                <w:szCs w:val="24"/>
              </w:rPr>
              <w:t>在22年业绩表现较差，</w:t>
            </w:r>
            <w:r w:rsidRPr="00146B90">
              <w:rPr>
                <w:rFonts w:ascii="楷体" w:eastAsia="楷体" w:hAnsi="楷体" w:cs="Times New Roman" w:hint="eastAsia"/>
                <w:bCs/>
                <w:sz w:val="24"/>
                <w:szCs w:val="24"/>
              </w:rPr>
              <w:t>主要</w:t>
            </w:r>
            <w:r w:rsidRPr="00146B90">
              <w:rPr>
                <w:rFonts w:ascii="楷体" w:eastAsia="楷体" w:hAnsi="楷体" w:cs="Times New Roman"/>
                <w:bCs/>
                <w:sz w:val="24"/>
                <w:szCs w:val="24"/>
              </w:rPr>
              <w:t>是因为国内配套</w:t>
            </w:r>
            <w:r w:rsidRPr="00146B90">
              <w:rPr>
                <w:rFonts w:ascii="楷体" w:eastAsia="楷体" w:hAnsi="楷体" w:cs="Times New Roman" w:hint="eastAsia"/>
                <w:bCs/>
                <w:sz w:val="24"/>
                <w:szCs w:val="24"/>
              </w:rPr>
              <w:t>占比明显高于兄弟厂家</w:t>
            </w:r>
            <w:r w:rsidRPr="00146B90">
              <w:rPr>
                <w:rFonts w:ascii="楷体" w:eastAsia="楷体" w:hAnsi="楷体" w:cs="Times New Roman"/>
                <w:bCs/>
                <w:sz w:val="24"/>
                <w:szCs w:val="24"/>
              </w:rPr>
              <w:t>，</w:t>
            </w:r>
            <w:r w:rsidRPr="00146B90">
              <w:rPr>
                <w:rFonts w:ascii="楷体" w:eastAsia="楷体" w:hAnsi="楷体" w:cs="Times New Roman" w:hint="eastAsia"/>
                <w:bCs/>
                <w:sz w:val="24"/>
                <w:szCs w:val="24"/>
              </w:rPr>
              <w:t>对公司盈利能力造成影响</w:t>
            </w:r>
            <w:r w:rsidRPr="00146B90">
              <w:rPr>
                <w:rFonts w:ascii="楷体" w:eastAsia="楷体" w:hAnsi="楷体" w:cs="Times New Roman"/>
                <w:bCs/>
                <w:sz w:val="24"/>
                <w:szCs w:val="24"/>
              </w:rPr>
              <w:t>。</w:t>
            </w:r>
            <w:r w:rsidRPr="00146B90">
              <w:rPr>
                <w:rFonts w:ascii="楷体" w:eastAsia="楷体" w:hAnsi="楷体" w:cs="Times New Roman" w:hint="eastAsia"/>
                <w:bCs/>
                <w:sz w:val="24"/>
                <w:szCs w:val="24"/>
              </w:rPr>
              <w:t>但公司23年通过“三个结构调整”结合部分产品提价等，使得国内配套毛利率快速修复，</w:t>
            </w:r>
            <w:r>
              <w:rPr>
                <w:rFonts w:ascii="楷体" w:eastAsia="楷体" w:hAnsi="楷体" w:cs="Times New Roman" w:hint="eastAsia"/>
                <w:bCs/>
                <w:sz w:val="24"/>
                <w:szCs w:val="24"/>
              </w:rPr>
              <w:t>2</w:t>
            </w:r>
            <w:r>
              <w:rPr>
                <w:rFonts w:ascii="楷体" w:eastAsia="楷体" w:hAnsi="楷体" w:cs="Times New Roman"/>
                <w:bCs/>
                <w:sz w:val="24"/>
                <w:szCs w:val="24"/>
              </w:rPr>
              <w:t>3年</w:t>
            </w:r>
            <w:r w:rsidRPr="00146B90">
              <w:rPr>
                <w:rFonts w:ascii="楷体" w:eastAsia="楷体" w:hAnsi="楷体" w:cs="Times New Roman" w:hint="eastAsia"/>
                <w:bCs/>
                <w:sz w:val="24"/>
                <w:szCs w:val="24"/>
              </w:rPr>
              <w:t>全年同比2</w:t>
            </w:r>
            <w:r w:rsidRPr="00146B90">
              <w:rPr>
                <w:rFonts w:ascii="楷体" w:eastAsia="楷体" w:hAnsi="楷体" w:cs="Times New Roman"/>
                <w:bCs/>
                <w:sz w:val="24"/>
                <w:szCs w:val="24"/>
              </w:rPr>
              <w:t>2</w:t>
            </w:r>
            <w:r w:rsidRPr="00146B90">
              <w:rPr>
                <w:rFonts w:ascii="楷体" w:eastAsia="楷体" w:hAnsi="楷体" w:cs="Times New Roman" w:hint="eastAsia"/>
                <w:bCs/>
                <w:sz w:val="24"/>
                <w:szCs w:val="24"/>
              </w:rPr>
              <w:t>年提升1</w:t>
            </w:r>
            <w:r w:rsidRPr="00146B90">
              <w:rPr>
                <w:rFonts w:ascii="楷体" w:eastAsia="楷体" w:hAnsi="楷体" w:cs="Times New Roman"/>
                <w:bCs/>
                <w:sz w:val="24"/>
                <w:szCs w:val="24"/>
              </w:rPr>
              <w:t>0</w:t>
            </w:r>
            <w:r w:rsidRPr="00146B90">
              <w:rPr>
                <w:rFonts w:ascii="楷体" w:eastAsia="楷体" w:hAnsi="楷体" w:cs="Times New Roman" w:hint="eastAsia"/>
                <w:bCs/>
                <w:sz w:val="24"/>
                <w:szCs w:val="24"/>
              </w:rPr>
              <w:t>个百分点，且2023年四个季度</w:t>
            </w:r>
            <w:r w:rsidRPr="00146B90">
              <w:rPr>
                <w:rFonts w:ascii="楷体" w:eastAsia="楷体" w:hAnsi="楷体" w:cs="Times New Roman"/>
                <w:bCs/>
                <w:sz w:val="24"/>
                <w:szCs w:val="24"/>
              </w:rPr>
              <w:t>国内配套的业绩</w:t>
            </w:r>
            <w:r w:rsidRPr="00146B90">
              <w:rPr>
                <w:rFonts w:ascii="楷体" w:eastAsia="楷体" w:hAnsi="楷体" w:cs="Times New Roman" w:hint="eastAsia"/>
                <w:bCs/>
                <w:sz w:val="24"/>
                <w:szCs w:val="24"/>
              </w:rPr>
              <w:t>都在逐步改善。</w:t>
            </w:r>
          </w:p>
          <w:p w:rsidR="00146B90" w:rsidRPr="00146B90" w:rsidRDefault="00146B90" w:rsidP="00146B90">
            <w:pPr>
              <w:adjustRightInd w:val="0"/>
              <w:snapToGrid w:val="0"/>
              <w:spacing w:beforeLines="50" w:before="156" w:afterLines="50" w:after="156" w:line="360" w:lineRule="auto"/>
              <w:ind w:firstLineChars="200" w:firstLine="482"/>
              <w:rPr>
                <w:rFonts w:ascii="楷体" w:eastAsia="楷体" w:hAnsi="楷体" w:cs="Times New Roman"/>
                <w:b/>
                <w:bCs/>
                <w:sz w:val="24"/>
                <w:szCs w:val="24"/>
              </w:rPr>
            </w:pPr>
            <w:r w:rsidRPr="00146B90">
              <w:rPr>
                <w:rFonts w:ascii="楷体" w:eastAsia="楷体" w:hAnsi="楷体" w:cs="Times New Roman" w:hint="eastAsia"/>
                <w:b/>
                <w:bCs/>
                <w:sz w:val="24"/>
                <w:szCs w:val="24"/>
              </w:rPr>
              <w:t>4、公司海外产能占比情况？</w:t>
            </w:r>
          </w:p>
          <w:p w:rsidR="00146B90" w:rsidRPr="00146B90" w:rsidRDefault="00146B90" w:rsidP="00146B90">
            <w:pPr>
              <w:adjustRightInd w:val="0"/>
              <w:snapToGrid w:val="0"/>
              <w:spacing w:beforeLines="50" w:before="156" w:afterLines="50" w:after="156" w:line="360" w:lineRule="auto"/>
              <w:ind w:firstLineChars="200" w:firstLine="480"/>
              <w:rPr>
                <w:rFonts w:ascii="楷体" w:eastAsia="楷体" w:hAnsi="楷体" w:cs="Times New Roman"/>
                <w:bCs/>
                <w:sz w:val="24"/>
                <w:szCs w:val="24"/>
              </w:rPr>
            </w:pPr>
            <w:r w:rsidRPr="00146B90">
              <w:rPr>
                <w:rFonts w:ascii="楷体" w:eastAsia="楷体" w:hAnsi="楷体" w:cs="Times New Roman" w:hint="eastAsia"/>
                <w:bCs/>
                <w:sz w:val="24"/>
                <w:szCs w:val="24"/>
              </w:rPr>
              <w:t>玲珑目前海外工厂的产能占比在20%左右，预计24年随着公司海外塞尔维亚工厂半钢、全钢的逐步投产，玲珑的海外工厂产能占比可提升到30%以上，将有效提升海外出口占比及公司整体盈利能力！</w:t>
            </w:r>
          </w:p>
          <w:p w:rsidR="00146B90" w:rsidRPr="00146B90" w:rsidRDefault="00146B90" w:rsidP="00146B90">
            <w:pPr>
              <w:adjustRightInd w:val="0"/>
              <w:snapToGrid w:val="0"/>
              <w:spacing w:beforeLines="50" w:before="156" w:afterLines="50" w:after="156" w:line="360" w:lineRule="auto"/>
              <w:ind w:firstLineChars="200" w:firstLine="482"/>
              <w:rPr>
                <w:rFonts w:ascii="楷体" w:eastAsia="楷体" w:hAnsi="楷体" w:cs="Times New Roman"/>
                <w:b/>
                <w:bCs/>
                <w:sz w:val="24"/>
                <w:szCs w:val="24"/>
              </w:rPr>
            </w:pPr>
            <w:r w:rsidRPr="00146B90">
              <w:rPr>
                <w:rFonts w:ascii="楷体" w:eastAsia="楷体" w:hAnsi="楷体" w:cs="Times New Roman" w:hint="eastAsia"/>
                <w:b/>
                <w:bCs/>
                <w:sz w:val="24"/>
                <w:szCs w:val="24"/>
              </w:rPr>
              <w:t>5、海外需求下滑，国产胎靠性价比吃份额，但是国内好像汽车销量也一般，为什么我们半钢还能增长？</w:t>
            </w:r>
          </w:p>
          <w:p w:rsidR="00146B90" w:rsidRPr="00146B90" w:rsidRDefault="00146B90" w:rsidP="00146B90">
            <w:pPr>
              <w:adjustRightInd w:val="0"/>
              <w:snapToGrid w:val="0"/>
              <w:spacing w:beforeLines="50" w:before="156" w:afterLines="50" w:after="156" w:line="360" w:lineRule="auto"/>
              <w:ind w:firstLineChars="200" w:firstLine="480"/>
              <w:rPr>
                <w:rFonts w:ascii="楷体" w:eastAsia="楷体" w:hAnsi="楷体" w:cs="Times New Roman"/>
                <w:bCs/>
                <w:sz w:val="24"/>
                <w:szCs w:val="24"/>
              </w:rPr>
            </w:pPr>
            <w:r w:rsidRPr="00146B90">
              <w:rPr>
                <w:rFonts w:ascii="楷体" w:eastAsia="楷体" w:hAnsi="楷体" w:cs="Times New Roman" w:hint="eastAsia"/>
                <w:bCs/>
                <w:sz w:val="24"/>
                <w:szCs w:val="24"/>
              </w:rPr>
              <w:t>核心是国产化替代逻辑。之前中国汽车主要靠外资品牌来提升产品力，中低端车型需要性价比才选择国产轮胎。但从23年的</w:t>
            </w:r>
            <w:r w:rsidRPr="00146B90">
              <w:rPr>
                <w:rFonts w:ascii="楷体" w:eastAsia="楷体" w:hAnsi="楷体" w:cs="Times New Roman"/>
                <w:bCs/>
                <w:sz w:val="24"/>
                <w:szCs w:val="24"/>
              </w:rPr>
              <w:t>汽车价格战</w:t>
            </w:r>
            <w:r w:rsidRPr="00146B90">
              <w:rPr>
                <w:rFonts w:ascii="楷体" w:eastAsia="楷体" w:hAnsi="楷体" w:cs="Times New Roman" w:hint="eastAsia"/>
                <w:bCs/>
                <w:sz w:val="24"/>
                <w:szCs w:val="24"/>
              </w:rPr>
              <w:t>之后，B级车对玲珑的开放度越来越高。</w:t>
            </w:r>
            <w:r w:rsidRPr="00146B90">
              <w:rPr>
                <w:rFonts w:ascii="楷体" w:eastAsia="楷体" w:hAnsi="楷体" w:cs="Times New Roman"/>
                <w:bCs/>
                <w:sz w:val="24"/>
                <w:szCs w:val="24"/>
              </w:rPr>
              <w:t>汽车产业竞争越激烈，对玲珑来讲性价比优势就越明显。</w:t>
            </w:r>
            <w:r w:rsidRPr="00146B90">
              <w:rPr>
                <w:rFonts w:ascii="楷体" w:eastAsia="楷体" w:hAnsi="楷体" w:cs="Times New Roman" w:hint="eastAsia"/>
                <w:bCs/>
                <w:sz w:val="24"/>
                <w:szCs w:val="24"/>
              </w:rPr>
              <w:lastRenderedPageBreak/>
              <w:t>尤其目前</w:t>
            </w:r>
            <w:r w:rsidRPr="00146B90">
              <w:rPr>
                <w:rFonts w:ascii="楷体" w:eastAsia="楷体" w:hAnsi="楷体" w:cs="Times New Roman"/>
                <w:bCs/>
                <w:sz w:val="24"/>
                <w:szCs w:val="24"/>
              </w:rPr>
              <w:t>外资品牌对玲珑的接受度</w:t>
            </w:r>
            <w:r w:rsidRPr="00146B90">
              <w:rPr>
                <w:rFonts w:ascii="楷体" w:eastAsia="楷体" w:hAnsi="楷体" w:cs="Times New Roman" w:hint="eastAsia"/>
                <w:bCs/>
                <w:sz w:val="24"/>
                <w:szCs w:val="24"/>
              </w:rPr>
              <w:t>也</w:t>
            </w:r>
            <w:r w:rsidRPr="00146B90">
              <w:rPr>
                <w:rFonts w:ascii="楷体" w:eastAsia="楷体" w:hAnsi="楷体" w:cs="Times New Roman"/>
                <w:bCs/>
                <w:sz w:val="24"/>
                <w:szCs w:val="24"/>
              </w:rPr>
              <w:t>越来越高，一方面是玲珑在全球 0E有示范效应，公司</w:t>
            </w:r>
            <w:r w:rsidRPr="00146B90">
              <w:rPr>
                <w:rFonts w:ascii="楷体" w:eastAsia="楷体" w:hAnsi="楷体" w:cs="Times New Roman" w:hint="eastAsia"/>
                <w:bCs/>
                <w:sz w:val="24"/>
                <w:szCs w:val="24"/>
              </w:rPr>
              <w:t>与</w:t>
            </w:r>
            <w:r w:rsidRPr="00146B90">
              <w:rPr>
                <w:rFonts w:ascii="楷体" w:eastAsia="楷体" w:hAnsi="楷体" w:cs="Times New Roman"/>
                <w:bCs/>
                <w:sz w:val="24"/>
                <w:szCs w:val="24"/>
              </w:rPr>
              <w:t>宝马、奥迪</w:t>
            </w:r>
            <w:r w:rsidRPr="00146B90">
              <w:rPr>
                <w:rFonts w:ascii="楷体" w:eastAsia="楷体" w:hAnsi="楷体" w:cs="Times New Roman" w:hint="eastAsia"/>
                <w:bCs/>
                <w:sz w:val="24"/>
                <w:szCs w:val="24"/>
              </w:rPr>
              <w:t>、Stellantis等国际知名品牌的合作紧密，配套项目及覆盖车型均在增加。</w:t>
            </w:r>
            <w:r w:rsidRPr="00146B90">
              <w:rPr>
                <w:rFonts w:ascii="楷体" w:eastAsia="楷体" w:hAnsi="楷体" w:cs="Times New Roman"/>
                <w:bCs/>
                <w:sz w:val="24"/>
                <w:szCs w:val="24"/>
              </w:rPr>
              <w:t>另一方面是玲珑的高性价比优势可以帮主机厂降成本。</w:t>
            </w:r>
          </w:p>
          <w:p w:rsidR="00146B90" w:rsidRPr="00146B90" w:rsidRDefault="00146B90" w:rsidP="00146B90">
            <w:pPr>
              <w:adjustRightInd w:val="0"/>
              <w:snapToGrid w:val="0"/>
              <w:spacing w:beforeLines="50" w:before="156" w:afterLines="50" w:after="156" w:line="360" w:lineRule="auto"/>
              <w:ind w:firstLineChars="200" w:firstLine="480"/>
              <w:rPr>
                <w:rFonts w:ascii="楷体" w:eastAsia="楷体" w:hAnsi="楷体" w:cs="Times New Roman"/>
                <w:bCs/>
                <w:sz w:val="24"/>
                <w:szCs w:val="24"/>
              </w:rPr>
            </w:pPr>
            <w:r w:rsidRPr="00146B90">
              <w:rPr>
                <w:rFonts w:ascii="楷体" w:eastAsia="楷体" w:hAnsi="楷体" w:cs="Times New Roman"/>
                <w:bCs/>
                <w:sz w:val="24"/>
                <w:szCs w:val="24"/>
              </w:rPr>
              <w:t>玲珑在配套领域有20多年的配套业务积累，熟悉各个派系主机厂的运营体系，可以满足各个分供方的评审。所以玲珑过去坚持配套战略这几年已经到了逐步开</w:t>
            </w:r>
            <w:r w:rsidRPr="00146B90">
              <w:rPr>
                <w:rFonts w:ascii="楷体" w:eastAsia="楷体" w:hAnsi="楷体" w:cs="Times New Roman" w:hint="eastAsia"/>
                <w:bCs/>
                <w:sz w:val="24"/>
                <w:szCs w:val="24"/>
              </w:rPr>
              <w:t>花</w:t>
            </w:r>
            <w:r w:rsidRPr="00146B90">
              <w:rPr>
                <w:rFonts w:ascii="楷体" w:eastAsia="楷体" w:hAnsi="楷体" w:cs="Times New Roman"/>
                <w:bCs/>
                <w:sz w:val="24"/>
                <w:szCs w:val="24"/>
              </w:rPr>
              <w:t>结果的阶段</w:t>
            </w:r>
            <w:r w:rsidRPr="00146B90">
              <w:rPr>
                <w:rFonts w:ascii="楷体" w:eastAsia="楷体" w:hAnsi="楷体" w:cs="Times New Roman" w:hint="eastAsia"/>
                <w:bCs/>
                <w:sz w:val="24"/>
                <w:szCs w:val="24"/>
              </w:rPr>
              <w:t>。未来，公司还会坚持三个结构调整，不断加速向中高端产品、中高端车型和中高端品牌转型，持续抢占更多中高端市场份额。同时，借助中国汽车工业的不断崛起，叠加新能源的换道超车，以及汽车出口的大趋势，充分发挥好玲珑的配套优势持续提升品牌影响力及替换市场份额，不断增强全球竞争力！</w:t>
            </w:r>
          </w:p>
          <w:p w:rsidR="00146B90" w:rsidRPr="00146B90" w:rsidRDefault="00146B90" w:rsidP="00146B90">
            <w:pPr>
              <w:numPr>
                <w:ilvl w:val="0"/>
                <w:numId w:val="1"/>
              </w:numPr>
              <w:adjustRightInd w:val="0"/>
              <w:snapToGrid w:val="0"/>
              <w:spacing w:beforeLines="50" w:before="156" w:afterLines="50" w:after="156" w:line="360" w:lineRule="auto"/>
              <w:ind w:firstLineChars="200" w:firstLine="482"/>
              <w:rPr>
                <w:rFonts w:ascii="楷体" w:eastAsia="楷体" w:hAnsi="楷体" w:cs="Times New Roman"/>
                <w:b/>
                <w:bCs/>
                <w:sz w:val="24"/>
                <w:szCs w:val="24"/>
              </w:rPr>
            </w:pPr>
            <w:r w:rsidRPr="00146B90">
              <w:rPr>
                <w:rFonts w:ascii="楷体" w:eastAsia="楷体" w:hAnsi="楷体" w:cs="Times New Roman" w:hint="eastAsia"/>
                <w:b/>
                <w:bCs/>
                <w:sz w:val="24"/>
                <w:szCs w:val="24"/>
              </w:rPr>
              <w:t>公司新能源配套的情况？</w:t>
            </w:r>
          </w:p>
          <w:p w:rsidR="00146B90" w:rsidRPr="00146B90" w:rsidRDefault="00146B90" w:rsidP="00146B90">
            <w:pPr>
              <w:adjustRightInd w:val="0"/>
              <w:snapToGrid w:val="0"/>
              <w:spacing w:beforeLines="50" w:before="156" w:afterLines="50" w:after="156" w:line="360" w:lineRule="auto"/>
              <w:ind w:firstLineChars="200" w:firstLine="480"/>
              <w:rPr>
                <w:rFonts w:ascii="楷体" w:eastAsia="楷体" w:hAnsi="楷体" w:cs="Times New Roman"/>
                <w:bCs/>
                <w:sz w:val="24"/>
                <w:szCs w:val="24"/>
              </w:rPr>
            </w:pPr>
            <w:r w:rsidRPr="00146B90">
              <w:rPr>
                <w:rFonts w:ascii="楷体" w:eastAsia="楷体" w:hAnsi="楷体" w:cs="Times New Roman" w:hint="eastAsia"/>
                <w:bCs/>
                <w:sz w:val="24"/>
                <w:szCs w:val="24"/>
              </w:rPr>
              <w:t>在新能源领域，据轮胎商业网报道，2020年、2021年和2023年，玲珑连续3年位居中国新能源汽车市场中国轮胎NO.1！玲珑23年新能源轮胎发货量超过 900多万条，占整体中国新能源配套市场近24%的市场份额，仅比亚迪一家配套量就突破560万条。</w:t>
            </w:r>
          </w:p>
          <w:p w:rsidR="00146B90" w:rsidRPr="00146B90" w:rsidRDefault="00146B90" w:rsidP="00146B90">
            <w:pPr>
              <w:adjustRightInd w:val="0"/>
              <w:snapToGrid w:val="0"/>
              <w:spacing w:beforeLines="50" w:before="156" w:afterLines="50" w:after="156" w:line="360" w:lineRule="auto"/>
              <w:ind w:firstLineChars="200" w:firstLine="480"/>
              <w:rPr>
                <w:rFonts w:ascii="楷体" w:eastAsia="楷体" w:hAnsi="楷体" w:cs="Times New Roman"/>
                <w:bCs/>
                <w:sz w:val="24"/>
                <w:szCs w:val="24"/>
              </w:rPr>
            </w:pPr>
            <w:r w:rsidRPr="00146B90">
              <w:rPr>
                <w:rFonts w:ascii="楷体" w:eastAsia="楷体" w:hAnsi="楷体" w:cs="Times New Roman" w:hint="eastAsia"/>
                <w:bCs/>
                <w:sz w:val="24"/>
                <w:szCs w:val="24"/>
              </w:rPr>
              <w:t>公司已成功配套通用五菱全系、一汽红旗 、比亚迪、吉利汽车、东风日产、奇瑞汽车、广汽本田、赛力斯等新能源车企。为哪吒、易捷特、开沃等造车新势力进行配套。同时，获得奥迪一汽新能源三款新车型正式定点。未来，公司将继续加大研发力度，不断将绿色产品迭代升级，满足市场需求，打造“新能源配套第一品牌”。随着新能源汽车保有量以及渗透率的提高也将对新能源汽车轮胎替换市场形成拉动作用。</w:t>
            </w:r>
          </w:p>
          <w:p w:rsidR="00146B90" w:rsidRPr="00146B90" w:rsidRDefault="00146B90" w:rsidP="00146B90">
            <w:pPr>
              <w:adjustRightInd w:val="0"/>
              <w:snapToGrid w:val="0"/>
              <w:spacing w:beforeLines="50" w:before="156" w:afterLines="50" w:after="156" w:line="360" w:lineRule="auto"/>
              <w:ind w:firstLineChars="200" w:firstLine="482"/>
              <w:rPr>
                <w:rFonts w:ascii="楷体" w:eastAsia="楷体" w:hAnsi="楷体" w:cs="Times New Roman"/>
                <w:b/>
                <w:bCs/>
                <w:sz w:val="24"/>
                <w:szCs w:val="24"/>
              </w:rPr>
            </w:pPr>
            <w:r w:rsidRPr="00146B90">
              <w:rPr>
                <w:rFonts w:ascii="楷体" w:eastAsia="楷体" w:hAnsi="楷体" w:cs="Times New Roman" w:hint="eastAsia"/>
                <w:b/>
                <w:bCs/>
                <w:sz w:val="24"/>
                <w:szCs w:val="24"/>
              </w:rPr>
              <w:lastRenderedPageBreak/>
              <w:t>7、塞尔维亚的预期如何？</w:t>
            </w:r>
          </w:p>
          <w:p w:rsidR="00146B90" w:rsidRPr="00146B90" w:rsidRDefault="00146B90" w:rsidP="00146B90">
            <w:pPr>
              <w:adjustRightInd w:val="0"/>
              <w:snapToGrid w:val="0"/>
              <w:spacing w:beforeLines="50" w:before="156" w:afterLines="50" w:after="156" w:line="360" w:lineRule="auto"/>
              <w:ind w:firstLineChars="200" w:firstLine="480"/>
              <w:rPr>
                <w:rFonts w:ascii="楷体" w:eastAsia="楷体" w:hAnsi="楷体" w:cs="Times New Roman"/>
                <w:bCs/>
                <w:sz w:val="24"/>
                <w:szCs w:val="24"/>
              </w:rPr>
            </w:pPr>
            <w:r w:rsidRPr="00146B90">
              <w:rPr>
                <w:rFonts w:ascii="楷体" w:eastAsia="楷体" w:hAnsi="楷体" w:cs="Times New Roman" w:hint="eastAsia"/>
                <w:bCs/>
                <w:sz w:val="24"/>
                <w:szCs w:val="24"/>
              </w:rPr>
              <w:t>塞尔维亚工厂整体规划1,3</w:t>
            </w:r>
            <w:r w:rsidRPr="00146B90">
              <w:rPr>
                <w:rFonts w:ascii="楷体" w:eastAsia="楷体" w:hAnsi="楷体" w:cs="Times New Roman"/>
                <w:bCs/>
                <w:sz w:val="24"/>
                <w:szCs w:val="24"/>
              </w:rPr>
              <w:t>82</w:t>
            </w:r>
            <w:r w:rsidRPr="00146B90">
              <w:rPr>
                <w:rFonts w:ascii="楷体" w:eastAsia="楷体" w:hAnsi="楷体" w:cs="Times New Roman" w:hint="eastAsia"/>
                <w:bCs/>
                <w:sz w:val="24"/>
                <w:szCs w:val="24"/>
              </w:rPr>
              <w:t xml:space="preserve"> 万套产能规模（1</w:t>
            </w:r>
            <w:r w:rsidRPr="00146B90">
              <w:rPr>
                <w:rFonts w:ascii="楷体" w:eastAsia="楷体" w:hAnsi="楷体" w:cs="Times New Roman"/>
                <w:bCs/>
                <w:sz w:val="24"/>
                <w:szCs w:val="24"/>
              </w:rPr>
              <w:t>200</w:t>
            </w:r>
            <w:r w:rsidRPr="00146B90">
              <w:rPr>
                <w:rFonts w:ascii="楷体" w:eastAsia="楷体" w:hAnsi="楷体" w:cs="Times New Roman" w:hint="eastAsia"/>
                <w:bCs/>
                <w:sz w:val="24"/>
                <w:szCs w:val="24"/>
              </w:rPr>
              <w:t>万半钢+</w:t>
            </w:r>
            <w:r w:rsidRPr="00146B90">
              <w:rPr>
                <w:rFonts w:ascii="楷体" w:eastAsia="楷体" w:hAnsi="楷体" w:cs="Times New Roman"/>
                <w:bCs/>
                <w:sz w:val="24"/>
                <w:szCs w:val="24"/>
              </w:rPr>
              <w:t>160</w:t>
            </w:r>
            <w:r w:rsidRPr="00146B90">
              <w:rPr>
                <w:rFonts w:ascii="楷体" w:eastAsia="楷体" w:hAnsi="楷体" w:cs="Times New Roman" w:hint="eastAsia"/>
                <w:bCs/>
                <w:sz w:val="24"/>
                <w:szCs w:val="24"/>
              </w:rPr>
              <w:t>万全钢+</w:t>
            </w:r>
            <w:r w:rsidRPr="00146B90">
              <w:rPr>
                <w:rFonts w:ascii="楷体" w:eastAsia="楷体" w:hAnsi="楷体" w:cs="Times New Roman"/>
                <w:bCs/>
                <w:sz w:val="24"/>
                <w:szCs w:val="24"/>
              </w:rPr>
              <w:t>22</w:t>
            </w:r>
            <w:r w:rsidRPr="00146B90">
              <w:rPr>
                <w:rFonts w:ascii="楷体" w:eastAsia="楷体" w:hAnsi="楷体" w:cs="Times New Roman" w:hint="eastAsia"/>
                <w:bCs/>
                <w:sz w:val="24"/>
                <w:szCs w:val="24"/>
              </w:rPr>
              <w:t>万非公路），公司后续将根据现有厂房情况计划对全钢进行扩产。其次，因为美国对泰国的全钢是第一次发起反倾销，考虑有半钢反倾销的先例，一旦后期泰国被加征高额关税，将有利于提升玲珑塞尔维亚工厂的全钢盈利能力以及美国、欧洲市占率。此外，因目前欧洲当地半钢需求特别好，24年1月公司先后通过了大众MAN、大众集团、Nissan以及福特主机厂审核。欧洲当地Stellantis、宝马也在催促评审,希望公司将海外高端配套新项目都迁移至塞尔维亚。由此可见，疫情之后大家对于供应链安全的诉求越来越高。综上，塞尔维亚半钢项目争取24年年底达到600万套产能规模，到25年1200 万套半钢产能全部达成。全钢项目2024年满产，非公路轮胎一期项目2025</w:t>
            </w:r>
            <w:bookmarkStart w:id="0" w:name="_GoBack"/>
            <w:bookmarkEnd w:id="0"/>
            <w:r w:rsidRPr="00146B90">
              <w:rPr>
                <w:rFonts w:ascii="楷体" w:eastAsia="楷体" w:hAnsi="楷体" w:cs="Times New Roman" w:hint="eastAsia"/>
                <w:bCs/>
                <w:sz w:val="24"/>
                <w:szCs w:val="24"/>
              </w:rPr>
              <w:t>年上半年投产。</w:t>
            </w:r>
          </w:p>
          <w:p w:rsidR="00146B90" w:rsidRPr="00146B90" w:rsidRDefault="00146B90" w:rsidP="00146B90">
            <w:pPr>
              <w:adjustRightInd w:val="0"/>
              <w:snapToGrid w:val="0"/>
              <w:spacing w:beforeLines="50" w:before="156" w:afterLines="50" w:after="156" w:line="360" w:lineRule="auto"/>
              <w:ind w:firstLineChars="200" w:firstLine="480"/>
              <w:rPr>
                <w:rFonts w:ascii="楷体" w:eastAsia="楷体" w:hAnsi="楷体" w:cs="Times New Roman"/>
                <w:bCs/>
                <w:sz w:val="24"/>
                <w:szCs w:val="24"/>
              </w:rPr>
            </w:pPr>
            <w:r w:rsidRPr="00146B90">
              <w:rPr>
                <w:rFonts w:ascii="楷体" w:eastAsia="楷体" w:hAnsi="楷体" w:cs="Times New Roman" w:hint="eastAsia"/>
                <w:bCs/>
                <w:sz w:val="24"/>
                <w:szCs w:val="24"/>
              </w:rPr>
              <w:t>塞尔维亚因为新基地生产环境和设备发生变化，所有产品都需要全部重新试制以及试验检测，需要一定周期；其次是受语言沟通、学习能力、敬业性等因素影响，塞尔维亚人员培养周期较长。公司23年四季度开始增加海外劳务派遣，有利于提升整体产能，发挥效率，对整体盈利也将是正向贡献。</w:t>
            </w:r>
          </w:p>
        </w:tc>
      </w:tr>
      <w:tr w:rsidR="006E69FA">
        <w:tc>
          <w:tcPr>
            <w:tcW w:w="2122" w:type="dxa"/>
          </w:tcPr>
          <w:p w:rsidR="006E69FA" w:rsidRDefault="000E3609">
            <w:pPr>
              <w:spacing w:line="360" w:lineRule="auto"/>
              <w:jc w:val="center"/>
              <w:rPr>
                <w:rFonts w:ascii="宋体" w:eastAsia="宋体" w:hAnsi="宋体"/>
                <w:b/>
                <w:sz w:val="24"/>
                <w:szCs w:val="24"/>
              </w:rPr>
            </w:pPr>
            <w:r>
              <w:rPr>
                <w:rFonts w:ascii="宋体" w:eastAsia="宋体" w:hAnsi="宋体" w:hint="eastAsia"/>
                <w:b/>
                <w:sz w:val="24"/>
                <w:szCs w:val="24"/>
              </w:rPr>
              <w:lastRenderedPageBreak/>
              <w:t>附件清单</w:t>
            </w:r>
          </w:p>
        </w:tc>
        <w:tc>
          <w:tcPr>
            <w:tcW w:w="6378" w:type="dxa"/>
            <w:vAlign w:val="center"/>
          </w:tcPr>
          <w:p w:rsidR="006E69FA" w:rsidRDefault="000E3609">
            <w:pPr>
              <w:spacing w:line="360" w:lineRule="auto"/>
              <w:jc w:val="center"/>
              <w:rPr>
                <w:rFonts w:ascii="宋体" w:eastAsia="宋体" w:hAnsi="宋体"/>
                <w:sz w:val="24"/>
                <w:szCs w:val="24"/>
              </w:rPr>
            </w:pPr>
            <w:r>
              <w:rPr>
                <w:rFonts w:ascii="宋体" w:eastAsia="宋体" w:hAnsi="宋体" w:hint="eastAsia"/>
                <w:sz w:val="24"/>
                <w:szCs w:val="24"/>
              </w:rPr>
              <w:t>无</w:t>
            </w:r>
          </w:p>
        </w:tc>
      </w:tr>
      <w:tr w:rsidR="006E69FA">
        <w:tc>
          <w:tcPr>
            <w:tcW w:w="2122" w:type="dxa"/>
          </w:tcPr>
          <w:p w:rsidR="006E69FA" w:rsidRDefault="000E3609">
            <w:pPr>
              <w:spacing w:line="360" w:lineRule="auto"/>
              <w:jc w:val="center"/>
              <w:rPr>
                <w:rFonts w:ascii="宋体" w:eastAsia="宋体" w:hAnsi="宋体"/>
                <w:b/>
                <w:sz w:val="24"/>
                <w:szCs w:val="24"/>
              </w:rPr>
            </w:pPr>
            <w:r>
              <w:rPr>
                <w:rFonts w:ascii="宋体" w:eastAsia="宋体" w:hAnsi="宋体" w:hint="eastAsia"/>
                <w:b/>
                <w:sz w:val="24"/>
                <w:szCs w:val="24"/>
              </w:rPr>
              <w:t>日期</w:t>
            </w:r>
          </w:p>
        </w:tc>
        <w:tc>
          <w:tcPr>
            <w:tcW w:w="6378" w:type="dxa"/>
            <w:vAlign w:val="center"/>
          </w:tcPr>
          <w:p w:rsidR="006E69FA" w:rsidRDefault="000E3609">
            <w:pPr>
              <w:spacing w:line="360" w:lineRule="auto"/>
              <w:jc w:val="cente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02</w:t>
            </w:r>
            <w:r>
              <w:rPr>
                <w:rFonts w:ascii="宋体" w:eastAsia="宋体" w:hAnsi="宋体" w:hint="eastAsia"/>
                <w:sz w:val="24"/>
                <w:szCs w:val="24"/>
              </w:rPr>
              <w:t>4年</w:t>
            </w:r>
            <w:r>
              <w:rPr>
                <w:rFonts w:ascii="宋体" w:eastAsia="宋体" w:hAnsi="宋体"/>
                <w:sz w:val="24"/>
                <w:szCs w:val="24"/>
              </w:rPr>
              <w:t>1</w:t>
            </w:r>
            <w:r>
              <w:rPr>
                <w:rFonts w:ascii="宋体" w:eastAsia="宋体" w:hAnsi="宋体" w:hint="eastAsia"/>
                <w:sz w:val="24"/>
                <w:szCs w:val="24"/>
              </w:rPr>
              <w:t>月</w:t>
            </w:r>
            <w:r>
              <w:rPr>
                <w:rFonts w:ascii="宋体" w:eastAsia="宋体" w:hAnsi="宋体"/>
                <w:sz w:val="24"/>
                <w:szCs w:val="24"/>
              </w:rPr>
              <w:t>2</w:t>
            </w:r>
            <w:r>
              <w:rPr>
                <w:rFonts w:ascii="宋体" w:eastAsia="宋体" w:hAnsi="宋体" w:hint="eastAsia"/>
                <w:sz w:val="24"/>
                <w:szCs w:val="24"/>
              </w:rPr>
              <w:t>5</w:t>
            </w:r>
            <w:r>
              <w:rPr>
                <w:rFonts w:ascii="宋体" w:eastAsia="宋体" w:hAnsi="宋体"/>
                <w:sz w:val="24"/>
                <w:szCs w:val="24"/>
              </w:rPr>
              <w:t xml:space="preserve"> </w:t>
            </w:r>
            <w:r>
              <w:rPr>
                <w:rFonts w:ascii="宋体" w:eastAsia="宋体" w:hAnsi="宋体" w:hint="eastAsia"/>
                <w:sz w:val="24"/>
                <w:szCs w:val="24"/>
              </w:rPr>
              <w:t>日</w:t>
            </w:r>
          </w:p>
        </w:tc>
      </w:tr>
    </w:tbl>
    <w:p w:rsidR="006E69FA" w:rsidRDefault="006E69FA"/>
    <w:sectPr w:rsidR="006E69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0F7" w:rsidRDefault="008650F7"/>
  </w:endnote>
  <w:endnote w:type="continuationSeparator" w:id="0">
    <w:p w:rsidR="008650F7" w:rsidRDefault="008650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0F7" w:rsidRDefault="008650F7"/>
  </w:footnote>
  <w:footnote w:type="continuationSeparator" w:id="0">
    <w:p w:rsidR="008650F7" w:rsidRDefault="008650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83930"/>
    <w:multiLevelType w:val="singleLevel"/>
    <w:tmpl w:val="29C83930"/>
    <w:lvl w:ilvl="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WUwMGM5OGFmMjcyOGU0ZDQ1Y2VkNWQ2NjE3ODJlZDcifQ=="/>
    <w:docVar w:name="KSO_WPS_MARK_KEY" w:val="37542e6e-5940-4221-b7b8-edb23b30d8b7"/>
  </w:docVars>
  <w:rsids>
    <w:rsidRoot w:val="00EC7865"/>
    <w:rsid w:val="00001F3C"/>
    <w:rsid w:val="00055B26"/>
    <w:rsid w:val="00065629"/>
    <w:rsid w:val="000E3609"/>
    <w:rsid w:val="00125378"/>
    <w:rsid w:val="00146B90"/>
    <w:rsid w:val="00174039"/>
    <w:rsid w:val="0019522F"/>
    <w:rsid w:val="001D43C4"/>
    <w:rsid w:val="001E1C4B"/>
    <w:rsid w:val="0023490A"/>
    <w:rsid w:val="002377FC"/>
    <w:rsid w:val="00261809"/>
    <w:rsid w:val="0029648B"/>
    <w:rsid w:val="002B1018"/>
    <w:rsid w:val="002C57C0"/>
    <w:rsid w:val="002D6E7D"/>
    <w:rsid w:val="00303E17"/>
    <w:rsid w:val="00330858"/>
    <w:rsid w:val="00371BF8"/>
    <w:rsid w:val="00386B3B"/>
    <w:rsid w:val="004542CD"/>
    <w:rsid w:val="004B62C0"/>
    <w:rsid w:val="004C0EDC"/>
    <w:rsid w:val="004D1234"/>
    <w:rsid w:val="005650C4"/>
    <w:rsid w:val="005C2310"/>
    <w:rsid w:val="00625270"/>
    <w:rsid w:val="00663FA0"/>
    <w:rsid w:val="00665808"/>
    <w:rsid w:val="006E69FA"/>
    <w:rsid w:val="00716CE8"/>
    <w:rsid w:val="007361EC"/>
    <w:rsid w:val="0078276A"/>
    <w:rsid w:val="008349AA"/>
    <w:rsid w:val="008650F7"/>
    <w:rsid w:val="008809CF"/>
    <w:rsid w:val="008902B4"/>
    <w:rsid w:val="008F2C0F"/>
    <w:rsid w:val="00910A05"/>
    <w:rsid w:val="00965C7C"/>
    <w:rsid w:val="00971342"/>
    <w:rsid w:val="00985E93"/>
    <w:rsid w:val="00994A42"/>
    <w:rsid w:val="009B1E6B"/>
    <w:rsid w:val="00A57185"/>
    <w:rsid w:val="00A85EC0"/>
    <w:rsid w:val="00AC1C8A"/>
    <w:rsid w:val="00AC68C8"/>
    <w:rsid w:val="00AF408E"/>
    <w:rsid w:val="00B728C7"/>
    <w:rsid w:val="00C13979"/>
    <w:rsid w:val="00CC2930"/>
    <w:rsid w:val="00CC4AB2"/>
    <w:rsid w:val="00D15507"/>
    <w:rsid w:val="00D27253"/>
    <w:rsid w:val="00D33669"/>
    <w:rsid w:val="00D65A8E"/>
    <w:rsid w:val="00DF29F8"/>
    <w:rsid w:val="00DF5BD9"/>
    <w:rsid w:val="00E25D0C"/>
    <w:rsid w:val="00E63037"/>
    <w:rsid w:val="00E64D11"/>
    <w:rsid w:val="00E80BB1"/>
    <w:rsid w:val="00E81193"/>
    <w:rsid w:val="00EA1E10"/>
    <w:rsid w:val="00EA6DF7"/>
    <w:rsid w:val="00EC7865"/>
    <w:rsid w:val="00F0096C"/>
    <w:rsid w:val="00F1374D"/>
    <w:rsid w:val="00F475B0"/>
    <w:rsid w:val="00FD54F2"/>
    <w:rsid w:val="79282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4FC7D"/>
  <w15:docId w15:val="{5DB40DF5-B7B9-4D7D-9D17-B66A9C6C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郝丽媛(liyuan_hao)</dc:creator>
  <cp:lastModifiedBy>郝丽媛(liyuan_hao)</cp:lastModifiedBy>
  <cp:revision>9</cp:revision>
  <dcterms:created xsi:type="dcterms:W3CDTF">2024-01-26T07:52:00Z</dcterms:created>
  <dcterms:modified xsi:type="dcterms:W3CDTF">2024-01-26T08:45:00Z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SEDS_HWMT_df553174">
    <vt:lpwstr>f2454010_mFV3xj84Iyk0OMpOl3v5qxhVxp0=_5iwLtV5HXENdbYQi5RKPs2HvQW8w2pVkNQUcra4fmO6CaSwF+lE6tdl/8XRj0yp8iWNwz+4p67JKLnwWhvXDd5ozam2MQF6fCSESKZVtc5OtSFX8mFRFyFIcs9fc8oZUOflECtRTQBc1_cd863e76</vt:lpwstr>
  </property>
  <property fmtid="{D5CDD505-2E9C-101B-9397-08002B2CF9AE}" pid="3" name="KSOProductBuildVer">
    <vt:lpwstr>2052-11.1.0.14309</vt:lpwstr>
  </property>
  <property fmtid="{D5CDD505-2E9C-101B-9397-08002B2CF9AE}" pid="4" name="ICV">
    <vt:lpwstr>B1EEA1F788A54E14B9DCA454648B3F76_12</vt:lpwstr>
  </property>
</Properties>
</file>