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AD" w:rsidRPr="00805EAD" w:rsidRDefault="00BB3A62" w:rsidP="00805EAD">
      <w:pPr>
        <w:jc w:val="center"/>
        <w:rPr>
          <w:rFonts w:ascii="宋体" w:eastAsia="宋体" w:hAnsi="宋体" w:cs="Times New Roman"/>
          <w:sz w:val="24"/>
          <w:szCs w:val="24"/>
        </w:rPr>
      </w:pPr>
      <w:r w:rsidRPr="000659B9">
        <w:rPr>
          <w:rFonts w:ascii="宋体" w:eastAsia="宋体" w:hAnsi="宋体" w:cs="Times New Roman" w:hint="eastAsia"/>
          <w:sz w:val="24"/>
          <w:szCs w:val="24"/>
        </w:rPr>
        <w:t>证券代码：</w:t>
      </w:r>
      <w:r w:rsidR="002E4BBC" w:rsidRPr="000659B9">
        <w:rPr>
          <w:rFonts w:ascii="宋体" w:eastAsia="宋体" w:hAnsi="宋体" w:cs="Times New Roman" w:hint="eastAsia"/>
          <w:sz w:val="24"/>
          <w:szCs w:val="24"/>
        </w:rPr>
        <w:t>603101</w:t>
      </w:r>
      <w:r w:rsidRPr="000659B9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805EAD">
        <w:rPr>
          <w:rFonts w:ascii="宋体" w:eastAsia="宋体" w:hAnsi="宋体" w:cs="Times New Roman" w:hint="eastAsia"/>
          <w:sz w:val="24"/>
          <w:szCs w:val="24"/>
        </w:rPr>
        <w:t xml:space="preserve">                               </w:t>
      </w:r>
      <w:r w:rsidRPr="000659B9">
        <w:rPr>
          <w:rFonts w:ascii="宋体" w:eastAsia="宋体" w:hAnsi="宋体" w:cs="Times New Roman" w:hint="eastAsia"/>
          <w:sz w:val="24"/>
          <w:szCs w:val="24"/>
        </w:rPr>
        <w:t>证券简称：</w:t>
      </w:r>
      <w:r w:rsidR="002E4BBC" w:rsidRPr="000659B9">
        <w:rPr>
          <w:rFonts w:ascii="宋体" w:eastAsia="宋体" w:hAnsi="宋体" w:cs="Times New Roman" w:hint="eastAsia"/>
          <w:sz w:val="24"/>
          <w:szCs w:val="24"/>
        </w:rPr>
        <w:t>汇嘉时代</w:t>
      </w:r>
      <w:r w:rsidRPr="000659B9">
        <w:rPr>
          <w:rFonts w:ascii="宋体" w:eastAsia="宋体" w:hAnsi="宋体" w:cs="Times New Roman"/>
          <w:sz w:val="24"/>
          <w:szCs w:val="24"/>
        </w:rPr>
        <w:t xml:space="preserve"> </w:t>
      </w:r>
      <w:r w:rsidR="000659B9" w:rsidRPr="000659B9">
        <w:rPr>
          <w:rFonts w:ascii="宋体" w:eastAsia="宋体" w:hAnsi="宋体" w:cs="Times New Roman"/>
          <w:sz w:val="24"/>
          <w:szCs w:val="24"/>
        </w:rPr>
        <w:tab/>
      </w:r>
      <w:r w:rsidR="000659B9" w:rsidRPr="000659B9">
        <w:rPr>
          <w:rFonts w:ascii="宋体" w:eastAsia="宋体" w:hAnsi="宋体" w:cs="Times New Roman" w:hint="eastAsia"/>
          <w:sz w:val="24"/>
          <w:szCs w:val="24"/>
        </w:rPr>
        <w:t xml:space="preserve">         </w:t>
      </w:r>
    </w:p>
    <w:p w:rsidR="000659B9" w:rsidRPr="00805EAD" w:rsidRDefault="002E4BBC" w:rsidP="00805EAD">
      <w:pPr>
        <w:jc w:val="center"/>
        <w:rPr>
          <w:rFonts w:ascii="黑体" w:eastAsia="黑体" w:hAnsi="黑体" w:cs="Arial Unicode MS"/>
          <w:b/>
          <w:kern w:val="0"/>
          <w:sz w:val="36"/>
          <w:szCs w:val="36"/>
        </w:rPr>
      </w:pPr>
      <w:r w:rsidRPr="00805EAD">
        <w:rPr>
          <w:rFonts w:ascii="黑体" w:eastAsia="黑体" w:hAnsi="黑体" w:cs="Arial Unicode MS" w:hint="eastAsia"/>
          <w:b/>
          <w:kern w:val="0"/>
          <w:sz w:val="36"/>
          <w:szCs w:val="36"/>
        </w:rPr>
        <w:t>新疆汇嘉时代百货</w:t>
      </w:r>
      <w:r w:rsidR="00BB3A62" w:rsidRPr="00805EAD">
        <w:rPr>
          <w:rFonts w:ascii="黑体" w:eastAsia="黑体" w:hAnsi="黑体" w:cs="Arial Unicode MS" w:hint="eastAsia"/>
          <w:b/>
          <w:kern w:val="0"/>
          <w:sz w:val="36"/>
          <w:szCs w:val="36"/>
        </w:rPr>
        <w:t>股份有限公司</w:t>
      </w:r>
      <w:r w:rsidR="000659B9" w:rsidRPr="00805EAD">
        <w:rPr>
          <w:rFonts w:ascii="黑体" w:eastAsia="黑体" w:hAnsi="黑体" w:cs="Arial Unicode MS"/>
          <w:b/>
          <w:kern w:val="0"/>
          <w:sz w:val="36"/>
          <w:szCs w:val="36"/>
        </w:rPr>
        <w:tab/>
      </w:r>
    </w:p>
    <w:p w:rsidR="000659B9" w:rsidRDefault="00BB3A62" w:rsidP="00805EAD">
      <w:pPr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805EAD">
        <w:rPr>
          <w:rFonts w:ascii="黑体" w:eastAsia="黑体" w:hAnsi="黑体" w:cs="Arial Unicode MS" w:hint="eastAsia"/>
          <w:b/>
          <w:kern w:val="0"/>
          <w:sz w:val="36"/>
          <w:szCs w:val="36"/>
        </w:rPr>
        <w:t>投资者关系活动记录表</w:t>
      </w:r>
      <w:r w:rsidR="000659B9">
        <w:rPr>
          <w:rFonts w:ascii="宋体" w:eastAsia="宋体" w:hAnsi="宋体" w:cs="Times New Roman"/>
          <w:b/>
          <w:bCs/>
          <w:sz w:val="24"/>
          <w:szCs w:val="24"/>
        </w:rPr>
        <w:tab/>
      </w:r>
    </w:p>
    <w:p w:rsidR="001F2CFF" w:rsidRPr="000659B9" w:rsidRDefault="00BB3A62" w:rsidP="00805EAD">
      <w:pPr>
        <w:spacing w:before="260" w:after="260" w:line="240" w:lineRule="exact"/>
        <w:ind w:firstLineChars="700" w:firstLine="1680"/>
        <w:jc w:val="right"/>
        <w:outlineLvl w:val="1"/>
        <w:rPr>
          <w:rFonts w:ascii="宋体" w:eastAsia="宋体" w:hAnsi="宋体" w:cs="Times New Roman"/>
          <w:bCs/>
          <w:iCs/>
          <w:sz w:val="24"/>
          <w:szCs w:val="24"/>
        </w:rPr>
      </w:pPr>
      <w:r w:rsidRPr="000659B9">
        <w:rPr>
          <w:rFonts w:ascii="宋体" w:eastAsia="宋体" w:hAnsi="宋体" w:cs="Times New Roman" w:hint="eastAsia"/>
          <w:bCs/>
          <w:sz w:val="24"/>
          <w:szCs w:val="24"/>
        </w:rPr>
        <w:t>编号：2</w:t>
      </w:r>
      <w:r w:rsidRPr="000659B9">
        <w:rPr>
          <w:rFonts w:ascii="宋体" w:eastAsia="宋体" w:hAnsi="宋体" w:cs="Times New Roman"/>
          <w:bCs/>
          <w:sz w:val="24"/>
          <w:szCs w:val="24"/>
        </w:rPr>
        <w:t>02</w:t>
      </w:r>
      <w:r w:rsidR="00E003CA">
        <w:rPr>
          <w:rFonts w:ascii="宋体" w:eastAsia="宋体" w:hAnsi="宋体" w:cs="Times New Roman" w:hint="eastAsia"/>
          <w:bCs/>
          <w:sz w:val="24"/>
          <w:szCs w:val="24"/>
        </w:rPr>
        <w:t>4</w:t>
      </w:r>
      <w:r w:rsidRPr="000659B9">
        <w:rPr>
          <w:rFonts w:ascii="宋体" w:eastAsia="宋体" w:hAnsi="宋体" w:cs="Times New Roman" w:hint="eastAsia"/>
          <w:bCs/>
          <w:sz w:val="24"/>
          <w:szCs w:val="24"/>
        </w:rPr>
        <w:t>-</w:t>
      </w:r>
      <w:r w:rsidR="000659B9">
        <w:rPr>
          <w:rFonts w:ascii="宋体" w:eastAsia="宋体" w:hAnsi="宋体" w:cs="Times New Roman" w:hint="eastAsia"/>
          <w:bCs/>
          <w:sz w:val="24"/>
          <w:szCs w:val="24"/>
        </w:rPr>
        <w:t>00</w:t>
      </w:r>
      <w:r w:rsidR="00E003CA">
        <w:rPr>
          <w:rFonts w:ascii="宋体" w:eastAsia="宋体" w:hAnsi="宋体" w:cs="Times New Roman" w:hint="eastAsia"/>
          <w:bCs/>
          <w:sz w:val="24"/>
          <w:szCs w:val="24"/>
        </w:rPr>
        <w:t>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379"/>
      </w:tblGrid>
      <w:tr w:rsidR="001F2CFF">
        <w:tc>
          <w:tcPr>
            <w:tcW w:w="2411" w:type="dxa"/>
            <w:shd w:val="clear" w:color="auto" w:fill="auto"/>
            <w:vAlign w:val="center"/>
          </w:tcPr>
          <w:p w:rsidR="001F2CFF" w:rsidRDefault="00BB3A6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379" w:type="dxa"/>
            <w:shd w:val="clear" w:color="auto" w:fill="auto"/>
          </w:tcPr>
          <w:p w:rsidR="001F2CFF" w:rsidRDefault="00BB3A6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:rsidR="001F2CFF" w:rsidRDefault="00BB3A6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:rsidR="001F2CFF" w:rsidRDefault="00BB3A6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 w:rsidR="004504E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:rsidR="001F2CFF" w:rsidRDefault="00BB3A62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现场参观            </w:t>
            </w:r>
            <w:r w:rsidR="004504E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电话会议</w:t>
            </w:r>
          </w:p>
          <w:p w:rsidR="001F2CFF" w:rsidRDefault="00BB3A62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1F2CFF">
        <w:tc>
          <w:tcPr>
            <w:tcW w:w="2411" w:type="dxa"/>
            <w:shd w:val="clear" w:color="auto" w:fill="auto"/>
            <w:vAlign w:val="center"/>
          </w:tcPr>
          <w:p w:rsidR="001F2CFF" w:rsidRDefault="00BB3A6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2CFF" w:rsidRDefault="00BF2C1D" w:rsidP="00EE1923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广发证券、</w:t>
            </w:r>
            <w:r w:rsidR="00D07190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中欧基金、万家基金</w:t>
            </w:r>
            <w:r w:rsidR="00037E4D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、</w:t>
            </w:r>
            <w:r w:rsidR="00037E4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国泰君安证券、惠升基金、正圆基金、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东吴基金、建信基金、爱建信托、博时基金、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西部利得基金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工银瑞信基金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平安资产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交银施罗德基金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进门财经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长安基金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星石投资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金鹰基金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西藏源乘投资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嘉兴鹏弘股权投资基金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摩根士丹利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东海基金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华泰资产管理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中国国际金融股份有限公司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长城财富保险资产管理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华富基金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湘财基金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建信理财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中信建投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浙商证券资产管理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鼎晖投资</w:t>
            </w:r>
            <w:r w:rsidR="00EE192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咨询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尚诚资产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嘉实基金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富敦投资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上海人寿保险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中金基金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海富通基金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E1923" w:rsidRPr="00EE192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资阳市城市建设投资有限公司</w:t>
            </w:r>
            <w:r w:rsidR="00EE192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上海金津投资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E21301" w:rsidRP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景顺长城基金</w:t>
            </w:r>
            <w:r w:rsidR="00E2130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等</w:t>
            </w:r>
          </w:p>
        </w:tc>
      </w:tr>
      <w:tr w:rsidR="001F2CFF">
        <w:tc>
          <w:tcPr>
            <w:tcW w:w="2411" w:type="dxa"/>
            <w:shd w:val="clear" w:color="auto" w:fill="auto"/>
            <w:vAlign w:val="center"/>
          </w:tcPr>
          <w:p w:rsidR="001F2CFF" w:rsidRDefault="00BB3A6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2CFF" w:rsidRDefault="00BB3A62" w:rsidP="0047301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202</w:t>
            </w:r>
            <w:r w:rsidR="00E003C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年1月</w:t>
            </w:r>
            <w:r w:rsidR="00805EA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</w:t>
            </w:r>
            <w:r w:rsidR="00E003C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  <w:r w:rsidR="0047301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73012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202</w:t>
            </w:r>
            <w:r w:rsidR="0047301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4年1月30日</w:t>
            </w:r>
          </w:p>
        </w:tc>
      </w:tr>
      <w:tr w:rsidR="001F2CFF">
        <w:tc>
          <w:tcPr>
            <w:tcW w:w="2411" w:type="dxa"/>
            <w:shd w:val="clear" w:color="auto" w:fill="auto"/>
            <w:vAlign w:val="center"/>
          </w:tcPr>
          <w:p w:rsidR="001F2CFF" w:rsidRDefault="00BB3A6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2CFF" w:rsidRDefault="00CE551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线上会议</w:t>
            </w:r>
          </w:p>
        </w:tc>
      </w:tr>
      <w:tr w:rsidR="001F2CFF">
        <w:tc>
          <w:tcPr>
            <w:tcW w:w="2411" w:type="dxa"/>
            <w:shd w:val="clear" w:color="auto" w:fill="auto"/>
            <w:vAlign w:val="center"/>
          </w:tcPr>
          <w:p w:rsidR="001F2CFF" w:rsidRDefault="00BB3A6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2CFF" w:rsidRDefault="00BB3A6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董事会秘书 </w:t>
            </w:r>
            <w:r w:rsidR="002E4BB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张佩</w:t>
            </w:r>
          </w:p>
        </w:tc>
      </w:tr>
      <w:tr w:rsidR="001F2CFF">
        <w:trPr>
          <w:trHeight w:val="2701"/>
        </w:trPr>
        <w:tc>
          <w:tcPr>
            <w:tcW w:w="2411" w:type="dxa"/>
            <w:shd w:val="clear" w:color="auto" w:fill="auto"/>
            <w:vAlign w:val="center"/>
          </w:tcPr>
          <w:p w:rsidR="001F2CFF" w:rsidRDefault="00BB3A6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379" w:type="dxa"/>
            <w:shd w:val="clear" w:color="auto" w:fill="auto"/>
          </w:tcPr>
          <w:p w:rsidR="00B73515" w:rsidRPr="005269E6" w:rsidRDefault="005269E6" w:rsidP="005269E6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5269E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</w:t>
            </w:r>
            <w:r w:rsidR="003A262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董秘</w:t>
            </w:r>
            <w:r w:rsidRPr="005269E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首先向投资者简要介绍了公司情况，随后与投资者开展沟通交流，交流环节主要内容如下：</w:t>
            </w:r>
          </w:p>
          <w:p w:rsidR="008F34B4" w:rsidRDefault="008F34B4" w:rsidP="005269E6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1、</w:t>
            </w:r>
            <w:r w:rsidR="00D849ED" w:rsidRPr="00D849ED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请问公司</w:t>
            </w:r>
            <w:r w:rsidR="00D849ED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20</w:t>
            </w:r>
            <w:r w:rsidR="00D849ED" w:rsidRPr="00D849ED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23年以来，包括进入到</w:t>
            </w:r>
            <w:r w:rsidR="00D849ED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20</w:t>
            </w:r>
            <w:r w:rsidR="00D849ED" w:rsidRPr="00D849ED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24年后，</w:t>
            </w:r>
            <w:r w:rsidR="005269E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公司门店</w:t>
            </w:r>
            <w:r w:rsidR="00D849ED" w:rsidRPr="00D849ED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的客流、客单、销售额的恢复情况？</w:t>
            </w:r>
            <w:r w:rsidR="00D849ED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8F34B4" w:rsidRPr="004007D4" w:rsidRDefault="008F34B4" w:rsidP="004007D4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8F34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3A7A2F" w:rsidRPr="003E5FDC"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</w:rPr>
              <w:t>2023年，公司凭借深耕新疆市场二十余年的品牌影响力、连锁规模优势以及不断优化营销策略，持续稳定经</w:t>
            </w:r>
            <w:r w:rsidR="003A7A2F" w:rsidRPr="003E5FDC"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</w:rPr>
              <w:lastRenderedPageBreak/>
              <w:t>营，提质增效取得较好效果，经营业绩有效提升</w:t>
            </w:r>
            <w:r w:rsidR="003A7A2F"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</w:rPr>
              <w:t>。</w:t>
            </w:r>
            <w:r w:rsidR="003A7A2F" w:rsidRPr="003A7A2F"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</w:rPr>
              <w:t>和2021年相比，在</w:t>
            </w:r>
            <w:r w:rsidR="00996483" w:rsidRPr="003A7A2F"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</w:rPr>
              <w:t>客流</w:t>
            </w:r>
            <w:r w:rsidR="00996483"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</w:rPr>
              <w:t>量</w:t>
            </w:r>
            <w:r w:rsidR="003A7A2F" w:rsidRPr="003A7A2F"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</w:rPr>
              <w:t>整体提升幅度较小的基础上，客单价的明显提升对整体</w:t>
            </w:r>
            <w:r w:rsidR="003A7A2F"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</w:rPr>
              <w:t>经营业绩带来了较大</w:t>
            </w:r>
            <w:r w:rsidR="003A7A2F" w:rsidRPr="003A7A2F"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</w:rPr>
              <w:t>贡献。</w:t>
            </w:r>
          </w:p>
          <w:p w:rsidR="00CF2F63" w:rsidRDefault="00CF2F63" w:rsidP="005269E6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2、</w:t>
            </w:r>
            <w:r w:rsidR="00C01D22" w:rsidRPr="00C01D22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不同业务板块（百货、购物中心、超市）的增长情况</w:t>
            </w:r>
            <w:r w:rsidR="00C01D22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如何</w:t>
            </w:r>
            <w:r w:rsidR="00C01D22" w:rsidRPr="00C01D22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CF2F63" w:rsidRPr="004007D4" w:rsidRDefault="00CF2F63" w:rsidP="004007D4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8F34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3F4F8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受</w:t>
            </w:r>
            <w:r w:rsidR="006F711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益于百货部分业种业绩恢复增长较快，“</w:t>
            </w:r>
            <w:r w:rsidR="006F711C" w:rsidRPr="006F711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百货</w:t>
            </w:r>
            <w:r w:rsidR="006F711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+购物中心”</w:t>
            </w:r>
            <w:r w:rsidR="006F711C" w:rsidRPr="006F711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业态销售</w:t>
            </w:r>
            <w:r w:rsidR="006F711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同比呈现双位数</w:t>
            </w:r>
            <w:r w:rsidR="006F711C" w:rsidRPr="006F711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增长，其中购物中心</w:t>
            </w:r>
            <w:r w:rsidR="006F711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销售占比8</w:t>
            </w:r>
            <w:r w:rsidR="006F711C" w:rsidRPr="006F711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0%左右。</w:t>
            </w:r>
          </w:p>
          <w:p w:rsidR="001F2CFF" w:rsidRDefault="00510B0E" w:rsidP="00C46340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3</w:t>
            </w:r>
            <w:r w:rsidR="00BB3A62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、</w:t>
            </w:r>
            <w:r w:rsidR="009C63C9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请问不同业务板块目前收入的占比情况，以及坪效</w:t>
            </w:r>
            <w:r w:rsidR="00C46340" w:rsidRPr="00C46340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情况</w:t>
            </w:r>
            <w:r w:rsidR="00DC75E7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BE5ADD" w:rsidRPr="004007D4" w:rsidRDefault="00BB3A62" w:rsidP="004007D4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</w:t>
            </w:r>
            <w:r w:rsidR="00324327">
              <w:rPr>
                <w:rFonts w:ascii="宋体" w:hAnsi="宋体" w:hint="eastAsia"/>
                <w:sz w:val="24"/>
              </w:rPr>
              <w:t>在整体主营收入构成中，百货业态占比在70%左右，其中包括联营及租赁业务收入</w:t>
            </w:r>
            <w:r w:rsidR="00FA495F">
              <w:rPr>
                <w:rFonts w:ascii="宋体" w:hAnsi="宋体" w:hint="eastAsia"/>
                <w:sz w:val="24"/>
              </w:rPr>
              <w:t>。</w:t>
            </w:r>
            <w:r w:rsidR="00324327">
              <w:rPr>
                <w:rFonts w:ascii="宋体" w:hAnsi="宋体" w:hint="eastAsia"/>
                <w:sz w:val="24"/>
              </w:rPr>
              <w:t>从经营坪效方面来看，</w:t>
            </w:r>
            <w:r w:rsidR="00324327" w:rsidRPr="00324327">
              <w:rPr>
                <w:rFonts w:ascii="宋体" w:hAnsi="宋体" w:hint="eastAsia"/>
                <w:sz w:val="24"/>
              </w:rPr>
              <w:t>月坪效、日坪利均较</w:t>
            </w:r>
            <w:r w:rsidR="00324327">
              <w:rPr>
                <w:rFonts w:ascii="宋体" w:hAnsi="宋体" w:hint="eastAsia"/>
                <w:sz w:val="24"/>
              </w:rPr>
              <w:t>同期有小幅增长。</w:t>
            </w:r>
          </w:p>
          <w:p w:rsidR="001F2CFF" w:rsidRDefault="00510B0E" w:rsidP="004E5686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4</w:t>
            </w:r>
            <w:r w:rsidR="00BB3A62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、</w:t>
            </w:r>
            <w:r w:rsidR="004E5686" w:rsidRPr="004E568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请问</w:t>
            </w:r>
            <w:r w:rsidR="009D2C55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公司</w:t>
            </w:r>
            <w:r w:rsidR="004E5686" w:rsidRPr="004E568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线上业务的布局进展</w:t>
            </w:r>
            <w:r w:rsidR="005F1DF9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如何</w:t>
            </w:r>
            <w:r w:rsidR="004471C0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216400" w:rsidRPr="00216400" w:rsidRDefault="00BB3A62" w:rsidP="004007D4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</w:t>
            </w:r>
            <w:r w:rsidR="00F44F0E" w:rsidRPr="00F44F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虽然线上业务对新疆实体零售冲击较小，</w:t>
            </w:r>
            <w:r w:rsidR="00F44F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但是线上线下融合发展是零售业的发展趋势。2023年全新建设启用的小程序“宅猫商城”</w:t>
            </w:r>
            <w:r w:rsidR="00F44F0E">
              <w:rPr>
                <w:rFonts w:hint="eastAsia"/>
              </w:rPr>
              <w:t>，</w:t>
            </w:r>
            <w:r w:rsidR="00F44F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销售额</w:t>
            </w:r>
            <w:r w:rsidR="00F44F0E" w:rsidRPr="00E65D8D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已</w:t>
            </w:r>
            <w:r w:rsidR="00F44F0E" w:rsidRPr="00F44F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连续三个月突破新高</w:t>
            </w:r>
            <w:r w:rsidR="00F44F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。公司在各线上直播平台的直播流量曝光数及</w:t>
            </w:r>
            <w:r w:rsidR="00F44F0E" w:rsidRPr="00F44F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各平台自媒体粉丝</w:t>
            </w:r>
            <w:r w:rsidR="00F44F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数均较前期有明显增加。</w:t>
            </w:r>
            <w:r w:rsidR="007F4E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下一步，公司将对电商业务部门与营销部门进行梳理整合，做到</w:t>
            </w:r>
            <w:r w:rsidR="007F4E96" w:rsidRPr="007F4E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线上各平台以</w:t>
            </w:r>
            <w:r w:rsidR="007F4E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“</w:t>
            </w:r>
            <w:r w:rsidR="007F4E96" w:rsidRPr="007F4E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流量曝光+来客</w:t>
            </w:r>
            <w:r w:rsidR="007F4E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”</w:t>
            </w:r>
            <w:r w:rsidR="007F4E96" w:rsidRPr="007F4E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为核心，为营销活动赋能</w:t>
            </w:r>
            <w:r w:rsidR="007F4E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；</w:t>
            </w:r>
            <w:r w:rsidR="007F4E96" w:rsidRPr="007F4E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营销策划为线上话题、本地生活赋能</w:t>
            </w:r>
            <w:r w:rsidR="007F4E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，提升线上业务整体运营效率。同时，</w:t>
            </w:r>
            <w:r w:rsidR="007F4E96">
              <w:rPr>
                <w:rFonts w:ascii="宋体" w:eastAsia="宋体" w:hAnsi="宋体" w:cs="Times New Roman"/>
                <w:iCs/>
                <w:sz w:val="24"/>
                <w:szCs w:val="24"/>
              </w:rPr>
              <w:t>将进一步搭建新媒体宣传矩阵，</w:t>
            </w:r>
            <w:r w:rsidR="007F4E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统一运营，优化管理。</w:t>
            </w:r>
          </w:p>
          <w:p w:rsidR="001F2CFF" w:rsidRDefault="00510B0E" w:rsidP="009D2C55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5</w:t>
            </w:r>
            <w:r w:rsidR="00BB3A62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、</w:t>
            </w:r>
            <w:r w:rsidR="009B7B59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2024年新店开业的进展如何</w:t>
            </w:r>
            <w:r w:rsidR="00216400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2100E9" w:rsidRDefault="00BB3A62" w:rsidP="004007D4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</w:t>
            </w:r>
            <w:r w:rsidR="00037E4D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公司受托经营的</w:t>
            </w:r>
            <w:r w:rsidR="00037E4D">
              <w:rPr>
                <w:rFonts w:ascii="宋体" w:hAnsi="宋体" w:hint="eastAsia"/>
                <w:sz w:val="24"/>
              </w:rPr>
              <w:t>“哈密市汇嘉时代购物中心”和“汇嘉时代商城”</w:t>
            </w:r>
            <w:r w:rsidR="00545D30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</w:t>
            </w:r>
            <w:r w:rsidR="002100E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以及</w:t>
            </w:r>
            <w:r w:rsidR="002100E9">
              <w:rPr>
                <w:rFonts w:ascii="宋体" w:hAnsi="宋体" w:hint="eastAsia"/>
                <w:sz w:val="24"/>
              </w:rPr>
              <w:t>迁址运营的原好家乡超市哈密市天山店，目前开业前的各项工作正常推进中，预计将于2024年上半年开业运营。</w:t>
            </w:r>
            <w:bookmarkStart w:id="0" w:name="_GoBack"/>
            <w:bookmarkEnd w:id="0"/>
          </w:p>
          <w:p w:rsidR="002100E9" w:rsidRDefault="002100E9" w:rsidP="002100E9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6、</w:t>
            </w:r>
            <w:r w:rsidR="006E2DE4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百货和超市后期毛利率提升的空间在哪里</w:t>
            </w: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2100E9" w:rsidRPr="0016178A" w:rsidRDefault="002100E9" w:rsidP="00630BBA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lastRenderedPageBreak/>
              <w:t>答：</w:t>
            </w:r>
            <w:r w:rsidR="006E0524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公司不断稳固</w:t>
            </w:r>
            <w:r w:rsidR="006E0524" w:rsidRPr="006E0524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深耕新疆市场二十余年的品牌影响力、连锁规模优势</w:t>
            </w:r>
            <w:r w:rsidR="006E0524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等核心竞争力，努力提升议价能力及经营能效。作为保亭商联企业，公司在今年年初加盟河南大张“盛德美”</w:t>
            </w:r>
            <w:r w:rsidR="00630BBA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共享仓行列</w:t>
            </w:r>
            <w:r w:rsidR="006E0524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</w:t>
            </w:r>
            <w:r w:rsidR="00630BBA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推动供应链前移，全面优化超市供应链体系。本次加盟“盛德美”，再一次带动</w:t>
            </w:r>
            <w:r w:rsidR="00630BBA" w:rsidRPr="00630BBA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供应链前置，</w:t>
            </w:r>
            <w:r w:rsidR="00630BBA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在提升商品品质的同时，</w:t>
            </w:r>
            <w:r w:rsidR="00630BBA" w:rsidRPr="00630BBA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毛利空间及价格优势凸显。</w:t>
            </w:r>
          </w:p>
        </w:tc>
      </w:tr>
      <w:tr w:rsidR="001F2CFF">
        <w:trPr>
          <w:trHeight w:val="90"/>
        </w:trPr>
        <w:tc>
          <w:tcPr>
            <w:tcW w:w="2411" w:type="dxa"/>
            <w:shd w:val="clear" w:color="auto" w:fill="auto"/>
            <w:vAlign w:val="center"/>
          </w:tcPr>
          <w:p w:rsidR="001F2CFF" w:rsidRDefault="00BB3A6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关于本次活动是否涉及应披露重大信息的说明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2CFF" w:rsidRDefault="00BB3A6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否</w:t>
            </w:r>
          </w:p>
        </w:tc>
      </w:tr>
      <w:tr w:rsidR="001F2CFF">
        <w:trPr>
          <w:trHeight w:val="1735"/>
        </w:trPr>
        <w:tc>
          <w:tcPr>
            <w:tcW w:w="2411" w:type="dxa"/>
            <w:shd w:val="clear" w:color="auto" w:fill="auto"/>
            <w:vAlign w:val="center"/>
          </w:tcPr>
          <w:p w:rsidR="001F2CFF" w:rsidRDefault="00BB3A6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活动过程中所使用的演示文稿、提供的文档等附件(如有，可作为附件)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2CFF" w:rsidRDefault="00BB3A6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</w:tbl>
    <w:p w:rsidR="001F2CFF" w:rsidRDefault="001F2CFF">
      <w:pPr>
        <w:spacing w:line="360" w:lineRule="auto"/>
      </w:pPr>
    </w:p>
    <w:sectPr w:rsidR="001F2CFF" w:rsidSect="001D71B1">
      <w:footerReference w:type="default" r:id="rId8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C1" w:rsidRDefault="00306DC1" w:rsidP="00726CD1">
      <w:r>
        <w:separator/>
      </w:r>
    </w:p>
  </w:endnote>
  <w:endnote w:type="continuationSeparator" w:id="0">
    <w:p w:rsidR="00306DC1" w:rsidRDefault="00306DC1" w:rsidP="0072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50803"/>
      <w:docPartObj>
        <w:docPartGallery w:val="Page Numbers (Bottom of Page)"/>
        <w:docPartUnique/>
      </w:docPartObj>
    </w:sdtPr>
    <w:sdtEndPr/>
    <w:sdtContent>
      <w:p w:rsidR="00726CD1" w:rsidRDefault="00726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D4" w:rsidRPr="004007D4">
          <w:rPr>
            <w:noProof/>
            <w:lang w:val="zh-CN"/>
          </w:rPr>
          <w:t>2</w:t>
        </w:r>
        <w:r>
          <w:fldChar w:fldCharType="end"/>
        </w:r>
      </w:p>
    </w:sdtContent>
  </w:sdt>
  <w:p w:rsidR="00726CD1" w:rsidRDefault="00726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C1" w:rsidRDefault="00306DC1" w:rsidP="00726CD1">
      <w:r>
        <w:separator/>
      </w:r>
    </w:p>
  </w:footnote>
  <w:footnote w:type="continuationSeparator" w:id="0">
    <w:p w:rsidR="00306DC1" w:rsidRDefault="00306DC1" w:rsidP="00726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IwMzQ5NzgxOTJmOGU2MGJjNDc2YmJhMDY4MWMifQ=="/>
  </w:docVars>
  <w:rsids>
    <w:rsidRoot w:val="00EE26CD"/>
    <w:rsid w:val="000021E9"/>
    <w:rsid w:val="0000466C"/>
    <w:rsid w:val="00007952"/>
    <w:rsid w:val="00014EDC"/>
    <w:rsid w:val="00014F2A"/>
    <w:rsid w:val="00021F69"/>
    <w:rsid w:val="00023F7B"/>
    <w:rsid w:val="000269F1"/>
    <w:rsid w:val="00026CD7"/>
    <w:rsid w:val="00026E2B"/>
    <w:rsid w:val="000270E5"/>
    <w:rsid w:val="000333DF"/>
    <w:rsid w:val="00037E4D"/>
    <w:rsid w:val="00042C46"/>
    <w:rsid w:val="000444E5"/>
    <w:rsid w:val="000528A8"/>
    <w:rsid w:val="0005452E"/>
    <w:rsid w:val="00063DB5"/>
    <w:rsid w:val="0006434F"/>
    <w:rsid w:val="000659B9"/>
    <w:rsid w:val="00070593"/>
    <w:rsid w:val="00070C3B"/>
    <w:rsid w:val="00071B11"/>
    <w:rsid w:val="0007377E"/>
    <w:rsid w:val="00081B36"/>
    <w:rsid w:val="000828F8"/>
    <w:rsid w:val="00085673"/>
    <w:rsid w:val="00086C90"/>
    <w:rsid w:val="000A65EF"/>
    <w:rsid w:val="000B6FFD"/>
    <w:rsid w:val="000C2F52"/>
    <w:rsid w:val="000F6BEB"/>
    <w:rsid w:val="00103C4E"/>
    <w:rsid w:val="00111EF4"/>
    <w:rsid w:val="00113C72"/>
    <w:rsid w:val="00114CEA"/>
    <w:rsid w:val="001221B8"/>
    <w:rsid w:val="00126672"/>
    <w:rsid w:val="001304EB"/>
    <w:rsid w:val="001334C1"/>
    <w:rsid w:val="00136BC5"/>
    <w:rsid w:val="00143A57"/>
    <w:rsid w:val="00151B55"/>
    <w:rsid w:val="0016178A"/>
    <w:rsid w:val="001672FF"/>
    <w:rsid w:val="001819EF"/>
    <w:rsid w:val="00186DBB"/>
    <w:rsid w:val="001965A6"/>
    <w:rsid w:val="001A125C"/>
    <w:rsid w:val="001B00D8"/>
    <w:rsid w:val="001B011E"/>
    <w:rsid w:val="001B508F"/>
    <w:rsid w:val="001B7B58"/>
    <w:rsid w:val="001C6609"/>
    <w:rsid w:val="001C7C07"/>
    <w:rsid w:val="001D0DED"/>
    <w:rsid w:val="001D337E"/>
    <w:rsid w:val="001D5222"/>
    <w:rsid w:val="001D71B1"/>
    <w:rsid w:val="001D7A5D"/>
    <w:rsid w:val="001E2BC5"/>
    <w:rsid w:val="001E5E64"/>
    <w:rsid w:val="001E7F7C"/>
    <w:rsid w:val="001F2572"/>
    <w:rsid w:val="001F2CFF"/>
    <w:rsid w:val="001F44D9"/>
    <w:rsid w:val="001F5B62"/>
    <w:rsid w:val="002100E9"/>
    <w:rsid w:val="002118DC"/>
    <w:rsid w:val="00214C8F"/>
    <w:rsid w:val="00216400"/>
    <w:rsid w:val="002278FB"/>
    <w:rsid w:val="00232813"/>
    <w:rsid w:val="00234237"/>
    <w:rsid w:val="00234D03"/>
    <w:rsid w:val="00251EF8"/>
    <w:rsid w:val="002525E9"/>
    <w:rsid w:val="0025271B"/>
    <w:rsid w:val="00255B4A"/>
    <w:rsid w:val="00256250"/>
    <w:rsid w:val="002608FE"/>
    <w:rsid w:val="00260E7E"/>
    <w:rsid w:val="002650F9"/>
    <w:rsid w:val="00267056"/>
    <w:rsid w:val="002739C7"/>
    <w:rsid w:val="00273BE7"/>
    <w:rsid w:val="00273D9E"/>
    <w:rsid w:val="0028148B"/>
    <w:rsid w:val="00286F7B"/>
    <w:rsid w:val="0029285E"/>
    <w:rsid w:val="00293FBB"/>
    <w:rsid w:val="00295236"/>
    <w:rsid w:val="002A15B6"/>
    <w:rsid w:val="002B0AD4"/>
    <w:rsid w:val="002B75F5"/>
    <w:rsid w:val="002C1C3B"/>
    <w:rsid w:val="002C23DD"/>
    <w:rsid w:val="002C3AD1"/>
    <w:rsid w:val="002D15D1"/>
    <w:rsid w:val="002D3753"/>
    <w:rsid w:val="002E4BBC"/>
    <w:rsid w:val="002F1B04"/>
    <w:rsid w:val="002F4C46"/>
    <w:rsid w:val="002F6186"/>
    <w:rsid w:val="002F6EAD"/>
    <w:rsid w:val="00306DC1"/>
    <w:rsid w:val="00307607"/>
    <w:rsid w:val="00307EC1"/>
    <w:rsid w:val="0031032E"/>
    <w:rsid w:val="003131C3"/>
    <w:rsid w:val="0031371B"/>
    <w:rsid w:val="00320D9D"/>
    <w:rsid w:val="00320EA7"/>
    <w:rsid w:val="00324327"/>
    <w:rsid w:val="00327CE4"/>
    <w:rsid w:val="00336191"/>
    <w:rsid w:val="00340A0E"/>
    <w:rsid w:val="003413FD"/>
    <w:rsid w:val="003508D5"/>
    <w:rsid w:val="003524BC"/>
    <w:rsid w:val="00352EEC"/>
    <w:rsid w:val="00352F1C"/>
    <w:rsid w:val="0035572A"/>
    <w:rsid w:val="00362CD0"/>
    <w:rsid w:val="00363384"/>
    <w:rsid w:val="0037038A"/>
    <w:rsid w:val="003722F1"/>
    <w:rsid w:val="0037245D"/>
    <w:rsid w:val="00376EB2"/>
    <w:rsid w:val="0038034C"/>
    <w:rsid w:val="00386F86"/>
    <w:rsid w:val="00397642"/>
    <w:rsid w:val="003A046B"/>
    <w:rsid w:val="003A262C"/>
    <w:rsid w:val="003A2EB2"/>
    <w:rsid w:val="003A7A2F"/>
    <w:rsid w:val="003B13A4"/>
    <w:rsid w:val="003C0892"/>
    <w:rsid w:val="003D2A88"/>
    <w:rsid w:val="003D2F73"/>
    <w:rsid w:val="003D40E0"/>
    <w:rsid w:val="003F2A5A"/>
    <w:rsid w:val="003F37E1"/>
    <w:rsid w:val="003F4F89"/>
    <w:rsid w:val="003F6D0B"/>
    <w:rsid w:val="004007D4"/>
    <w:rsid w:val="00400B90"/>
    <w:rsid w:val="0040142B"/>
    <w:rsid w:val="00404723"/>
    <w:rsid w:val="004106EC"/>
    <w:rsid w:val="00411262"/>
    <w:rsid w:val="00415FC4"/>
    <w:rsid w:val="00420071"/>
    <w:rsid w:val="0042182D"/>
    <w:rsid w:val="00425BB1"/>
    <w:rsid w:val="00432964"/>
    <w:rsid w:val="00433835"/>
    <w:rsid w:val="004471C0"/>
    <w:rsid w:val="004504E6"/>
    <w:rsid w:val="0046123F"/>
    <w:rsid w:val="00467B9C"/>
    <w:rsid w:val="00470346"/>
    <w:rsid w:val="00472F77"/>
    <w:rsid w:val="00473012"/>
    <w:rsid w:val="00473F91"/>
    <w:rsid w:val="00482D5D"/>
    <w:rsid w:val="004859A7"/>
    <w:rsid w:val="00495655"/>
    <w:rsid w:val="004A5431"/>
    <w:rsid w:val="004A58CB"/>
    <w:rsid w:val="004B3AB4"/>
    <w:rsid w:val="004B500C"/>
    <w:rsid w:val="004C2002"/>
    <w:rsid w:val="004C3E41"/>
    <w:rsid w:val="004C6956"/>
    <w:rsid w:val="004D4156"/>
    <w:rsid w:val="004D614E"/>
    <w:rsid w:val="004E25DD"/>
    <w:rsid w:val="004E4CBB"/>
    <w:rsid w:val="004E5686"/>
    <w:rsid w:val="004F5C3F"/>
    <w:rsid w:val="00504DF9"/>
    <w:rsid w:val="00507071"/>
    <w:rsid w:val="00510286"/>
    <w:rsid w:val="00510B0E"/>
    <w:rsid w:val="00524D04"/>
    <w:rsid w:val="005269E6"/>
    <w:rsid w:val="00534D66"/>
    <w:rsid w:val="0054404C"/>
    <w:rsid w:val="00545D30"/>
    <w:rsid w:val="00572A6D"/>
    <w:rsid w:val="00582D78"/>
    <w:rsid w:val="00584526"/>
    <w:rsid w:val="00584951"/>
    <w:rsid w:val="00584D8F"/>
    <w:rsid w:val="00587DAB"/>
    <w:rsid w:val="00590DC4"/>
    <w:rsid w:val="005917EA"/>
    <w:rsid w:val="005953E9"/>
    <w:rsid w:val="005A0CBE"/>
    <w:rsid w:val="005A17E4"/>
    <w:rsid w:val="005A3CFE"/>
    <w:rsid w:val="005A4D77"/>
    <w:rsid w:val="005B17EF"/>
    <w:rsid w:val="005B3D04"/>
    <w:rsid w:val="005B628F"/>
    <w:rsid w:val="005C19C5"/>
    <w:rsid w:val="005C6678"/>
    <w:rsid w:val="005D087C"/>
    <w:rsid w:val="005D20DD"/>
    <w:rsid w:val="005E4F20"/>
    <w:rsid w:val="005E5F7A"/>
    <w:rsid w:val="005E602E"/>
    <w:rsid w:val="005F1DF9"/>
    <w:rsid w:val="005F2C62"/>
    <w:rsid w:val="005F3897"/>
    <w:rsid w:val="005F7318"/>
    <w:rsid w:val="006016A0"/>
    <w:rsid w:val="00605119"/>
    <w:rsid w:val="00606A42"/>
    <w:rsid w:val="00623855"/>
    <w:rsid w:val="00626FB3"/>
    <w:rsid w:val="00630BBA"/>
    <w:rsid w:val="0063129A"/>
    <w:rsid w:val="006323B5"/>
    <w:rsid w:val="00642382"/>
    <w:rsid w:val="00643F90"/>
    <w:rsid w:val="0064637F"/>
    <w:rsid w:val="00653A71"/>
    <w:rsid w:val="00655835"/>
    <w:rsid w:val="00667FB5"/>
    <w:rsid w:val="00672C00"/>
    <w:rsid w:val="00680B65"/>
    <w:rsid w:val="00686E4C"/>
    <w:rsid w:val="0069619A"/>
    <w:rsid w:val="006A2E11"/>
    <w:rsid w:val="006A3184"/>
    <w:rsid w:val="006E0524"/>
    <w:rsid w:val="006E2DE4"/>
    <w:rsid w:val="006E3B82"/>
    <w:rsid w:val="006E7372"/>
    <w:rsid w:val="006F32A2"/>
    <w:rsid w:val="006F438E"/>
    <w:rsid w:val="006F711C"/>
    <w:rsid w:val="00701E34"/>
    <w:rsid w:val="007118F2"/>
    <w:rsid w:val="00713A75"/>
    <w:rsid w:val="00726CD1"/>
    <w:rsid w:val="00733488"/>
    <w:rsid w:val="00735F4D"/>
    <w:rsid w:val="00746249"/>
    <w:rsid w:val="00751592"/>
    <w:rsid w:val="00756A97"/>
    <w:rsid w:val="00757362"/>
    <w:rsid w:val="0076183F"/>
    <w:rsid w:val="00763BC1"/>
    <w:rsid w:val="00766D6F"/>
    <w:rsid w:val="00770B3F"/>
    <w:rsid w:val="00771A91"/>
    <w:rsid w:val="00773213"/>
    <w:rsid w:val="00785284"/>
    <w:rsid w:val="0079430A"/>
    <w:rsid w:val="00794C8B"/>
    <w:rsid w:val="00795940"/>
    <w:rsid w:val="007A4905"/>
    <w:rsid w:val="007B196F"/>
    <w:rsid w:val="007B6B6B"/>
    <w:rsid w:val="007C39F3"/>
    <w:rsid w:val="007C7447"/>
    <w:rsid w:val="007C7D09"/>
    <w:rsid w:val="007D4A82"/>
    <w:rsid w:val="007E1F58"/>
    <w:rsid w:val="007F2176"/>
    <w:rsid w:val="007F4E96"/>
    <w:rsid w:val="00805EAD"/>
    <w:rsid w:val="00806573"/>
    <w:rsid w:val="00814484"/>
    <w:rsid w:val="008160A1"/>
    <w:rsid w:val="00816CED"/>
    <w:rsid w:val="00821685"/>
    <w:rsid w:val="00827570"/>
    <w:rsid w:val="00827C6C"/>
    <w:rsid w:val="00836E8C"/>
    <w:rsid w:val="008453D5"/>
    <w:rsid w:val="008552F7"/>
    <w:rsid w:val="00857E84"/>
    <w:rsid w:val="00873293"/>
    <w:rsid w:val="00875E95"/>
    <w:rsid w:val="008914C8"/>
    <w:rsid w:val="00894406"/>
    <w:rsid w:val="008A120E"/>
    <w:rsid w:val="008B39D8"/>
    <w:rsid w:val="008B4886"/>
    <w:rsid w:val="008B5EE1"/>
    <w:rsid w:val="008C04C9"/>
    <w:rsid w:val="008C4D32"/>
    <w:rsid w:val="008C6B72"/>
    <w:rsid w:val="008C7588"/>
    <w:rsid w:val="008D2B96"/>
    <w:rsid w:val="008D3726"/>
    <w:rsid w:val="008E10E7"/>
    <w:rsid w:val="008E245B"/>
    <w:rsid w:val="008F34B4"/>
    <w:rsid w:val="008F5F3A"/>
    <w:rsid w:val="00900BAF"/>
    <w:rsid w:val="009108F5"/>
    <w:rsid w:val="0091400E"/>
    <w:rsid w:val="009157EF"/>
    <w:rsid w:val="009224F5"/>
    <w:rsid w:val="00924412"/>
    <w:rsid w:val="0092574C"/>
    <w:rsid w:val="00941808"/>
    <w:rsid w:val="00942951"/>
    <w:rsid w:val="009457DF"/>
    <w:rsid w:val="0095035C"/>
    <w:rsid w:val="009553B1"/>
    <w:rsid w:val="0096018C"/>
    <w:rsid w:val="0096391C"/>
    <w:rsid w:val="00966C22"/>
    <w:rsid w:val="009678BF"/>
    <w:rsid w:val="00973FBC"/>
    <w:rsid w:val="009776A7"/>
    <w:rsid w:val="00980694"/>
    <w:rsid w:val="00985FA5"/>
    <w:rsid w:val="009868C0"/>
    <w:rsid w:val="00991961"/>
    <w:rsid w:val="00996483"/>
    <w:rsid w:val="009B29E8"/>
    <w:rsid w:val="009B7B59"/>
    <w:rsid w:val="009C06A4"/>
    <w:rsid w:val="009C63B1"/>
    <w:rsid w:val="009C63C9"/>
    <w:rsid w:val="009D2C55"/>
    <w:rsid w:val="009E0B46"/>
    <w:rsid w:val="009E3D68"/>
    <w:rsid w:val="009E5798"/>
    <w:rsid w:val="00A03AA1"/>
    <w:rsid w:val="00A04996"/>
    <w:rsid w:val="00A05042"/>
    <w:rsid w:val="00A10F5B"/>
    <w:rsid w:val="00A16F6F"/>
    <w:rsid w:val="00A24382"/>
    <w:rsid w:val="00A31B20"/>
    <w:rsid w:val="00A32B73"/>
    <w:rsid w:val="00A32ED1"/>
    <w:rsid w:val="00A37775"/>
    <w:rsid w:val="00A40825"/>
    <w:rsid w:val="00A41A06"/>
    <w:rsid w:val="00A56101"/>
    <w:rsid w:val="00A57863"/>
    <w:rsid w:val="00A6487E"/>
    <w:rsid w:val="00A70EC0"/>
    <w:rsid w:val="00A71BFD"/>
    <w:rsid w:val="00A76F0C"/>
    <w:rsid w:val="00A878CB"/>
    <w:rsid w:val="00A97143"/>
    <w:rsid w:val="00A97D76"/>
    <w:rsid w:val="00AA5E76"/>
    <w:rsid w:val="00AB03BB"/>
    <w:rsid w:val="00AB45D6"/>
    <w:rsid w:val="00AD237A"/>
    <w:rsid w:val="00AD445E"/>
    <w:rsid w:val="00AD4B08"/>
    <w:rsid w:val="00AE00B6"/>
    <w:rsid w:val="00AE3EE3"/>
    <w:rsid w:val="00AF6EE4"/>
    <w:rsid w:val="00B07508"/>
    <w:rsid w:val="00B12278"/>
    <w:rsid w:val="00B27C19"/>
    <w:rsid w:val="00B36A53"/>
    <w:rsid w:val="00B4298C"/>
    <w:rsid w:val="00B446BA"/>
    <w:rsid w:val="00B47853"/>
    <w:rsid w:val="00B57667"/>
    <w:rsid w:val="00B577E9"/>
    <w:rsid w:val="00B61BCB"/>
    <w:rsid w:val="00B67838"/>
    <w:rsid w:val="00B70645"/>
    <w:rsid w:val="00B73515"/>
    <w:rsid w:val="00B73AED"/>
    <w:rsid w:val="00B855F5"/>
    <w:rsid w:val="00B8596B"/>
    <w:rsid w:val="00B87C18"/>
    <w:rsid w:val="00B922C8"/>
    <w:rsid w:val="00B948F2"/>
    <w:rsid w:val="00B95F5D"/>
    <w:rsid w:val="00BB20B3"/>
    <w:rsid w:val="00BB3A62"/>
    <w:rsid w:val="00BE0789"/>
    <w:rsid w:val="00BE20BB"/>
    <w:rsid w:val="00BE277C"/>
    <w:rsid w:val="00BE54C4"/>
    <w:rsid w:val="00BE5ADD"/>
    <w:rsid w:val="00BE5D9C"/>
    <w:rsid w:val="00BF1133"/>
    <w:rsid w:val="00BF2C1D"/>
    <w:rsid w:val="00C001F3"/>
    <w:rsid w:val="00C01D22"/>
    <w:rsid w:val="00C104B8"/>
    <w:rsid w:val="00C1636B"/>
    <w:rsid w:val="00C207C2"/>
    <w:rsid w:val="00C32714"/>
    <w:rsid w:val="00C37AAB"/>
    <w:rsid w:val="00C40B1A"/>
    <w:rsid w:val="00C42788"/>
    <w:rsid w:val="00C46340"/>
    <w:rsid w:val="00C47614"/>
    <w:rsid w:val="00C5254A"/>
    <w:rsid w:val="00C52F40"/>
    <w:rsid w:val="00C531CC"/>
    <w:rsid w:val="00C55E93"/>
    <w:rsid w:val="00C56171"/>
    <w:rsid w:val="00C70DF2"/>
    <w:rsid w:val="00C7174C"/>
    <w:rsid w:val="00C860DF"/>
    <w:rsid w:val="00C91519"/>
    <w:rsid w:val="00C9168C"/>
    <w:rsid w:val="00C91FD9"/>
    <w:rsid w:val="00C93888"/>
    <w:rsid w:val="00C951AA"/>
    <w:rsid w:val="00CA1877"/>
    <w:rsid w:val="00CC092E"/>
    <w:rsid w:val="00CC4FD6"/>
    <w:rsid w:val="00CC6538"/>
    <w:rsid w:val="00CC78CC"/>
    <w:rsid w:val="00CD419D"/>
    <w:rsid w:val="00CD5CAD"/>
    <w:rsid w:val="00CD65D6"/>
    <w:rsid w:val="00CD66E0"/>
    <w:rsid w:val="00CE551D"/>
    <w:rsid w:val="00CE6D72"/>
    <w:rsid w:val="00CF2F63"/>
    <w:rsid w:val="00CF6F6C"/>
    <w:rsid w:val="00D07190"/>
    <w:rsid w:val="00D100A7"/>
    <w:rsid w:val="00D12BD7"/>
    <w:rsid w:val="00D13CFA"/>
    <w:rsid w:val="00D170E1"/>
    <w:rsid w:val="00D208A4"/>
    <w:rsid w:val="00D327C1"/>
    <w:rsid w:val="00D37CB6"/>
    <w:rsid w:val="00D40268"/>
    <w:rsid w:val="00D40C13"/>
    <w:rsid w:val="00D41E36"/>
    <w:rsid w:val="00D5622E"/>
    <w:rsid w:val="00D7427C"/>
    <w:rsid w:val="00D76F2A"/>
    <w:rsid w:val="00D849ED"/>
    <w:rsid w:val="00D84DF8"/>
    <w:rsid w:val="00D8580E"/>
    <w:rsid w:val="00D93D53"/>
    <w:rsid w:val="00D96FB9"/>
    <w:rsid w:val="00DA3342"/>
    <w:rsid w:val="00DA4962"/>
    <w:rsid w:val="00DA5894"/>
    <w:rsid w:val="00DB1D3C"/>
    <w:rsid w:val="00DC75E7"/>
    <w:rsid w:val="00DD2242"/>
    <w:rsid w:val="00DD27C7"/>
    <w:rsid w:val="00DE31A5"/>
    <w:rsid w:val="00DE7F6D"/>
    <w:rsid w:val="00E003CA"/>
    <w:rsid w:val="00E0172D"/>
    <w:rsid w:val="00E070CB"/>
    <w:rsid w:val="00E07C47"/>
    <w:rsid w:val="00E103E9"/>
    <w:rsid w:val="00E21301"/>
    <w:rsid w:val="00E24E41"/>
    <w:rsid w:val="00E32A31"/>
    <w:rsid w:val="00E53347"/>
    <w:rsid w:val="00E53783"/>
    <w:rsid w:val="00E61A61"/>
    <w:rsid w:val="00E61CEB"/>
    <w:rsid w:val="00E64488"/>
    <w:rsid w:val="00E65D8D"/>
    <w:rsid w:val="00E66878"/>
    <w:rsid w:val="00E668C5"/>
    <w:rsid w:val="00E803AB"/>
    <w:rsid w:val="00E93DA5"/>
    <w:rsid w:val="00EA3651"/>
    <w:rsid w:val="00EA6288"/>
    <w:rsid w:val="00EC10E4"/>
    <w:rsid w:val="00EC1ED4"/>
    <w:rsid w:val="00EC28FD"/>
    <w:rsid w:val="00ED24EB"/>
    <w:rsid w:val="00ED3AB2"/>
    <w:rsid w:val="00ED53EA"/>
    <w:rsid w:val="00EE02A6"/>
    <w:rsid w:val="00EE16DD"/>
    <w:rsid w:val="00EE1923"/>
    <w:rsid w:val="00EE26CD"/>
    <w:rsid w:val="00EE7C85"/>
    <w:rsid w:val="00EF4863"/>
    <w:rsid w:val="00F044CF"/>
    <w:rsid w:val="00F06B8F"/>
    <w:rsid w:val="00F1256C"/>
    <w:rsid w:val="00F142F3"/>
    <w:rsid w:val="00F32FC6"/>
    <w:rsid w:val="00F37BD3"/>
    <w:rsid w:val="00F42E00"/>
    <w:rsid w:val="00F44F0E"/>
    <w:rsid w:val="00F50F83"/>
    <w:rsid w:val="00F51380"/>
    <w:rsid w:val="00F5385A"/>
    <w:rsid w:val="00F60682"/>
    <w:rsid w:val="00F6394E"/>
    <w:rsid w:val="00F66E15"/>
    <w:rsid w:val="00F743F0"/>
    <w:rsid w:val="00F744EC"/>
    <w:rsid w:val="00F74675"/>
    <w:rsid w:val="00F76634"/>
    <w:rsid w:val="00F870FA"/>
    <w:rsid w:val="00F87C66"/>
    <w:rsid w:val="00F93AD8"/>
    <w:rsid w:val="00F9738B"/>
    <w:rsid w:val="00FA495F"/>
    <w:rsid w:val="00FA5092"/>
    <w:rsid w:val="00FA56AE"/>
    <w:rsid w:val="00FB28D9"/>
    <w:rsid w:val="00FB28F5"/>
    <w:rsid w:val="00FB4A0F"/>
    <w:rsid w:val="00FC12C0"/>
    <w:rsid w:val="00FC19DF"/>
    <w:rsid w:val="00FC2937"/>
    <w:rsid w:val="00FC55FE"/>
    <w:rsid w:val="00FD225E"/>
    <w:rsid w:val="00FE33A1"/>
    <w:rsid w:val="00FE6D51"/>
    <w:rsid w:val="00FE6ED9"/>
    <w:rsid w:val="00FF291F"/>
    <w:rsid w:val="00FF4F78"/>
    <w:rsid w:val="0C0D2A8D"/>
    <w:rsid w:val="15152076"/>
    <w:rsid w:val="1B064130"/>
    <w:rsid w:val="2F064DB0"/>
    <w:rsid w:val="32242D99"/>
    <w:rsid w:val="34650269"/>
    <w:rsid w:val="444C06CA"/>
    <w:rsid w:val="467F0394"/>
    <w:rsid w:val="4CF7225E"/>
    <w:rsid w:val="4EEE1BA7"/>
    <w:rsid w:val="5E151E13"/>
    <w:rsid w:val="620135F5"/>
    <w:rsid w:val="685428D3"/>
    <w:rsid w:val="72731A54"/>
    <w:rsid w:val="762211C3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Style6">
    <w:name w:val="_Style 6"/>
    <w:basedOn w:val="a"/>
    <w:uiPriority w:val="34"/>
    <w:qFormat/>
    <w:rsid w:val="00126672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Style6">
    <w:name w:val="_Style 6"/>
    <w:basedOn w:val="a"/>
    <w:uiPriority w:val="34"/>
    <w:qFormat/>
    <w:rsid w:val="0012667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FFE1-CCD0-4E76-9F91-886454A4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257</Words>
  <Characters>1470</Characters>
  <Application>Microsoft Office Word</Application>
  <DocSecurity>0</DocSecurity>
  <Lines>12</Lines>
  <Paragraphs>3</Paragraphs>
  <ScaleCrop>false</ScaleCrop>
  <Company>P R C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Windows User</cp:lastModifiedBy>
  <cp:revision>75</cp:revision>
  <dcterms:created xsi:type="dcterms:W3CDTF">2020-08-17T08:25:00Z</dcterms:created>
  <dcterms:modified xsi:type="dcterms:W3CDTF">2024-01-31T08:40:00Z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77C1E4A06FC347CEA5C75856282C62C5_13</vt:lpwstr>
  </property>
</Properties>
</file>