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eastAsiaTheme="minorEastAsia"/>
          <w:b/>
          <w:bCs/>
          <w:iCs/>
          <w:color w:val="000000"/>
          <w:szCs w:val="21"/>
        </w:rPr>
      </w:pPr>
      <w:r>
        <w:rPr>
          <w:rFonts w:hint="eastAsia"/>
          <w:b/>
          <w:bCs/>
          <w:iCs/>
          <w:color w:val="000000"/>
          <w:szCs w:val="21"/>
        </w:rPr>
        <w:t>证券代码：</w:t>
      </w:r>
      <w:r>
        <w:rPr>
          <w:b/>
          <w:bCs/>
          <w:iCs/>
          <w:color w:val="000000"/>
          <w:szCs w:val="21"/>
        </w:rPr>
        <w:t>603</w:t>
      </w:r>
      <w:r>
        <w:rPr>
          <w:rFonts w:eastAsiaTheme="minorEastAsia"/>
          <w:b/>
          <w:bCs/>
          <w:iCs/>
          <w:color w:val="000000"/>
          <w:szCs w:val="21"/>
        </w:rPr>
        <w:t>810</w:t>
      </w:r>
      <w:r>
        <w:rPr>
          <w:b/>
          <w:bCs/>
          <w:iCs/>
          <w:color w:val="000000"/>
          <w:szCs w:val="21"/>
        </w:rPr>
        <w:t xml:space="preserve">                                             </w:t>
      </w:r>
      <w:r>
        <w:rPr>
          <w:rFonts w:hint="eastAsia"/>
          <w:b/>
          <w:bCs/>
          <w:iCs/>
          <w:color w:val="000000"/>
          <w:szCs w:val="21"/>
        </w:rPr>
        <w:t>证券简称：</w:t>
      </w:r>
      <w:r>
        <w:rPr>
          <w:rFonts w:hint="eastAsia" w:eastAsiaTheme="minorEastAsia"/>
          <w:b/>
          <w:bCs/>
          <w:iCs/>
          <w:color w:val="000000"/>
          <w:szCs w:val="21"/>
        </w:rPr>
        <w:t>丰山集团</w:t>
      </w:r>
    </w:p>
    <w:p>
      <w:pPr>
        <w:jc w:val="center"/>
        <w:rPr>
          <w:rFonts w:eastAsiaTheme="minorEastAsia"/>
          <w:b/>
          <w:sz w:val="36"/>
          <w:szCs w:val="36"/>
        </w:rPr>
      </w:pPr>
      <w:r>
        <w:rPr>
          <w:rFonts w:hint="eastAsia" w:eastAsiaTheme="minorEastAsia"/>
          <w:b/>
          <w:sz w:val="36"/>
          <w:szCs w:val="36"/>
        </w:rPr>
        <w:t>江苏丰山集团股份有限公司</w:t>
      </w:r>
      <w:r>
        <w:rPr>
          <w:rFonts w:eastAsiaTheme="minorEastAsia"/>
          <w:b/>
          <w:sz w:val="36"/>
          <w:szCs w:val="36"/>
        </w:rPr>
        <w:t xml:space="preserve"> </w:t>
      </w:r>
    </w:p>
    <w:p>
      <w:pPr>
        <w:jc w:val="center"/>
        <w:rPr>
          <w:rFonts w:eastAsiaTheme="minorEastAsia"/>
          <w:b/>
          <w:sz w:val="36"/>
          <w:szCs w:val="36"/>
        </w:rPr>
      </w:pPr>
      <w:r>
        <w:rPr>
          <w:rFonts w:hint="eastAsia" w:eastAsiaTheme="minorEastAsia"/>
          <w:b/>
          <w:sz w:val="36"/>
          <w:szCs w:val="36"/>
        </w:rPr>
        <w:t>投资者关系活动记录表</w:t>
      </w:r>
    </w:p>
    <w:tbl>
      <w:tblPr>
        <w:tblStyle w:val="9"/>
        <w:tblW w:w="8646" w:type="dxa"/>
        <w:jc w:val="center"/>
        <w:tblLayout w:type="fixed"/>
        <w:tblCellMar>
          <w:top w:w="0" w:type="dxa"/>
          <w:left w:w="108" w:type="dxa"/>
          <w:bottom w:w="0" w:type="dxa"/>
          <w:right w:w="108" w:type="dxa"/>
        </w:tblCellMar>
      </w:tblPr>
      <w:tblGrid>
        <w:gridCol w:w="1422"/>
        <w:gridCol w:w="3090"/>
        <w:gridCol w:w="1780"/>
        <w:gridCol w:w="2354"/>
      </w:tblGrid>
      <w:tr>
        <w:tblPrEx>
          <w:tblCellMar>
            <w:top w:w="0" w:type="dxa"/>
            <w:left w:w="108" w:type="dxa"/>
            <w:bottom w:w="0" w:type="dxa"/>
            <w:right w:w="108" w:type="dxa"/>
          </w:tblCellMar>
        </w:tblPrEx>
        <w:trPr>
          <w:trHeight w:val="330" w:hRule="atLeast"/>
          <w:jc w:val="center"/>
        </w:trPr>
        <w:tc>
          <w:tcPr>
            <w:tcW w:w="1422"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投资者关系活动类别</w:t>
            </w:r>
          </w:p>
        </w:tc>
        <w:tc>
          <w:tcPr>
            <w:tcW w:w="3090" w:type="dxa"/>
            <w:tcBorders>
              <w:top w:val="single" w:color="auto" w:sz="4" w:space="0"/>
              <w:left w:val="single" w:color="auto" w:sz="4" w:space="0"/>
              <w:bottom w:val="nil"/>
              <w:right w:val="nil"/>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lang w:bidi="ar"/>
              </w:rPr>
              <w:t>☑</w:t>
            </w:r>
            <w:r>
              <w:rPr>
                <w:rFonts w:hint="eastAsia" w:ascii="宋体" w:hAnsi="宋体" w:cs="宋体"/>
                <w:color w:val="000000"/>
                <w:kern w:val="0"/>
                <w:szCs w:val="21"/>
              </w:rPr>
              <w:t>特定对象调研</w:t>
            </w:r>
          </w:p>
        </w:tc>
        <w:tc>
          <w:tcPr>
            <w:tcW w:w="1780" w:type="dxa"/>
            <w:tcBorders>
              <w:top w:val="single" w:color="auto" w:sz="4" w:space="0"/>
              <w:left w:val="nil"/>
              <w:bottom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□分析师会议</w:t>
            </w:r>
          </w:p>
        </w:tc>
        <w:tc>
          <w:tcPr>
            <w:tcW w:w="2354" w:type="dxa"/>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30" w:hRule="atLeast"/>
          <w:jc w:val="center"/>
        </w:trPr>
        <w:tc>
          <w:tcPr>
            <w:tcW w:w="142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color w:val="000000"/>
                <w:kern w:val="0"/>
                <w:sz w:val="22"/>
                <w:szCs w:val="22"/>
              </w:rPr>
            </w:pPr>
          </w:p>
        </w:tc>
        <w:tc>
          <w:tcPr>
            <w:tcW w:w="3090"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□媒体采访</w:t>
            </w:r>
          </w:p>
        </w:tc>
        <w:tc>
          <w:tcPr>
            <w:tcW w:w="1780" w:type="dxa"/>
            <w:tcBorders>
              <w:top w:val="nil"/>
              <w:left w:val="nil"/>
              <w:bottom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□业绩说明会</w:t>
            </w:r>
          </w:p>
        </w:tc>
        <w:tc>
          <w:tcPr>
            <w:tcW w:w="2354"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30" w:hRule="atLeast"/>
          <w:jc w:val="center"/>
        </w:trPr>
        <w:tc>
          <w:tcPr>
            <w:tcW w:w="142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color w:val="000000"/>
                <w:kern w:val="0"/>
                <w:sz w:val="22"/>
                <w:szCs w:val="22"/>
              </w:rPr>
            </w:pPr>
          </w:p>
        </w:tc>
        <w:tc>
          <w:tcPr>
            <w:tcW w:w="3090"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□新闻发布会</w:t>
            </w:r>
          </w:p>
        </w:tc>
        <w:tc>
          <w:tcPr>
            <w:tcW w:w="1780" w:type="dxa"/>
            <w:tcBorders>
              <w:top w:val="nil"/>
              <w:left w:val="nil"/>
              <w:bottom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□路演活动</w:t>
            </w:r>
          </w:p>
        </w:tc>
        <w:tc>
          <w:tcPr>
            <w:tcW w:w="2354"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30" w:hRule="atLeast"/>
          <w:jc w:val="center"/>
        </w:trPr>
        <w:tc>
          <w:tcPr>
            <w:tcW w:w="142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color w:val="000000"/>
                <w:kern w:val="0"/>
                <w:sz w:val="22"/>
                <w:szCs w:val="22"/>
              </w:rPr>
            </w:pPr>
          </w:p>
        </w:tc>
        <w:tc>
          <w:tcPr>
            <w:tcW w:w="3090" w:type="dxa"/>
            <w:tcBorders>
              <w:top w:val="nil"/>
              <w:left w:val="single" w:color="auto" w:sz="4" w:space="0"/>
              <w:bottom w:val="nil"/>
              <w:right w:val="nil"/>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lang w:bidi="ar"/>
              </w:rPr>
              <w:t>□</w:t>
            </w:r>
            <w:r>
              <w:rPr>
                <w:rFonts w:hint="eastAsia" w:ascii="宋体" w:hAnsi="宋体" w:cs="宋体"/>
                <w:color w:val="000000"/>
                <w:kern w:val="0"/>
                <w:szCs w:val="21"/>
              </w:rPr>
              <w:t>现场参观</w:t>
            </w:r>
          </w:p>
        </w:tc>
        <w:tc>
          <w:tcPr>
            <w:tcW w:w="1780" w:type="dxa"/>
            <w:tcBorders>
              <w:top w:val="nil"/>
              <w:left w:val="nil"/>
              <w:bottom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w:t>
            </w:r>
          </w:p>
        </w:tc>
        <w:tc>
          <w:tcPr>
            <w:tcW w:w="2354"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54" w:hRule="atLeast"/>
          <w:jc w:val="center"/>
        </w:trPr>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参与单位名称及人员姓名</w:t>
            </w:r>
          </w:p>
        </w:tc>
        <w:tc>
          <w:tcPr>
            <w:tcW w:w="72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见附件</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jc w:val="center"/>
        </w:trPr>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时间</w:t>
            </w:r>
          </w:p>
        </w:tc>
        <w:tc>
          <w:tcPr>
            <w:tcW w:w="722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color w:val="000000"/>
                <w:kern w:val="0"/>
                <w:szCs w:val="21"/>
              </w:rPr>
              <w:t>202</w:t>
            </w:r>
            <w:r>
              <w:rPr>
                <w:rFonts w:hint="eastAsia"/>
                <w:color w:val="000000"/>
                <w:kern w:val="0"/>
                <w:szCs w:val="21"/>
              </w:rPr>
              <w:t>4</w:t>
            </w:r>
            <w:r>
              <w:rPr>
                <w:color w:val="000000"/>
                <w:kern w:val="0"/>
                <w:szCs w:val="21"/>
              </w:rPr>
              <w:t>年1月</w:t>
            </w:r>
            <w:r>
              <w:rPr>
                <w:rFonts w:hint="eastAsia"/>
                <w:color w:val="000000"/>
                <w:kern w:val="0"/>
                <w:szCs w:val="21"/>
              </w:rPr>
              <w:t>30</w:t>
            </w:r>
            <w:r>
              <w:rPr>
                <w:color w:val="000000"/>
                <w:kern w:val="0"/>
                <w:szCs w:val="21"/>
              </w:rPr>
              <w:t>日</w:t>
            </w:r>
            <w:r>
              <w:rPr>
                <w:rFonts w:hint="eastAsia"/>
                <w:color w:val="000000"/>
                <w:kern w:val="0"/>
                <w:szCs w:val="21"/>
              </w:rPr>
              <w:t>15:0</w:t>
            </w:r>
            <w:r>
              <w:rPr>
                <w:color w:val="000000"/>
                <w:kern w:val="0"/>
                <w:szCs w:val="21"/>
              </w:rPr>
              <w:t>0-1</w:t>
            </w:r>
            <w:r>
              <w:rPr>
                <w:rFonts w:hint="eastAsia"/>
                <w:color w:val="000000"/>
                <w:kern w:val="0"/>
                <w:szCs w:val="21"/>
              </w:rPr>
              <w:t>5</w:t>
            </w:r>
            <w:r>
              <w:rPr>
                <w:color w:val="000000"/>
                <w:kern w:val="0"/>
                <w:szCs w:val="21"/>
              </w:rPr>
              <w:t>:</w:t>
            </w:r>
            <w:r>
              <w:rPr>
                <w:rFonts w:hint="eastAsia"/>
                <w:color w:val="000000"/>
                <w:kern w:val="0"/>
                <w:szCs w:val="21"/>
              </w:rPr>
              <w:t>3</w:t>
            </w:r>
            <w:r>
              <w:rPr>
                <w:color w:val="000000"/>
                <w:kern w:val="0"/>
                <w:szCs w:val="21"/>
              </w:rPr>
              <w:t>0</w:t>
            </w:r>
          </w:p>
        </w:tc>
      </w:tr>
      <w:tr>
        <w:tblPrEx>
          <w:tblCellMar>
            <w:top w:w="0" w:type="dxa"/>
            <w:left w:w="108" w:type="dxa"/>
            <w:bottom w:w="0" w:type="dxa"/>
            <w:right w:w="108" w:type="dxa"/>
          </w:tblCellMar>
        </w:tblPrEx>
        <w:trPr>
          <w:trHeight w:val="465" w:hRule="atLeast"/>
          <w:jc w:val="center"/>
        </w:trPr>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方式</w:t>
            </w:r>
          </w:p>
        </w:tc>
        <w:tc>
          <w:tcPr>
            <w:tcW w:w="722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rFonts w:hint="eastAsia"/>
                <w:color w:val="000000"/>
                <w:kern w:val="0"/>
                <w:szCs w:val="21"/>
              </w:rPr>
              <w:t>进门财经电话会议</w:t>
            </w:r>
          </w:p>
        </w:tc>
      </w:tr>
      <w:tr>
        <w:tblPrEx>
          <w:tblCellMar>
            <w:top w:w="0" w:type="dxa"/>
            <w:left w:w="108" w:type="dxa"/>
            <w:bottom w:w="0" w:type="dxa"/>
            <w:right w:w="108" w:type="dxa"/>
          </w:tblCellMar>
        </w:tblPrEx>
        <w:trPr>
          <w:trHeight w:val="678" w:hRule="atLeast"/>
          <w:jc w:val="center"/>
        </w:trPr>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上市公司接待人员姓名</w:t>
            </w:r>
          </w:p>
        </w:tc>
        <w:tc>
          <w:tcPr>
            <w:tcW w:w="722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Cs w:val="21"/>
              </w:rPr>
            </w:pPr>
          </w:p>
          <w:p>
            <w:pPr>
              <w:widowControl/>
              <w:jc w:val="left"/>
              <w:rPr>
                <w:color w:val="000000"/>
                <w:kern w:val="0"/>
                <w:szCs w:val="21"/>
              </w:rPr>
            </w:pPr>
            <w:r>
              <w:rPr>
                <w:rFonts w:hint="eastAsia"/>
                <w:color w:val="000000"/>
                <w:kern w:val="0"/>
                <w:szCs w:val="21"/>
              </w:rPr>
              <w:t>江苏丰山集团股份有限公司（以下简称“公司”）：</w:t>
            </w:r>
          </w:p>
          <w:p>
            <w:pPr>
              <w:widowControl/>
              <w:jc w:val="left"/>
              <w:rPr>
                <w:color w:val="000000"/>
                <w:kern w:val="0"/>
                <w:szCs w:val="21"/>
              </w:rPr>
            </w:pPr>
            <w:r>
              <w:rPr>
                <w:color w:val="000000"/>
                <w:kern w:val="0"/>
                <w:szCs w:val="21"/>
              </w:rPr>
              <w:t>董事会秘书：赵青</w:t>
            </w:r>
          </w:p>
          <w:p>
            <w:pPr>
              <w:widowControl/>
              <w:jc w:val="left"/>
              <w:rPr>
                <w:color w:val="000000"/>
                <w:kern w:val="0"/>
                <w:szCs w:val="21"/>
              </w:rPr>
            </w:pPr>
            <w:r>
              <w:rPr>
                <w:rFonts w:hint="eastAsia"/>
                <w:color w:val="000000"/>
                <w:kern w:val="0"/>
                <w:szCs w:val="21"/>
              </w:rPr>
              <w:t>证券事务部工作人员：梁慧颖</w:t>
            </w:r>
          </w:p>
          <w:p>
            <w:pPr>
              <w:widowControl/>
              <w:jc w:val="left"/>
              <w:rPr>
                <w:color w:val="000000"/>
                <w:kern w:val="0"/>
                <w:szCs w:val="21"/>
              </w:rPr>
            </w:pPr>
          </w:p>
        </w:tc>
      </w:tr>
      <w:tr>
        <w:tblPrEx>
          <w:tblCellMar>
            <w:top w:w="0" w:type="dxa"/>
            <w:left w:w="108" w:type="dxa"/>
            <w:bottom w:w="0" w:type="dxa"/>
            <w:right w:w="108" w:type="dxa"/>
          </w:tblCellMar>
        </w:tblPrEx>
        <w:trPr>
          <w:trHeight w:val="794" w:hRule="atLeast"/>
          <w:jc w:val="center"/>
        </w:trPr>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投资者关系活动主要内容介绍</w:t>
            </w:r>
          </w:p>
        </w:tc>
        <w:tc>
          <w:tcPr>
            <w:tcW w:w="722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szCs w:val="21"/>
              </w:rPr>
            </w:pPr>
            <w:r>
              <w:rPr>
                <w:rFonts w:hint="eastAsia"/>
                <w:szCs w:val="21"/>
              </w:rPr>
              <w:t>一、对公司基本情况进行介绍。</w:t>
            </w:r>
          </w:p>
          <w:p>
            <w:pPr>
              <w:rPr>
                <w:szCs w:val="21"/>
              </w:rPr>
            </w:pPr>
            <w:r>
              <w:rPr>
                <w:rFonts w:hint="eastAsia"/>
                <w:szCs w:val="21"/>
              </w:rPr>
              <w:t>二、参与人员主要有以下提问：</w:t>
            </w:r>
          </w:p>
          <w:p>
            <w:pPr>
              <w:rPr>
                <w:b/>
                <w:bCs/>
                <w:szCs w:val="21"/>
              </w:rPr>
            </w:pPr>
            <w:r>
              <w:rPr>
                <w:rFonts w:hint="eastAsia"/>
                <w:b/>
                <w:bCs/>
                <w:szCs w:val="21"/>
              </w:rPr>
              <w:t>1、公司后续发展规划？</w:t>
            </w:r>
          </w:p>
          <w:p>
            <w:pPr>
              <w:rPr>
                <w:rFonts w:hint="eastAsia"/>
                <w:szCs w:val="21"/>
              </w:rPr>
            </w:pPr>
            <w:r>
              <w:rPr>
                <w:rFonts w:hint="eastAsia"/>
                <w:b/>
                <w:bCs/>
                <w:szCs w:val="21"/>
              </w:rPr>
              <w:t xml:space="preserve"> </w:t>
            </w:r>
            <w:r>
              <w:rPr>
                <w:b/>
                <w:bCs/>
                <w:szCs w:val="21"/>
              </w:rPr>
              <w:t xml:space="preserve">   </w:t>
            </w:r>
            <w:r>
              <w:rPr>
                <w:rFonts w:hint="eastAsia"/>
                <w:szCs w:val="21"/>
              </w:rPr>
              <w:t>公司未来发展规划将继续沿着既定的三大板块（农药板块、新能源电子化工板块、高端化工新材料板块）发展战略，通过投资、并购不断健全、完善上下游产业链。</w:t>
            </w:r>
          </w:p>
          <w:p>
            <w:pPr>
              <w:ind w:firstLine="420" w:firstLineChars="200"/>
              <w:rPr>
                <w:rFonts w:hint="eastAsia" w:eastAsia="宋体"/>
                <w:szCs w:val="21"/>
                <w:lang w:val="en-US" w:eastAsia="zh-CN"/>
              </w:rPr>
            </w:pPr>
            <w:r>
              <w:rPr>
                <w:rFonts w:hint="eastAsia"/>
                <w:szCs w:val="21"/>
              </w:rPr>
              <w:t>加快上述三大板块的规划及建设，有利于公司降低化工行业周期性对公司业绩波动造成的影响，</w:t>
            </w:r>
            <w:r>
              <w:rPr>
                <w:rFonts w:hint="eastAsia"/>
                <w:szCs w:val="21"/>
                <w:lang w:val="en-US" w:eastAsia="zh-CN"/>
              </w:rPr>
              <w:t>有利于</w:t>
            </w:r>
            <w:r>
              <w:rPr>
                <w:rFonts w:hint="eastAsia"/>
                <w:szCs w:val="21"/>
              </w:rPr>
              <w:t>平滑公司业绩波动</w:t>
            </w:r>
            <w:r>
              <w:rPr>
                <w:rFonts w:hint="eastAsia"/>
                <w:szCs w:val="21"/>
                <w:lang w:eastAsia="zh-CN"/>
              </w:rPr>
              <w:t>。</w:t>
            </w:r>
          </w:p>
          <w:p>
            <w:pPr>
              <w:ind w:firstLine="420" w:firstLineChars="200"/>
              <w:rPr>
                <w:szCs w:val="21"/>
              </w:rPr>
            </w:pPr>
          </w:p>
          <w:p>
            <w:pPr>
              <w:numPr>
                <w:ilvl w:val="0"/>
                <w:numId w:val="1"/>
              </w:numPr>
              <w:rPr>
                <w:b/>
                <w:bCs/>
                <w:szCs w:val="21"/>
              </w:rPr>
            </w:pPr>
            <w:r>
              <w:rPr>
                <w:rFonts w:hint="eastAsia"/>
                <w:b/>
                <w:bCs/>
                <w:szCs w:val="21"/>
              </w:rPr>
              <w:t>公司在半固态电池电解液方面的进展以及公司是如何看待固态电池与半固态电池的发展前景？</w:t>
            </w:r>
          </w:p>
          <w:p>
            <w:pPr>
              <w:numPr>
                <w:ilvl w:val="0"/>
                <w:numId w:val="2"/>
              </w:numPr>
              <w:ind w:firstLine="420" w:firstLineChars="200"/>
              <w:rPr>
                <w:szCs w:val="21"/>
              </w:rPr>
            </w:pPr>
            <w:r>
              <w:rPr>
                <w:rFonts w:hint="eastAsia"/>
                <w:szCs w:val="21"/>
              </w:rPr>
              <w:t>公司半固态电池电解液处于开发研究阶段。</w:t>
            </w:r>
          </w:p>
          <w:p>
            <w:pPr>
              <w:numPr>
                <w:ilvl w:val="0"/>
                <w:numId w:val="2"/>
              </w:numPr>
              <w:ind w:firstLine="420" w:firstLineChars="200"/>
              <w:rPr>
                <w:szCs w:val="21"/>
              </w:rPr>
            </w:pPr>
            <w:r>
              <w:rPr>
                <w:rFonts w:hint="eastAsia"/>
                <w:szCs w:val="21"/>
              </w:rPr>
              <w:t>从整个行业上讲预计半固态电池规模化推向市场可能早于固态电池，当然行业中也存在不同的看法。</w:t>
            </w:r>
          </w:p>
          <w:p>
            <w:pPr>
              <w:rPr>
                <w:szCs w:val="21"/>
              </w:rPr>
            </w:pPr>
          </w:p>
          <w:p>
            <w:pPr>
              <w:numPr>
                <w:ilvl w:val="0"/>
                <w:numId w:val="3"/>
              </w:numPr>
              <w:rPr>
                <w:b/>
                <w:bCs/>
                <w:szCs w:val="21"/>
              </w:rPr>
            </w:pPr>
            <w:r>
              <w:rPr>
                <w:rFonts w:hint="eastAsia"/>
                <w:b/>
                <w:bCs/>
                <w:szCs w:val="21"/>
              </w:rPr>
              <w:t>钠离子电池的制备过程与锂离子的不同之处？</w:t>
            </w:r>
          </w:p>
          <w:p>
            <w:pPr>
              <w:rPr>
                <w:rFonts w:hint="default" w:eastAsia="宋体"/>
                <w:color w:val="0000FF"/>
                <w:szCs w:val="21"/>
                <w:lang w:val="en-US" w:eastAsia="zh-CN"/>
              </w:rPr>
            </w:pPr>
            <w:r>
              <w:rPr>
                <w:rFonts w:hint="eastAsia"/>
                <w:b/>
                <w:bCs/>
                <w:szCs w:val="21"/>
              </w:rPr>
              <w:t xml:space="preserve"> </w:t>
            </w:r>
            <w:r>
              <w:rPr>
                <w:b/>
                <w:bCs/>
                <w:szCs w:val="21"/>
              </w:rPr>
              <w:t xml:space="preserve">  </w:t>
            </w:r>
            <w:r>
              <w:rPr>
                <w:szCs w:val="21"/>
              </w:rPr>
              <w:t xml:space="preserve"> </w:t>
            </w:r>
            <w:r>
              <w:rPr>
                <w:rFonts w:hint="eastAsia"/>
                <w:szCs w:val="21"/>
              </w:rPr>
              <w:t>就电解液而言，无论钠盐电解液还是锂盐电解液主要是添加物不同，配方不同。丰山全诺是公司切入新能源电子化工领域的关键环节，丰山全诺主要从事新型电池电解液的研发、生产与销售。我们对自身的定位是以技术开发引领销售，而非传统的销售模式。钠离子电池行业处在逐步商业化、规模化阶段。公司在钠离子电解液研发上与其他电解液公司处于同一起跑线上，谁能够和钠离子电池企业形成紧密技术开发合作，谁就能为后期钠电池规模化应用抢占市场先机。</w:t>
            </w:r>
            <w:r>
              <w:rPr>
                <w:rFonts w:hint="eastAsia"/>
                <w:color w:val="auto"/>
                <w:szCs w:val="21"/>
                <w:lang w:val="en-US" w:eastAsia="zh-CN"/>
              </w:rPr>
              <w:t>当然钠离子商业化进度和规模取决于电池的商业化成本以及市场的认可、替代电池产品的成本情况。</w:t>
            </w:r>
          </w:p>
          <w:p>
            <w:pPr>
              <w:ind w:firstLine="420" w:firstLineChars="200"/>
              <w:rPr>
                <w:szCs w:val="21"/>
              </w:rPr>
            </w:pPr>
          </w:p>
          <w:p>
            <w:pPr>
              <w:numPr>
                <w:ilvl w:val="0"/>
                <w:numId w:val="3"/>
              </w:numPr>
              <w:rPr>
                <w:b/>
                <w:bCs/>
                <w:szCs w:val="21"/>
              </w:rPr>
            </w:pPr>
            <w:r>
              <w:rPr>
                <w:rFonts w:hint="eastAsia"/>
                <w:b/>
                <w:bCs/>
                <w:szCs w:val="21"/>
              </w:rPr>
              <w:t>公司如何看待目前电解液出现过剩的情况，在行业竞争激烈的背景下，公司的优势何在？</w:t>
            </w:r>
          </w:p>
          <w:p>
            <w:pPr>
              <w:ind w:firstLine="420" w:firstLineChars="200"/>
              <w:rPr>
                <w:rFonts w:hint="default" w:eastAsia="宋体"/>
                <w:color w:val="auto"/>
                <w:szCs w:val="21"/>
                <w:lang w:val="en-US" w:eastAsia="zh-CN"/>
              </w:rPr>
            </w:pPr>
            <w:r>
              <w:rPr>
                <w:rFonts w:hint="eastAsia"/>
                <w:szCs w:val="21"/>
              </w:rPr>
              <w:t>目前就整个市场来讲，电解液确实是相对过剩的，</w:t>
            </w:r>
            <w:r>
              <w:rPr>
                <w:rFonts w:hint="eastAsia"/>
                <w:color w:val="auto"/>
                <w:szCs w:val="21"/>
              </w:rPr>
              <w:t>但新能源行业</w:t>
            </w:r>
            <w:r>
              <w:rPr>
                <w:rFonts w:hint="eastAsia"/>
                <w:color w:val="auto"/>
                <w:szCs w:val="21"/>
                <w:lang w:val="en-US" w:eastAsia="zh-CN"/>
              </w:rPr>
              <w:t>仍处在增长阶段</w:t>
            </w:r>
            <w:r>
              <w:rPr>
                <w:rFonts w:hint="eastAsia"/>
                <w:color w:val="0000FF"/>
                <w:szCs w:val="21"/>
              </w:rPr>
              <w:t>。</w:t>
            </w:r>
            <w:r>
              <w:rPr>
                <w:rFonts w:hint="eastAsia"/>
                <w:szCs w:val="21"/>
              </w:rPr>
              <w:t>对于新进入电解液行业的丰山全诺来讲，其优势主要是技术创新，也必须以技术创新和研发新型电解液为竞争手段。以此建立与电池厂从</w:t>
            </w:r>
            <w:r>
              <w:rPr>
                <w:rFonts w:hint="eastAsia"/>
                <w:szCs w:val="21"/>
                <w:highlight w:val="none"/>
              </w:rPr>
              <w:t>新型电池项目技术开发</w:t>
            </w:r>
            <w:r>
              <w:rPr>
                <w:rFonts w:hint="eastAsia"/>
                <w:szCs w:val="21"/>
              </w:rPr>
              <w:t>到后端销售的全流程参与的紧密合作关系，提升自身竞争力，拓宽后期供货渠道。丰山全诺与众钠合作就是采用的这种模式。</w:t>
            </w:r>
            <w:r>
              <w:rPr>
                <w:rFonts w:hint="eastAsia"/>
                <w:color w:val="auto"/>
                <w:szCs w:val="21"/>
                <w:lang w:val="en-US" w:eastAsia="zh-CN"/>
              </w:rPr>
              <w:t>丰山全诺是否能达到公司战略预期一方面受宏观经济及新能源电池行业增长情况影响，同时也受丰山全诺开发客户是否达预期的影响。</w:t>
            </w:r>
          </w:p>
          <w:p>
            <w:pPr>
              <w:rPr>
                <w:szCs w:val="21"/>
              </w:rPr>
            </w:pPr>
          </w:p>
          <w:p>
            <w:pPr>
              <w:numPr>
                <w:ilvl w:val="0"/>
                <w:numId w:val="3"/>
              </w:numPr>
              <w:rPr>
                <w:b/>
                <w:bCs/>
                <w:szCs w:val="21"/>
              </w:rPr>
            </w:pPr>
            <w:r>
              <w:rPr>
                <w:rFonts w:hint="eastAsia"/>
                <w:b/>
                <w:bCs/>
                <w:szCs w:val="21"/>
              </w:rPr>
              <w:t>公司生产电解液的原材料是否主要通过外购，后期是否有自己供给的规划？</w:t>
            </w:r>
          </w:p>
          <w:p>
            <w:pPr>
              <w:ind w:firstLine="420" w:firstLineChars="200"/>
              <w:rPr>
                <w:szCs w:val="21"/>
              </w:rPr>
            </w:pPr>
            <w:r>
              <w:rPr>
                <w:rFonts w:hint="eastAsia"/>
                <w:szCs w:val="21"/>
              </w:rPr>
              <w:t>目前公司是通过外购的，但公司的战略规划是以电解液为切入点逐步向上游原材料拓展，向上游原材料开发配套的进度还要取决于丰山全诺电解液的整体销售情况及上游原材料市场情况。</w:t>
            </w:r>
          </w:p>
          <w:p>
            <w:pPr>
              <w:rPr>
                <w:szCs w:val="21"/>
              </w:rPr>
            </w:pPr>
          </w:p>
          <w:p>
            <w:pPr>
              <w:numPr>
                <w:ilvl w:val="0"/>
                <w:numId w:val="3"/>
              </w:numPr>
              <w:rPr>
                <w:b/>
                <w:bCs/>
                <w:szCs w:val="21"/>
              </w:rPr>
            </w:pPr>
            <w:r>
              <w:rPr>
                <w:rFonts w:hint="eastAsia"/>
                <w:b/>
                <w:bCs/>
                <w:szCs w:val="21"/>
              </w:rPr>
              <w:t>后续公司的业绩增长点是否主要来源于新能源板块？</w:t>
            </w:r>
          </w:p>
          <w:p>
            <w:pPr>
              <w:ind w:firstLine="315" w:firstLineChars="150"/>
              <w:rPr>
                <w:rFonts w:hint="default"/>
                <w:color w:val="auto"/>
                <w:szCs w:val="21"/>
                <w:lang w:val="en-US"/>
              </w:rPr>
            </w:pPr>
            <w:bookmarkStart w:id="0" w:name="_GoBack"/>
            <w:bookmarkEnd w:id="0"/>
            <w:r>
              <w:rPr>
                <w:rFonts w:hint="eastAsia"/>
                <w:szCs w:val="21"/>
              </w:rPr>
              <w:t>支撑公司未来业绩增长的有三大板块，农药板块；新能源板块；高端精细化工新材料板块。农药行业具有一定的周期性，2</w:t>
            </w:r>
            <w:r>
              <w:rPr>
                <w:szCs w:val="21"/>
              </w:rPr>
              <w:t>023</w:t>
            </w:r>
            <w:r>
              <w:rPr>
                <w:rFonts w:hint="eastAsia"/>
                <w:szCs w:val="21"/>
              </w:rPr>
              <w:t>年因下游市场消化库存导致农药行业整体相对疲软，对公司业绩产生了影响。新能源行业增长较快，我们也加快了投资建设，丰山全诺项目从签署协议到建成</w:t>
            </w:r>
            <w:r>
              <w:rPr>
                <w:rFonts w:hint="eastAsia"/>
                <w:szCs w:val="21"/>
                <w:lang w:val="en-US" w:eastAsia="zh-CN"/>
              </w:rPr>
              <w:t>仅用一年时间</w:t>
            </w:r>
            <w:r>
              <w:rPr>
                <w:rFonts w:hint="eastAsia"/>
                <w:szCs w:val="21"/>
              </w:rPr>
              <w:t>，充分体现了公司对新能源板块的重视。今后公司将继续投入更多的资源推动新能源板块尽早实现公司战略预期；高端精细化工新材料甲苯氯化项目，</w:t>
            </w:r>
            <w:r>
              <w:rPr>
                <w:rFonts w:hint="eastAsia"/>
                <w:color w:val="auto"/>
                <w:szCs w:val="21"/>
              </w:rPr>
              <w:t>下游</w:t>
            </w:r>
            <w:r>
              <w:rPr>
                <w:rFonts w:hint="eastAsia"/>
                <w:color w:val="auto"/>
                <w:szCs w:val="21"/>
                <w:lang w:val="en-US" w:eastAsia="zh-CN"/>
              </w:rPr>
              <w:t>衍生产品较多</w:t>
            </w:r>
            <w:r>
              <w:rPr>
                <w:rFonts w:hint="eastAsia"/>
                <w:szCs w:val="21"/>
              </w:rPr>
              <w:t>，沿着氯化甲苯为起始原材料向下游不断延伸产业链，有助于公司进一步提升产品竞争力和业绩增长点。</w:t>
            </w:r>
            <w:r>
              <w:rPr>
                <w:rFonts w:hint="eastAsia"/>
                <w:color w:val="auto"/>
                <w:szCs w:val="21"/>
                <w:lang w:val="en-US" w:eastAsia="zh-CN"/>
              </w:rPr>
              <w:t>公司产业规划落实的进度是公司要重点推动的，请大家关注公司相关项目落实的进展公告。</w:t>
            </w:r>
          </w:p>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510" w:hRule="atLeast"/>
          <w:jc w:val="center"/>
        </w:trPr>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附件清单</w:t>
            </w:r>
          </w:p>
        </w:tc>
        <w:tc>
          <w:tcPr>
            <w:tcW w:w="722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Cs w:val="21"/>
              </w:rPr>
            </w:pPr>
            <w:r>
              <w:rPr>
                <w:rFonts w:hint="eastAsia"/>
                <w:color w:val="000000"/>
                <w:kern w:val="0"/>
                <w:szCs w:val="21"/>
              </w:rPr>
              <w:t>参会人员名单</w:t>
            </w:r>
          </w:p>
        </w:tc>
      </w:tr>
      <w:tr>
        <w:tblPrEx>
          <w:tblCellMar>
            <w:top w:w="0" w:type="dxa"/>
            <w:left w:w="108" w:type="dxa"/>
            <w:bottom w:w="0" w:type="dxa"/>
            <w:right w:w="108" w:type="dxa"/>
          </w:tblCellMar>
        </w:tblPrEx>
        <w:trPr>
          <w:trHeight w:val="454" w:hRule="atLeast"/>
          <w:jc w:val="center"/>
        </w:trPr>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日期</w:t>
            </w:r>
          </w:p>
        </w:tc>
        <w:tc>
          <w:tcPr>
            <w:tcW w:w="72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left"/>
              <w:rPr>
                <w:color w:val="000000"/>
                <w:kern w:val="0"/>
                <w:szCs w:val="21"/>
              </w:rPr>
            </w:pPr>
            <w:r>
              <w:rPr>
                <w:color w:val="000000"/>
                <w:kern w:val="0"/>
                <w:szCs w:val="21"/>
              </w:rPr>
              <w:t>202</w:t>
            </w:r>
            <w:r>
              <w:rPr>
                <w:rFonts w:hint="eastAsia"/>
                <w:color w:val="000000"/>
                <w:kern w:val="0"/>
                <w:szCs w:val="21"/>
              </w:rPr>
              <w:t>4</w:t>
            </w:r>
            <w:r>
              <w:rPr>
                <w:color w:val="000000"/>
                <w:kern w:val="0"/>
                <w:szCs w:val="21"/>
              </w:rPr>
              <w:t>年1月</w:t>
            </w:r>
            <w:r>
              <w:rPr>
                <w:rFonts w:hint="eastAsia"/>
                <w:color w:val="000000"/>
                <w:kern w:val="0"/>
                <w:szCs w:val="21"/>
              </w:rPr>
              <w:t>30</w:t>
            </w:r>
            <w:r>
              <w:rPr>
                <w:color w:val="000000"/>
                <w:kern w:val="0"/>
                <w:szCs w:val="21"/>
              </w:rPr>
              <w:t>日</w:t>
            </w:r>
          </w:p>
        </w:tc>
      </w:tr>
    </w:tbl>
    <w:p/>
    <w:p>
      <w:pPr>
        <w:widowControl/>
        <w:jc w:val="left"/>
      </w:pPr>
      <w:r>
        <w:br w:type="page"/>
      </w:r>
    </w:p>
    <w:p>
      <w:pPr>
        <w:rPr>
          <w:b/>
          <w:bCs/>
          <w:sz w:val="24"/>
          <w:szCs w:val="32"/>
        </w:rPr>
      </w:pPr>
      <w:r>
        <w:rPr>
          <w:rFonts w:hint="eastAsia"/>
          <w:b/>
          <w:bCs/>
          <w:sz w:val="24"/>
          <w:szCs w:val="32"/>
        </w:rPr>
        <w:t>附：参会人员名单</w:t>
      </w:r>
    </w:p>
    <w:p>
      <w:pPr>
        <w:rPr>
          <w:b/>
          <w:bCs/>
          <w:sz w:val="24"/>
          <w:szCs w:val="32"/>
        </w:rPr>
      </w:pPr>
    </w:p>
    <w:tbl>
      <w:tblPr>
        <w:tblStyle w:val="10"/>
        <w:tblpPr w:leftFromText="180" w:rightFromText="180" w:vertAnchor="text" w:horzAnchor="page" w:tblpX="1882" w:tblpY="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20"/>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b/>
                <w:bCs/>
              </w:rPr>
            </w:pPr>
            <w:r>
              <w:rPr>
                <w:rFonts w:hint="eastAsia" w:ascii="Calibri" w:hAnsi="Calibri"/>
                <w:b/>
                <w:bCs/>
              </w:rPr>
              <w:t>序号</w:t>
            </w:r>
          </w:p>
        </w:tc>
        <w:tc>
          <w:tcPr>
            <w:tcW w:w="2220" w:type="dxa"/>
          </w:tcPr>
          <w:p>
            <w:pPr>
              <w:jc w:val="center"/>
              <w:rPr>
                <w:rFonts w:ascii="Calibri" w:hAnsi="Calibri"/>
                <w:b/>
                <w:bCs/>
              </w:rPr>
            </w:pPr>
            <w:r>
              <w:rPr>
                <w:rFonts w:hint="eastAsia" w:ascii="Calibri" w:hAnsi="Calibri"/>
                <w:b/>
                <w:bCs/>
              </w:rPr>
              <w:t>姓名</w:t>
            </w:r>
          </w:p>
        </w:tc>
        <w:tc>
          <w:tcPr>
            <w:tcW w:w="5506" w:type="dxa"/>
          </w:tcPr>
          <w:p>
            <w:pPr>
              <w:jc w:val="center"/>
              <w:rPr>
                <w:rFonts w:ascii="Calibri" w:hAnsi="Calibri"/>
                <w:b/>
                <w:bCs/>
              </w:rPr>
            </w:pPr>
            <w:r>
              <w:rPr>
                <w:rFonts w:hint="eastAsia" w:ascii="Calibri" w:hAnsi="Calibri"/>
                <w:b/>
                <w:bCs/>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陈淑娴</w:t>
            </w:r>
          </w:p>
        </w:tc>
        <w:tc>
          <w:tcPr>
            <w:tcW w:w="5506" w:type="dxa"/>
          </w:tcPr>
          <w:p>
            <w:pPr>
              <w:rPr>
                <w:rFonts w:ascii="Calibri" w:hAnsi="Calibri"/>
              </w:rPr>
            </w:pPr>
            <w:r>
              <w:rPr>
                <w:rFonts w:hint="eastAsia" w:ascii="Calibri" w:hAnsi="Calibri"/>
              </w:rPr>
              <w:t>东吴证券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2</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周少玟</w:t>
            </w:r>
          </w:p>
        </w:tc>
        <w:tc>
          <w:tcPr>
            <w:tcW w:w="5506" w:type="dxa"/>
          </w:tcPr>
          <w:p>
            <w:pPr>
              <w:rPr>
                <w:rFonts w:ascii="Calibri" w:hAnsi="Calibri"/>
              </w:rPr>
            </w:pPr>
            <w:r>
              <w:rPr>
                <w:rFonts w:hint="eastAsia" w:ascii="Calibri" w:hAnsi="Calibri"/>
              </w:rPr>
              <w:t>东吴证券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3</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范圣哲</w:t>
            </w:r>
          </w:p>
        </w:tc>
        <w:tc>
          <w:tcPr>
            <w:tcW w:w="5506" w:type="dxa"/>
          </w:tcPr>
          <w:p>
            <w:pPr>
              <w:rPr>
                <w:rFonts w:ascii="Calibri" w:hAnsi="Calibri"/>
              </w:rPr>
            </w:pPr>
            <w:r>
              <w:rPr>
                <w:rFonts w:hint="eastAsia" w:ascii="Calibri" w:hAnsi="Calibri"/>
              </w:rPr>
              <w:t>国海证券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4</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计哲飞</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中泰证券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5</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刘岚</w:t>
            </w:r>
          </w:p>
        </w:tc>
        <w:tc>
          <w:tcPr>
            <w:tcW w:w="5506" w:type="dxa"/>
          </w:tcPr>
          <w:p>
            <w:pPr>
              <w:rPr>
                <w:rFonts w:ascii="Calibri" w:hAnsi="Calibri"/>
              </w:rPr>
            </w:pPr>
            <w:r>
              <w:rPr>
                <w:rFonts w:hint="eastAsia" w:ascii="Calibri" w:hAnsi="Calibri"/>
              </w:rPr>
              <w:t>中信建投证券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6</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张宁</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景熙资产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Calibri" w:hAnsi="Calibri"/>
              </w:rPr>
            </w:pPr>
            <w:r>
              <w:rPr>
                <w:rFonts w:hint="eastAsia" w:ascii="Calibri" w:hAnsi="Calibri"/>
              </w:rPr>
              <w:t>7</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Simon Sun</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PleiadInvestmentAdvisorsLimited Investment Analyst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8</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施萌予</w:t>
            </w:r>
          </w:p>
        </w:tc>
        <w:tc>
          <w:tcPr>
            <w:tcW w:w="5506" w:type="dxa"/>
          </w:tcPr>
          <w:p>
            <w:pPr>
              <w:rPr>
                <w:rFonts w:ascii="Calibri" w:hAnsi="Calibri"/>
              </w:rPr>
            </w:pPr>
            <w:r>
              <w:rPr>
                <w:rFonts w:hint="eastAsia" w:ascii="Calibri" w:hAnsi="Calibri"/>
              </w:rPr>
              <w:t>兴业证券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9</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李琛</w:t>
            </w:r>
          </w:p>
        </w:tc>
        <w:tc>
          <w:tcPr>
            <w:tcW w:w="5506" w:type="dxa"/>
          </w:tcPr>
          <w:p>
            <w:pPr>
              <w:rPr>
                <w:rFonts w:ascii="Calibri" w:hAnsi="Calibri"/>
              </w:rPr>
            </w:pPr>
            <w:r>
              <w:rPr>
                <w:rFonts w:hint="eastAsia" w:ascii="Calibri" w:hAnsi="Calibri"/>
              </w:rPr>
              <w:t>方正证券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10</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沈之诣</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光证资管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11</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邬崇正</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兴银理财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12</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葛川荣</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鑫元基金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13</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康恃榛</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中信期货有限公司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14</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曹国军</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上海天猊投资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15</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李璇</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上海保银私募基金管理有限公司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jc w:val="center"/>
              <w:rPr>
                <w:rFonts w:ascii="Calibri" w:hAnsi="Calibri"/>
              </w:rPr>
            </w:pPr>
            <w:r>
              <w:rPr>
                <w:rFonts w:hint="eastAsia" w:ascii="Calibri" w:hAnsi="Calibri"/>
              </w:rPr>
              <w:t>16</w:t>
            </w:r>
          </w:p>
        </w:tc>
        <w:tc>
          <w:tcPr>
            <w:tcW w:w="2220"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徐鹤洋</w:t>
            </w:r>
          </w:p>
        </w:tc>
        <w:tc>
          <w:tcPr>
            <w:tcW w:w="5506" w:type="dxa"/>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嘉实基金</w:t>
            </w:r>
          </w:p>
        </w:tc>
      </w:tr>
    </w:tbl>
    <w:p>
      <w:pPr>
        <w:rPr>
          <w:b/>
          <w:bCs/>
          <w:sz w:val="24"/>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23BEB"/>
    <w:multiLevelType w:val="singleLevel"/>
    <w:tmpl w:val="C3023BEB"/>
    <w:lvl w:ilvl="0" w:tentative="0">
      <w:start w:val="1"/>
      <w:numFmt w:val="decimal"/>
      <w:suff w:val="nothing"/>
      <w:lvlText w:val="（%1）"/>
      <w:lvlJc w:val="left"/>
    </w:lvl>
  </w:abstractNum>
  <w:abstractNum w:abstractNumId="1">
    <w:nsid w:val="01409695"/>
    <w:multiLevelType w:val="singleLevel"/>
    <w:tmpl w:val="01409695"/>
    <w:lvl w:ilvl="0" w:tentative="0">
      <w:start w:val="3"/>
      <w:numFmt w:val="decimal"/>
      <w:suff w:val="nothing"/>
      <w:lvlText w:val="%1、"/>
      <w:lvlJc w:val="left"/>
    </w:lvl>
  </w:abstractNum>
  <w:abstractNum w:abstractNumId="2">
    <w:nsid w:val="66C86BD3"/>
    <w:multiLevelType w:val="singleLevel"/>
    <w:tmpl w:val="66C86BD3"/>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4N2JmZWQ0NTllZTQ5MjBlYTE0YzdhZTU3ZGYwY2EifQ=="/>
  </w:docVars>
  <w:rsids>
    <w:rsidRoot w:val="00352AA4"/>
    <w:rsid w:val="00001AD5"/>
    <w:rsid w:val="00012965"/>
    <w:rsid w:val="000249E6"/>
    <w:rsid w:val="00031898"/>
    <w:rsid w:val="00034C6B"/>
    <w:rsid w:val="000475EA"/>
    <w:rsid w:val="000704DE"/>
    <w:rsid w:val="00072782"/>
    <w:rsid w:val="00072AF1"/>
    <w:rsid w:val="00074215"/>
    <w:rsid w:val="00077D85"/>
    <w:rsid w:val="000831E1"/>
    <w:rsid w:val="00084190"/>
    <w:rsid w:val="000910FA"/>
    <w:rsid w:val="00096317"/>
    <w:rsid w:val="00096A00"/>
    <w:rsid w:val="00097C28"/>
    <w:rsid w:val="000A5A82"/>
    <w:rsid w:val="000B79B6"/>
    <w:rsid w:val="000E03A5"/>
    <w:rsid w:val="000E18D7"/>
    <w:rsid w:val="000E2A59"/>
    <w:rsid w:val="000F2868"/>
    <w:rsid w:val="000F349B"/>
    <w:rsid w:val="000F6DA1"/>
    <w:rsid w:val="00100C2F"/>
    <w:rsid w:val="00112E06"/>
    <w:rsid w:val="00117560"/>
    <w:rsid w:val="00126C21"/>
    <w:rsid w:val="001422F2"/>
    <w:rsid w:val="00142A6D"/>
    <w:rsid w:val="00144C29"/>
    <w:rsid w:val="00150352"/>
    <w:rsid w:val="00153B33"/>
    <w:rsid w:val="001613E8"/>
    <w:rsid w:val="00162696"/>
    <w:rsid w:val="00162BB7"/>
    <w:rsid w:val="00170315"/>
    <w:rsid w:val="0017752E"/>
    <w:rsid w:val="00182E9E"/>
    <w:rsid w:val="00183CE2"/>
    <w:rsid w:val="00196AF1"/>
    <w:rsid w:val="001A1946"/>
    <w:rsid w:val="001A3386"/>
    <w:rsid w:val="001B70E1"/>
    <w:rsid w:val="001C1E3D"/>
    <w:rsid w:val="001C21BB"/>
    <w:rsid w:val="001C4E18"/>
    <w:rsid w:val="001C58E6"/>
    <w:rsid w:val="001D13AA"/>
    <w:rsid w:val="001D3E3E"/>
    <w:rsid w:val="001D59C2"/>
    <w:rsid w:val="001D71C6"/>
    <w:rsid w:val="001E2728"/>
    <w:rsid w:val="0020089D"/>
    <w:rsid w:val="00201752"/>
    <w:rsid w:val="00203787"/>
    <w:rsid w:val="00205334"/>
    <w:rsid w:val="00205D6B"/>
    <w:rsid w:val="00211CCD"/>
    <w:rsid w:val="0023043C"/>
    <w:rsid w:val="00233AEA"/>
    <w:rsid w:val="00242081"/>
    <w:rsid w:val="0024548B"/>
    <w:rsid w:val="0024619C"/>
    <w:rsid w:val="00257213"/>
    <w:rsid w:val="002620E2"/>
    <w:rsid w:val="002630BC"/>
    <w:rsid w:val="00270A12"/>
    <w:rsid w:val="00272804"/>
    <w:rsid w:val="00280A89"/>
    <w:rsid w:val="002912D8"/>
    <w:rsid w:val="00297C11"/>
    <w:rsid w:val="002A7602"/>
    <w:rsid w:val="002A774B"/>
    <w:rsid w:val="002B214F"/>
    <w:rsid w:val="002B6B1A"/>
    <w:rsid w:val="002C2663"/>
    <w:rsid w:val="002C312F"/>
    <w:rsid w:val="002C538B"/>
    <w:rsid w:val="002C70C2"/>
    <w:rsid w:val="002D595C"/>
    <w:rsid w:val="002E5D9C"/>
    <w:rsid w:val="00303A67"/>
    <w:rsid w:val="00306794"/>
    <w:rsid w:val="00317AD9"/>
    <w:rsid w:val="003239ED"/>
    <w:rsid w:val="00325DD7"/>
    <w:rsid w:val="00325FE9"/>
    <w:rsid w:val="003273FC"/>
    <w:rsid w:val="00330BDA"/>
    <w:rsid w:val="00333B68"/>
    <w:rsid w:val="00333CC6"/>
    <w:rsid w:val="003368E9"/>
    <w:rsid w:val="00352AA4"/>
    <w:rsid w:val="0038019D"/>
    <w:rsid w:val="003844CA"/>
    <w:rsid w:val="0038454C"/>
    <w:rsid w:val="00386421"/>
    <w:rsid w:val="0039716E"/>
    <w:rsid w:val="00397CD6"/>
    <w:rsid w:val="003A1CD1"/>
    <w:rsid w:val="003A23E2"/>
    <w:rsid w:val="003A5324"/>
    <w:rsid w:val="003B1469"/>
    <w:rsid w:val="003B1D11"/>
    <w:rsid w:val="003B3561"/>
    <w:rsid w:val="003C4BC6"/>
    <w:rsid w:val="003C5767"/>
    <w:rsid w:val="003E2349"/>
    <w:rsid w:val="003F35EC"/>
    <w:rsid w:val="003F61D0"/>
    <w:rsid w:val="00405AA1"/>
    <w:rsid w:val="0041470A"/>
    <w:rsid w:val="004163AC"/>
    <w:rsid w:val="004171C6"/>
    <w:rsid w:val="00417399"/>
    <w:rsid w:val="004208C1"/>
    <w:rsid w:val="004268C4"/>
    <w:rsid w:val="0042778F"/>
    <w:rsid w:val="0043036E"/>
    <w:rsid w:val="00434263"/>
    <w:rsid w:val="00445854"/>
    <w:rsid w:val="00457B28"/>
    <w:rsid w:val="00466137"/>
    <w:rsid w:val="00471504"/>
    <w:rsid w:val="004766D2"/>
    <w:rsid w:val="004855AA"/>
    <w:rsid w:val="00490F39"/>
    <w:rsid w:val="00492F02"/>
    <w:rsid w:val="004942D1"/>
    <w:rsid w:val="004A01BF"/>
    <w:rsid w:val="004A1A72"/>
    <w:rsid w:val="004B06B6"/>
    <w:rsid w:val="004B21DE"/>
    <w:rsid w:val="004D11A5"/>
    <w:rsid w:val="004D5F97"/>
    <w:rsid w:val="004E0046"/>
    <w:rsid w:val="004E4295"/>
    <w:rsid w:val="004E56DA"/>
    <w:rsid w:val="004E57F1"/>
    <w:rsid w:val="004F016A"/>
    <w:rsid w:val="004F7EAC"/>
    <w:rsid w:val="005002AA"/>
    <w:rsid w:val="00521C25"/>
    <w:rsid w:val="00522253"/>
    <w:rsid w:val="00531A96"/>
    <w:rsid w:val="00534119"/>
    <w:rsid w:val="005351F8"/>
    <w:rsid w:val="00536014"/>
    <w:rsid w:val="0054517E"/>
    <w:rsid w:val="00546841"/>
    <w:rsid w:val="00553F60"/>
    <w:rsid w:val="0056266F"/>
    <w:rsid w:val="005736BB"/>
    <w:rsid w:val="00577C89"/>
    <w:rsid w:val="0058033B"/>
    <w:rsid w:val="00584801"/>
    <w:rsid w:val="00585255"/>
    <w:rsid w:val="00585569"/>
    <w:rsid w:val="005914D3"/>
    <w:rsid w:val="005915DD"/>
    <w:rsid w:val="005B1B23"/>
    <w:rsid w:val="005B4389"/>
    <w:rsid w:val="005B5B22"/>
    <w:rsid w:val="005C4EBE"/>
    <w:rsid w:val="005C6310"/>
    <w:rsid w:val="005D145F"/>
    <w:rsid w:val="005D7C69"/>
    <w:rsid w:val="005D7EE6"/>
    <w:rsid w:val="005E2074"/>
    <w:rsid w:val="005E58B6"/>
    <w:rsid w:val="005F0D65"/>
    <w:rsid w:val="00602822"/>
    <w:rsid w:val="00605F40"/>
    <w:rsid w:val="006147C2"/>
    <w:rsid w:val="00622538"/>
    <w:rsid w:val="0063189F"/>
    <w:rsid w:val="00633D5D"/>
    <w:rsid w:val="0064592B"/>
    <w:rsid w:val="00654B3F"/>
    <w:rsid w:val="006562F2"/>
    <w:rsid w:val="00656D35"/>
    <w:rsid w:val="006614CE"/>
    <w:rsid w:val="006708C6"/>
    <w:rsid w:val="00672173"/>
    <w:rsid w:val="006723CD"/>
    <w:rsid w:val="00674A47"/>
    <w:rsid w:val="0067678D"/>
    <w:rsid w:val="006816DA"/>
    <w:rsid w:val="00683E20"/>
    <w:rsid w:val="0069317A"/>
    <w:rsid w:val="006A490A"/>
    <w:rsid w:val="006A7725"/>
    <w:rsid w:val="006B1F26"/>
    <w:rsid w:val="006C52E8"/>
    <w:rsid w:val="006D0A80"/>
    <w:rsid w:val="006D4420"/>
    <w:rsid w:val="006F6055"/>
    <w:rsid w:val="006F6456"/>
    <w:rsid w:val="007063E6"/>
    <w:rsid w:val="00712C67"/>
    <w:rsid w:val="00716F17"/>
    <w:rsid w:val="00720009"/>
    <w:rsid w:val="00724729"/>
    <w:rsid w:val="007300A5"/>
    <w:rsid w:val="00737508"/>
    <w:rsid w:val="00743097"/>
    <w:rsid w:val="00745C0C"/>
    <w:rsid w:val="007478F0"/>
    <w:rsid w:val="00752C98"/>
    <w:rsid w:val="00753BC1"/>
    <w:rsid w:val="0076249D"/>
    <w:rsid w:val="0077129B"/>
    <w:rsid w:val="007718DF"/>
    <w:rsid w:val="0078166C"/>
    <w:rsid w:val="00791FFC"/>
    <w:rsid w:val="007A285D"/>
    <w:rsid w:val="007A76DD"/>
    <w:rsid w:val="007B0511"/>
    <w:rsid w:val="007B4F67"/>
    <w:rsid w:val="007C42D0"/>
    <w:rsid w:val="007D280B"/>
    <w:rsid w:val="007F0C79"/>
    <w:rsid w:val="007F68F5"/>
    <w:rsid w:val="0080048D"/>
    <w:rsid w:val="00801312"/>
    <w:rsid w:val="00806597"/>
    <w:rsid w:val="0080777D"/>
    <w:rsid w:val="00810F18"/>
    <w:rsid w:val="00812BE3"/>
    <w:rsid w:val="00815F11"/>
    <w:rsid w:val="00820DE5"/>
    <w:rsid w:val="00821CB0"/>
    <w:rsid w:val="008304BA"/>
    <w:rsid w:val="00841714"/>
    <w:rsid w:val="0084347F"/>
    <w:rsid w:val="00850E9F"/>
    <w:rsid w:val="008620E4"/>
    <w:rsid w:val="00863507"/>
    <w:rsid w:val="00872EDB"/>
    <w:rsid w:val="00890D8C"/>
    <w:rsid w:val="008933F8"/>
    <w:rsid w:val="008A224C"/>
    <w:rsid w:val="008A66CA"/>
    <w:rsid w:val="008B02B7"/>
    <w:rsid w:val="008B344C"/>
    <w:rsid w:val="008B78F8"/>
    <w:rsid w:val="008D7492"/>
    <w:rsid w:val="008E677A"/>
    <w:rsid w:val="008E73E1"/>
    <w:rsid w:val="008F171A"/>
    <w:rsid w:val="008F76E6"/>
    <w:rsid w:val="009067E4"/>
    <w:rsid w:val="00910024"/>
    <w:rsid w:val="00910A59"/>
    <w:rsid w:val="00917521"/>
    <w:rsid w:val="00926B3B"/>
    <w:rsid w:val="00944BE6"/>
    <w:rsid w:val="00944E1E"/>
    <w:rsid w:val="00946C11"/>
    <w:rsid w:val="00951A09"/>
    <w:rsid w:val="00953C0E"/>
    <w:rsid w:val="00962D44"/>
    <w:rsid w:val="0096657B"/>
    <w:rsid w:val="00967D02"/>
    <w:rsid w:val="0097361A"/>
    <w:rsid w:val="0097778C"/>
    <w:rsid w:val="00980016"/>
    <w:rsid w:val="009809BB"/>
    <w:rsid w:val="00990236"/>
    <w:rsid w:val="009A1365"/>
    <w:rsid w:val="009B774C"/>
    <w:rsid w:val="009C3219"/>
    <w:rsid w:val="009C3E80"/>
    <w:rsid w:val="009D3F8E"/>
    <w:rsid w:val="009D5287"/>
    <w:rsid w:val="009E4E97"/>
    <w:rsid w:val="009F5DB7"/>
    <w:rsid w:val="00A035E0"/>
    <w:rsid w:val="00A1762C"/>
    <w:rsid w:val="00A17BB4"/>
    <w:rsid w:val="00A20E39"/>
    <w:rsid w:val="00A37ADD"/>
    <w:rsid w:val="00A41C58"/>
    <w:rsid w:val="00A45CAA"/>
    <w:rsid w:val="00A51659"/>
    <w:rsid w:val="00A54CFE"/>
    <w:rsid w:val="00A62ACC"/>
    <w:rsid w:val="00A80B90"/>
    <w:rsid w:val="00A82856"/>
    <w:rsid w:val="00A868F1"/>
    <w:rsid w:val="00A94D10"/>
    <w:rsid w:val="00AA1013"/>
    <w:rsid w:val="00AA3C96"/>
    <w:rsid w:val="00AA4A7F"/>
    <w:rsid w:val="00AA5ACE"/>
    <w:rsid w:val="00AB2E59"/>
    <w:rsid w:val="00AB683D"/>
    <w:rsid w:val="00AB7665"/>
    <w:rsid w:val="00AD1ABA"/>
    <w:rsid w:val="00AD71C1"/>
    <w:rsid w:val="00AE0F82"/>
    <w:rsid w:val="00AE1AFA"/>
    <w:rsid w:val="00AE78DF"/>
    <w:rsid w:val="00B10B75"/>
    <w:rsid w:val="00B1410F"/>
    <w:rsid w:val="00B14229"/>
    <w:rsid w:val="00B1684D"/>
    <w:rsid w:val="00B30395"/>
    <w:rsid w:val="00B310FB"/>
    <w:rsid w:val="00B3158A"/>
    <w:rsid w:val="00B326D9"/>
    <w:rsid w:val="00B3290C"/>
    <w:rsid w:val="00B33EF9"/>
    <w:rsid w:val="00B43478"/>
    <w:rsid w:val="00B50969"/>
    <w:rsid w:val="00B54E40"/>
    <w:rsid w:val="00B54F0D"/>
    <w:rsid w:val="00B64657"/>
    <w:rsid w:val="00B705A5"/>
    <w:rsid w:val="00B92351"/>
    <w:rsid w:val="00B94DEB"/>
    <w:rsid w:val="00B9592D"/>
    <w:rsid w:val="00BA353A"/>
    <w:rsid w:val="00BA36DF"/>
    <w:rsid w:val="00BA556E"/>
    <w:rsid w:val="00BA6276"/>
    <w:rsid w:val="00BB546D"/>
    <w:rsid w:val="00BB687B"/>
    <w:rsid w:val="00BC1F59"/>
    <w:rsid w:val="00BC35C1"/>
    <w:rsid w:val="00BC5F46"/>
    <w:rsid w:val="00BD0B16"/>
    <w:rsid w:val="00BD359E"/>
    <w:rsid w:val="00BD3B83"/>
    <w:rsid w:val="00BD701F"/>
    <w:rsid w:val="00BE0AE9"/>
    <w:rsid w:val="00BE14C8"/>
    <w:rsid w:val="00C046B1"/>
    <w:rsid w:val="00C07D16"/>
    <w:rsid w:val="00C32534"/>
    <w:rsid w:val="00C335FF"/>
    <w:rsid w:val="00C449BF"/>
    <w:rsid w:val="00C705EF"/>
    <w:rsid w:val="00C81625"/>
    <w:rsid w:val="00C83184"/>
    <w:rsid w:val="00C90206"/>
    <w:rsid w:val="00C94E44"/>
    <w:rsid w:val="00CA47F8"/>
    <w:rsid w:val="00CB0D95"/>
    <w:rsid w:val="00CB44C7"/>
    <w:rsid w:val="00CC239C"/>
    <w:rsid w:val="00CC75DD"/>
    <w:rsid w:val="00CE2A6F"/>
    <w:rsid w:val="00CF17F7"/>
    <w:rsid w:val="00CF435A"/>
    <w:rsid w:val="00D01ADE"/>
    <w:rsid w:val="00D058E1"/>
    <w:rsid w:val="00D06A14"/>
    <w:rsid w:val="00D14418"/>
    <w:rsid w:val="00D17B41"/>
    <w:rsid w:val="00D23477"/>
    <w:rsid w:val="00D25F30"/>
    <w:rsid w:val="00D2724F"/>
    <w:rsid w:val="00D31ECB"/>
    <w:rsid w:val="00D41544"/>
    <w:rsid w:val="00D41938"/>
    <w:rsid w:val="00D5129D"/>
    <w:rsid w:val="00D557A5"/>
    <w:rsid w:val="00D61756"/>
    <w:rsid w:val="00D739E9"/>
    <w:rsid w:val="00D76216"/>
    <w:rsid w:val="00D808A4"/>
    <w:rsid w:val="00D87737"/>
    <w:rsid w:val="00D930CC"/>
    <w:rsid w:val="00DA1AB4"/>
    <w:rsid w:val="00DA2382"/>
    <w:rsid w:val="00DA26A0"/>
    <w:rsid w:val="00DA3B30"/>
    <w:rsid w:val="00DA502F"/>
    <w:rsid w:val="00DB2A32"/>
    <w:rsid w:val="00DC2DEC"/>
    <w:rsid w:val="00DD103A"/>
    <w:rsid w:val="00DD6B47"/>
    <w:rsid w:val="00DE0602"/>
    <w:rsid w:val="00DF289F"/>
    <w:rsid w:val="00E07316"/>
    <w:rsid w:val="00E1111F"/>
    <w:rsid w:val="00E11B11"/>
    <w:rsid w:val="00E11EDE"/>
    <w:rsid w:val="00E17E90"/>
    <w:rsid w:val="00E2753B"/>
    <w:rsid w:val="00E27759"/>
    <w:rsid w:val="00E32A18"/>
    <w:rsid w:val="00E40BF5"/>
    <w:rsid w:val="00E447AD"/>
    <w:rsid w:val="00E45111"/>
    <w:rsid w:val="00E5492E"/>
    <w:rsid w:val="00E54B4A"/>
    <w:rsid w:val="00E57B11"/>
    <w:rsid w:val="00E80B6F"/>
    <w:rsid w:val="00E86865"/>
    <w:rsid w:val="00E93ECE"/>
    <w:rsid w:val="00E95E11"/>
    <w:rsid w:val="00EA177B"/>
    <w:rsid w:val="00EB3015"/>
    <w:rsid w:val="00EB3E18"/>
    <w:rsid w:val="00EC1B86"/>
    <w:rsid w:val="00EC3276"/>
    <w:rsid w:val="00EC59AD"/>
    <w:rsid w:val="00ED160C"/>
    <w:rsid w:val="00ED1D06"/>
    <w:rsid w:val="00EE2AEF"/>
    <w:rsid w:val="00EE2FEA"/>
    <w:rsid w:val="00EE349A"/>
    <w:rsid w:val="00EE5AE1"/>
    <w:rsid w:val="00EF161B"/>
    <w:rsid w:val="00F0016B"/>
    <w:rsid w:val="00F11878"/>
    <w:rsid w:val="00F246F7"/>
    <w:rsid w:val="00F27BAC"/>
    <w:rsid w:val="00F336E3"/>
    <w:rsid w:val="00F34A9A"/>
    <w:rsid w:val="00F411A8"/>
    <w:rsid w:val="00F41DDA"/>
    <w:rsid w:val="00F437D5"/>
    <w:rsid w:val="00F65620"/>
    <w:rsid w:val="00F65E4C"/>
    <w:rsid w:val="00F723F3"/>
    <w:rsid w:val="00F85345"/>
    <w:rsid w:val="00F85D6E"/>
    <w:rsid w:val="00F90E9A"/>
    <w:rsid w:val="00FA47A0"/>
    <w:rsid w:val="00FA548F"/>
    <w:rsid w:val="00FC749B"/>
    <w:rsid w:val="00FD17B8"/>
    <w:rsid w:val="00FD20DF"/>
    <w:rsid w:val="00FD5D2E"/>
    <w:rsid w:val="00FD7B4F"/>
    <w:rsid w:val="00FE0A09"/>
    <w:rsid w:val="00FE4E47"/>
    <w:rsid w:val="00FE69A2"/>
    <w:rsid w:val="00FF3014"/>
    <w:rsid w:val="00FF3CFB"/>
    <w:rsid w:val="00FF5B3A"/>
    <w:rsid w:val="065E0D3A"/>
    <w:rsid w:val="06FD4A88"/>
    <w:rsid w:val="0D5622E0"/>
    <w:rsid w:val="113A6925"/>
    <w:rsid w:val="12AD7BF1"/>
    <w:rsid w:val="1D3E677D"/>
    <w:rsid w:val="1E453026"/>
    <w:rsid w:val="226E2973"/>
    <w:rsid w:val="23C723AE"/>
    <w:rsid w:val="26693EB3"/>
    <w:rsid w:val="29C9048F"/>
    <w:rsid w:val="2C2F7F2D"/>
    <w:rsid w:val="35F91DA8"/>
    <w:rsid w:val="49D4280C"/>
    <w:rsid w:val="4F31425D"/>
    <w:rsid w:val="4F8E3547"/>
    <w:rsid w:val="50290A0F"/>
    <w:rsid w:val="58A92390"/>
    <w:rsid w:val="646A4041"/>
    <w:rsid w:val="72300DA6"/>
    <w:rsid w:val="725D57AD"/>
    <w:rsid w:val="7943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autoRedefine/>
    <w:semiHidden/>
    <w:unhideWhenUsed/>
    <w:qFormat/>
    <w:uiPriority w:val="99"/>
    <w:pPr>
      <w:jc w:val="left"/>
    </w:pPr>
  </w:style>
  <w:style w:type="paragraph" w:styleId="4">
    <w:name w:val="Balloon Text"/>
    <w:basedOn w:val="1"/>
    <w:link w:val="19"/>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8"/>
    <w:autoRedefine/>
    <w:semiHidden/>
    <w:unhideWhenUsed/>
    <w:qFormat/>
    <w:uiPriority w:val="99"/>
    <w:rPr>
      <w:b/>
      <w:bCs/>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semiHidden/>
    <w:unhideWhenUsed/>
    <w:qFormat/>
    <w:uiPriority w:val="99"/>
    <w:rPr>
      <w:sz w:val="21"/>
      <w:szCs w:val="21"/>
    </w:rPr>
  </w:style>
  <w:style w:type="character" w:customStyle="1" w:styleId="13">
    <w:name w:val="页眉 字符"/>
    <w:basedOn w:val="11"/>
    <w:link w:val="6"/>
    <w:autoRedefine/>
    <w:qFormat/>
    <w:uiPriority w:val="99"/>
    <w:rPr>
      <w:sz w:val="18"/>
      <w:szCs w:val="18"/>
    </w:rPr>
  </w:style>
  <w:style w:type="character" w:customStyle="1" w:styleId="14">
    <w:name w:val="页脚 字符"/>
    <w:basedOn w:val="11"/>
    <w:link w:val="5"/>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11"/>
    <w:link w:val="2"/>
    <w:autoRedefine/>
    <w:qFormat/>
    <w:uiPriority w:val="9"/>
    <w:rPr>
      <w:rFonts w:asciiTheme="majorHAnsi" w:hAnsiTheme="majorHAnsi" w:eastAsiaTheme="majorEastAsia" w:cstheme="majorBidi"/>
      <w:b/>
      <w:bCs/>
      <w:sz w:val="32"/>
      <w:szCs w:val="32"/>
    </w:rPr>
  </w:style>
  <w:style w:type="character" w:customStyle="1" w:styleId="17">
    <w:name w:val="批注文字 字符"/>
    <w:basedOn w:val="11"/>
    <w:link w:val="3"/>
    <w:autoRedefine/>
    <w:semiHidden/>
    <w:qFormat/>
    <w:uiPriority w:val="99"/>
    <w:rPr>
      <w:rFonts w:ascii="Times New Roman" w:hAnsi="Times New Roman" w:eastAsia="宋体" w:cs="Times New Roman"/>
      <w:szCs w:val="24"/>
    </w:rPr>
  </w:style>
  <w:style w:type="character" w:customStyle="1" w:styleId="18">
    <w:name w:val="批注主题 字符"/>
    <w:basedOn w:val="17"/>
    <w:link w:val="8"/>
    <w:autoRedefine/>
    <w:semiHidden/>
    <w:qFormat/>
    <w:uiPriority w:val="99"/>
    <w:rPr>
      <w:rFonts w:ascii="Times New Roman" w:hAnsi="Times New Roman" w:eastAsia="宋体" w:cs="Times New Roman"/>
      <w:b/>
      <w:bCs/>
      <w:szCs w:val="24"/>
    </w:rPr>
  </w:style>
  <w:style w:type="character" w:customStyle="1" w:styleId="19">
    <w:name w:val="批注框文本 字符"/>
    <w:basedOn w:val="11"/>
    <w:link w:val="4"/>
    <w:autoRedefine/>
    <w:semiHidden/>
    <w:qFormat/>
    <w:uiPriority w:val="99"/>
    <w:rPr>
      <w:rFonts w:ascii="Times New Roman" w:hAnsi="Times New Roman" w:eastAsia="宋体" w:cs="Times New Roman"/>
      <w:sz w:val="18"/>
      <w:szCs w:val="18"/>
    </w:rPr>
  </w:style>
  <w:style w:type="character" w:customStyle="1" w:styleId="20">
    <w:name w:val="richtext"/>
    <w:basedOn w:val="11"/>
    <w:autoRedefine/>
    <w:qFormat/>
    <w:uiPriority w:val="0"/>
  </w:style>
  <w:style w:type="paragraph" w:customStyle="1" w:styleId="21">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2">
    <w:name w:val="修订2"/>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266</Words>
  <Characters>1520</Characters>
  <Lines>12</Lines>
  <Paragraphs>3</Paragraphs>
  <TotalTime>63</TotalTime>
  <ScaleCrop>false</ScaleCrop>
  <LinksUpToDate>false</LinksUpToDate>
  <CharactersWithSpaces>1783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2024-01-31T06:51:00Z</dcterms:created>
  <dc:creator>许锐</dc:creator>
  <cp:lastModifiedBy>free wind</cp:lastModifiedBy>
  <cp:lastPrinted>2024-01-31T07:07:00Z</cp:lastPrinted>
  <dcterms:modified xsi:type="dcterms:W3CDTF">2024-01-31T08:48:11Z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B936DB288352403BB042BBA78966EC34_13</vt:lpwstr>
  </property>
</Properties>
</file>