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665" w14:textId="77777777" w:rsidR="00003419" w:rsidRDefault="0053600B">
      <w:pPr>
        <w:spacing w:beforeLines="50" w:before="156" w:afterLines="50" w:after="156" w:line="400" w:lineRule="exac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证券代码：</w:t>
      </w:r>
      <w:r>
        <w:rPr>
          <w:rFonts w:ascii="Times New Roman" w:hAnsi="Times New Roman"/>
          <w:b/>
          <w:iCs/>
          <w:sz w:val="24"/>
        </w:rPr>
        <w:t xml:space="preserve">601665  </w:t>
      </w:r>
      <w:r>
        <w:rPr>
          <w:rFonts w:ascii="Times New Roman" w:hAnsi="Times New Roman"/>
          <w:bCs/>
          <w:iCs/>
          <w:sz w:val="24"/>
        </w:rPr>
        <w:t xml:space="preserve">         </w:t>
      </w:r>
      <w:r>
        <w:rPr>
          <w:rFonts w:ascii="Times New Roman" w:hAnsi="Times New Roman" w:hint="eastAsia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 xml:space="preserve">                      </w:t>
      </w:r>
      <w:r>
        <w:rPr>
          <w:rFonts w:ascii="Times New Roman" w:hAnsi="Times New Roman"/>
          <w:b/>
          <w:iCs/>
          <w:sz w:val="24"/>
        </w:rPr>
        <w:t>证券简称：齐鲁银行</w:t>
      </w:r>
    </w:p>
    <w:p w14:paraId="0229E1D6" w14:textId="77777777" w:rsidR="00003419" w:rsidRDefault="0053600B">
      <w:pPr>
        <w:spacing w:beforeLines="50" w:before="156" w:afterLines="50" w:after="156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齐鲁银行股份有限公司投资者关系活动记录表</w:t>
      </w:r>
    </w:p>
    <w:p w14:paraId="1BC97149" w14:textId="77777777" w:rsidR="00003419" w:rsidRDefault="0053600B">
      <w:pPr>
        <w:spacing w:afterLines="50" w:after="156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iCs/>
          <w:sz w:val="24"/>
        </w:rPr>
        <w:t>编号：</w:t>
      </w:r>
      <w:r>
        <w:rPr>
          <w:rFonts w:ascii="Times New Roman" w:hAnsi="Times New Roman"/>
          <w:b/>
          <w:iCs/>
          <w:sz w:val="24"/>
        </w:rPr>
        <w:t>2024-0</w:t>
      </w:r>
      <w:r>
        <w:rPr>
          <w:rFonts w:ascii="Times New Roman" w:hAnsi="Times New Roman" w:hint="eastAsia"/>
          <w:b/>
          <w:iCs/>
          <w:sz w:val="24"/>
        </w:rPr>
        <w:t>01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3657"/>
        <w:gridCol w:w="3658"/>
      </w:tblGrid>
      <w:tr w:rsidR="00003419" w14:paraId="56D7C03E" w14:textId="77777777">
        <w:trPr>
          <w:trHeight w:val="94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CD40" w14:textId="77777777" w:rsidR="00003419" w:rsidRDefault="0053600B">
            <w:pPr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投资者关系活动类别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E8E" w14:textId="77777777" w:rsidR="00003419" w:rsidRDefault="0053600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52"/>
            </w:r>
            <w:r>
              <w:rPr>
                <w:rFonts w:ascii="Times New Roman" w:hAnsi="Times New Roman"/>
                <w:szCs w:val="21"/>
              </w:rPr>
              <w:t>特定对象调研</w:t>
            </w:r>
            <w:r>
              <w:rPr>
                <w:rFonts w:ascii="Times New Roman" w:hAnsi="Times New Roman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策略会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媒体采访</w:t>
            </w:r>
          </w:p>
          <w:p w14:paraId="5D14312A" w14:textId="77777777" w:rsidR="00003419" w:rsidRDefault="0053600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新闻发布会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现场参观</w:t>
            </w:r>
            <w:r>
              <w:rPr>
                <w:rFonts w:ascii="Times New Roman" w:hAnsi="Times New Roman"/>
                <w:szCs w:val="21"/>
              </w:rPr>
              <w:tab/>
              <w:t xml:space="preserve">                </w:t>
            </w:r>
            <w:r>
              <w:rPr>
                <w:rFonts w:ascii="Times New Roman" w:eastAsiaTheme="minorEastAsia" w:hAnsi="Times New Roman"/>
                <w:szCs w:val="21"/>
              </w:rPr>
              <w:sym w:font="Wingdings 2" w:char="00A3"/>
            </w:r>
            <w:r>
              <w:rPr>
                <w:rFonts w:ascii="Times New Roman" w:eastAsiaTheme="minorEastAsia" w:hAnsi="Times New Roman"/>
                <w:szCs w:val="21"/>
              </w:rPr>
              <w:t>业绩说明会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14:paraId="6AAF0174" w14:textId="77777777" w:rsidR="00003419" w:rsidRDefault="0053600B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其他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</w:p>
        </w:tc>
      </w:tr>
      <w:tr w:rsidR="00003419" w14:paraId="7AFE05F7" w14:textId="77777777">
        <w:trPr>
          <w:trHeight w:val="33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E317" w14:textId="77777777" w:rsidR="00003419" w:rsidRDefault="0053600B">
            <w:pPr>
              <w:spacing w:line="360" w:lineRule="exact"/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参与单位及人员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B7A7" w14:textId="7849786B" w:rsidR="00003419" w:rsidRDefault="0053600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信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达证券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张晓辉、</w:t>
            </w:r>
            <w:r w:rsidR="00630F46">
              <w:rPr>
                <w:rFonts w:ascii="Times New Roman" w:hAnsi="Times New Roman" w:hint="eastAsia"/>
                <w:szCs w:val="21"/>
              </w:rPr>
              <w:t>海</w:t>
            </w:r>
            <w:proofErr w:type="gramStart"/>
            <w:r w:rsidR="00630F46">
              <w:rPr>
                <w:rFonts w:ascii="Times New Roman" w:hAnsi="Times New Roman" w:hint="eastAsia"/>
                <w:szCs w:val="21"/>
              </w:rPr>
              <w:t>通资管张</w:t>
            </w:r>
            <w:proofErr w:type="gramEnd"/>
            <w:r w:rsidR="00630F46">
              <w:rPr>
                <w:rFonts w:ascii="Times New Roman" w:hAnsi="Times New Roman" w:hint="eastAsia"/>
                <w:szCs w:val="21"/>
              </w:rPr>
              <w:t>宇清、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天弘基金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孙高睿、嘉实基金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金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长捷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7AC1" w14:textId="2D012232" w:rsidR="00003419" w:rsidRDefault="0053600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广发证券王先爽</w:t>
            </w:r>
            <w:r w:rsidR="006030FF"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大成基金张家旺</w:t>
            </w:r>
            <w:r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彭博、徐雄晖</w:t>
            </w:r>
          </w:p>
        </w:tc>
      </w:tr>
      <w:tr w:rsidR="00003419" w14:paraId="43AED3FE" w14:textId="77777777">
        <w:trPr>
          <w:trHeight w:val="329"/>
        </w:trPr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DC59" w14:textId="77777777" w:rsidR="00003419" w:rsidRDefault="0053600B">
            <w:pPr>
              <w:spacing w:line="360" w:lineRule="exact"/>
            </w:pPr>
            <w:r>
              <w:rPr>
                <w:rFonts w:ascii="Times New Roman" w:hAnsi="Times New Roman"/>
                <w:b/>
                <w:bCs/>
                <w:szCs w:val="21"/>
              </w:rPr>
              <w:t>时间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39D8" w14:textId="77777777" w:rsidR="00003419" w:rsidRDefault="0053600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2024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31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>14:30-15:30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E284" w14:textId="77777777" w:rsidR="00003419" w:rsidRDefault="0053600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2024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>31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0-1</w:t>
            </w:r>
            <w:r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: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</w:tr>
      <w:tr w:rsidR="00003419" w14:paraId="20E7B010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A2A6" w14:textId="77777777" w:rsidR="00003419" w:rsidRDefault="0053600B">
            <w:pPr>
              <w:spacing w:line="36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地点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78F2" w14:textId="77777777" w:rsidR="00003419" w:rsidRDefault="0053600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齐鲁银行总行大厦会议室</w:t>
            </w:r>
          </w:p>
        </w:tc>
      </w:tr>
      <w:tr w:rsidR="00003419" w14:paraId="601DC108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089C" w14:textId="77777777" w:rsidR="00003419" w:rsidRDefault="0053600B">
            <w:pPr>
              <w:spacing w:line="36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召开方式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4EB8" w14:textId="77777777" w:rsidR="00003419" w:rsidRDefault="0053600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现场</w:t>
            </w:r>
            <w:r>
              <w:rPr>
                <w:rFonts w:ascii="Times New Roman" w:hAnsi="Times New Roman" w:hint="eastAsia"/>
                <w:szCs w:val="21"/>
              </w:rPr>
              <w:t>交流会</w:t>
            </w:r>
          </w:p>
        </w:tc>
      </w:tr>
      <w:tr w:rsidR="00003419" w14:paraId="15850666" w14:textId="77777777">
        <w:trPr>
          <w:trHeight w:val="9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4817" w14:textId="77777777" w:rsidR="00003419" w:rsidRDefault="0053600B">
            <w:pPr>
              <w:spacing w:line="36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上市公司</w:t>
            </w:r>
          </w:p>
          <w:p w14:paraId="777181AE" w14:textId="77777777" w:rsidR="00003419" w:rsidRDefault="0053600B">
            <w:pPr>
              <w:spacing w:line="360" w:lineRule="exac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出席人员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DCA2" w14:textId="77777777" w:rsidR="00003419" w:rsidRDefault="0053600B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董事会秘书胡金良，证券事务代表张贝旎，以及公司银行部、资产管理部、金融</w:t>
            </w:r>
            <w:r>
              <w:rPr>
                <w:rFonts w:ascii="Times New Roman" w:hAnsi="Times New Roman"/>
                <w:szCs w:val="21"/>
              </w:rPr>
              <w:t>市场部、</w:t>
            </w:r>
            <w:r>
              <w:rPr>
                <w:rFonts w:ascii="Times New Roman" w:hAnsi="Times New Roman" w:hint="eastAsia"/>
                <w:szCs w:val="21"/>
              </w:rPr>
              <w:t>零售</w:t>
            </w:r>
            <w:r>
              <w:rPr>
                <w:rFonts w:ascii="Times New Roman" w:hAnsi="Times New Roman"/>
                <w:szCs w:val="21"/>
              </w:rPr>
              <w:t>银行部、</w:t>
            </w:r>
            <w:r>
              <w:rPr>
                <w:rFonts w:ascii="Times New Roman" w:hAnsi="Times New Roman" w:hint="eastAsia"/>
                <w:szCs w:val="21"/>
              </w:rPr>
              <w:t>个人信贷部、普惠</w:t>
            </w:r>
            <w:r>
              <w:rPr>
                <w:rFonts w:ascii="Times New Roman" w:hAnsi="Times New Roman"/>
                <w:szCs w:val="21"/>
              </w:rPr>
              <w:t>金融部、</w:t>
            </w:r>
            <w:r>
              <w:rPr>
                <w:rFonts w:ascii="Times New Roman" w:hAnsi="Times New Roman" w:hint="eastAsia"/>
                <w:szCs w:val="21"/>
              </w:rPr>
              <w:t>计财部、风险管理部、董事会办公室相关人员</w:t>
            </w:r>
          </w:p>
        </w:tc>
      </w:tr>
      <w:tr w:rsidR="00003419" w14:paraId="137AB0BA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3ED6" w14:textId="77777777" w:rsidR="00003419" w:rsidRDefault="0053600B"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投资者关系活动记录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7208" w14:textId="77777777" w:rsidR="00003419" w:rsidRDefault="0053600B">
            <w:pPr>
              <w:ind w:firstLineChars="200" w:firstLine="42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</w:rPr>
              <w:t>贵行对</w:t>
            </w:r>
            <w:r>
              <w:rPr>
                <w:rFonts w:ascii="Times New Roman" w:hAnsi="Times New Roman" w:hint="eastAsia"/>
                <w:b/>
                <w:bCs/>
              </w:rPr>
              <w:t>2024</w:t>
            </w:r>
            <w:r>
              <w:rPr>
                <w:rFonts w:ascii="Times New Roman" w:hAnsi="Times New Roman" w:hint="eastAsia"/>
                <w:b/>
                <w:bCs/>
              </w:rPr>
              <w:t>年的规模、盈利情况有何展望？</w:t>
            </w:r>
          </w:p>
          <w:p w14:paraId="60897206" w14:textId="34527F10" w:rsidR="00003419" w:rsidRDefault="0053600B" w:rsidP="0053600B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答：近年来，本行资产负债保持稳健增长态势，资产、贷款、存款等主要规模</w:t>
            </w:r>
            <w:r w:rsidR="00D111B2">
              <w:rPr>
                <w:rFonts w:ascii="Times New Roman" w:hAnsi="Times New Roman" w:hint="eastAsia"/>
              </w:rPr>
              <w:t>指标</w:t>
            </w:r>
            <w:r>
              <w:rPr>
                <w:rFonts w:ascii="Times New Roman" w:hAnsi="Times New Roman"/>
              </w:rPr>
              <w:t>增速处于同业前列；盈利</w:t>
            </w:r>
            <w:r w:rsidR="00D111B2">
              <w:rPr>
                <w:rFonts w:ascii="Times New Roman" w:hAnsi="Times New Roman" w:hint="eastAsia"/>
              </w:rPr>
              <w:t>能力稳步提高</w:t>
            </w:r>
            <w:r>
              <w:rPr>
                <w:rFonts w:ascii="Times New Roman" w:hAnsi="Times New Roman"/>
              </w:rPr>
              <w:t>，</w:t>
            </w:r>
            <w:r w:rsidR="0044452B">
              <w:rPr>
                <w:rFonts w:ascii="Times New Roman" w:hAnsi="Times New Roman" w:hint="eastAsia"/>
              </w:rPr>
              <w:t>加权平均净资产收益率</w:t>
            </w:r>
            <w:r>
              <w:rPr>
                <w:rFonts w:ascii="Times New Roman" w:hAnsi="Times New Roman"/>
              </w:rPr>
              <w:t>稳中有升。</w:t>
            </w:r>
            <w:r>
              <w:rPr>
                <w:rFonts w:ascii="Times New Roman" w:hAnsi="Times New Roman" w:hint="eastAsia"/>
              </w:rPr>
              <w:t>2024</w:t>
            </w:r>
            <w:r>
              <w:rPr>
                <w:rFonts w:ascii="Times New Roman" w:hAnsi="Times New Roman" w:hint="eastAsia"/>
              </w:rPr>
              <w:t>年，本行将</w:t>
            </w:r>
            <w:r>
              <w:rPr>
                <w:rFonts w:ascii="Times New Roman" w:hAnsi="Times New Roman"/>
              </w:rPr>
              <w:t>坚持稳健发展，结合宏观经济形势与监管政策、内部经营等需求，合理制定年度经营计划。随着经济基本面回升</w:t>
            </w:r>
            <w:r>
              <w:rPr>
                <w:rFonts w:ascii="Times New Roman" w:hAnsi="Times New Roman" w:hint="eastAsia"/>
              </w:rPr>
              <w:t>向好</w:t>
            </w:r>
            <w:r>
              <w:rPr>
                <w:rFonts w:ascii="Times New Roman" w:hAnsi="Times New Roman"/>
              </w:rPr>
              <w:t>，预计</w:t>
            </w:r>
            <w:r>
              <w:rPr>
                <w:rFonts w:ascii="Times New Roman" w:hAnsi="Times New Roman" w:hint="eastAsia"/>
              </w:rPr>
              <w:t>经营业绩</w:t>
            </w:r>
            <w:r>
              <w:rPr>
                <w:rFonts w:ascii="Times New Roman" w:hAnsi="Times New Roman"/>
              </w:rPr>
              <w:t>继续保持</w:t>
            </w:r>
            <w:r>
              <w:rPr>
                <w:rFonts w:ascii="Times New Roman" w:hAnsi="Times New Roman" w:hint="eastAsia"/>
              </w:rPr>
              <w:t>稳健</w:t>
            </w:r>
            <w:r>
              <w:rPr>
                <w:rFonts w:ascii="Times New Roman" w:hAnsi="Times New Roman"/>
              </w:rPr>
              <w:t>增长。</w:t>
            </w:r>
          </w:p>
          <w:p w14:paraId="13E83736" w14:textId="4E1EC92C" w:rsidR="00003419" w:rsidRDefault="0053600B">
            <w:pPr>
              <w:numPr>
                <w:ilvl w:val="0"/>
                <w:numId w:val="1"/>
              </w:numPr>
              <w:ind w:firstLineChars="200" w:firstLine="42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今年</w:t>
            </w:r>
            <w:r>
              <w:rPr>
                <w:rFonts w:ascii="Times New Roman" w:hAnsi="Times New Roman"/>
                <w:b/>
                <w:bCs/>
              </w:rPr>
              <w:t>贵行</w:t>
            </w:r>
            <w:r>
              <w:rPr>
                <w:rFonts w:ascii="Times New Roman" w:hAnsi="Times New Roman" w:hint="eastAsia"/>
                <w:b/>
                <w:bCs/>
              </w:rPr>
              <w:t>主要在哪些方面发力</w:t>
            </w:r>
            <w:r>
              <w:rPr>
                <w:rFonts w:ascii="Times New Roman" w:hAnsi="Times New Roman"/>
                <w:b/>
                <w:bCs/>
              </w:rPr>
              <w:t>？</w:t>
            </w:r>
          </w:p>
          <w:p w14:paraId="3D201963" w14:textId="4B68DD3D" w:rsidR="00003419" w:rsidRDefault="0053600B" w:rsidP="00DF1F14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>答：</w:t>
            </w: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>，本行将</w:t>
            </w:r>
            <w:r>
              <w:rPr>
                <w:rFonts w:ascii="Times New Roman" w:hAnsi="Times New Roman" w:hint="eastAsia"/>
              </w:rPr>
              <w:t>紧紧</w:t>
            </w:r>
            <w:r>
              <w:rPr>
                <w:rFonts w:ascii="Times New Roman" w:hAnsi="Times New Roman"/>
              </w:rPr>
              <w:t>围绕</w:t>
            </w:r>
            <w:r>
              <w:rPr>
                <w:rFonts w:ascii="Times New Roman" w:hAnsi="Times New Roman" w:hint="eastAsia"/>
              </w:rPr>
              <w:t>金融服务“五篇大文章”</w:t>
            </w:r>
            <w:r>
              <w:rPr>
                <w:rFonts w:ascii="Times New Roman" w:hAnsi="Times New Roman"/>
              </w:rPr>
              <w:t>，</w:t>
            </w:r>
            <w:r w:rsidR="00C912E9" w:rsidRPr="00C912E9">
              <w:rPr>
                <w:rFonts w:ascii="Times New Roman" w:hAnsi="Times New Roman" w:hint="eastAsia"/>
              </w:rPr>
              <w:t>重点实施零售基石、城乡联动、绿色金融和数字化经营四大战略，</w:t>
            </w:r>
            <w:r w:rsidRPr="00C912E9">
              <w:rPr>
                <w:rFonts w:ascii="Times New Roman" w:hAnsi="Times New Roman" w:hint="eastAsia"/>
              </w:rPr>
              <w:t>持续</w:t>
            </w:r>
            <w:r>
              <w:rPr>
                <w:rFonts w:ascii="Times New Roman" w:hAnsi="Times New Roman" w:hint="eastAsia"/>
              </w:rPr>
              <w:t>优化资产结构，</w:t>
            </w:r>
            <w:r w:rsidRPr="00C912E9">
              <w:rPr>
                <w:rFonts w:ascii="Times New Roman" w:hAnsi="Times New Roman" w:hint="eastAsia"/>
              </w:rPr>
              <w:t>做大做强</w:t>
            </w:r>
            <w:r>
              <w:rPr>
                <w:rFonts w:ascii="Times New Roman" w:hAnsi="Times New Roman" w:hint="eastAsia"/>
              </w:rPr>
              <w:t>消费、养老、乡村振兴、科创、绿色等特色领域，加大交易银行、财富管理等业务对中收的贡献，</w:t>
            </w:r>
            <w:r w:rsidR="00C912E9" w:rsidRPr="00C912E9">
              <w:rPr>
                <w:rFonts w:ascii="Times New Roman" w:hAnsi="Times New Roman" w:hint="eastAsia"/>
              </w:rPr>
              <w:t>不断识别和探寻新业务增长点</w:t>
            </w:r>
            <w:r w:rsidR="00C912E9">
              <w:rPr>
                <w:rFonts w:ascii="Times New Roman" w:hAnsi="Times New Roman" w:hint="eastAsia"/>
              </w:rPr>
              <w:t>，打造差异化竞争新优势</w:t>
            </w:r>
            <w:r w:rsidR="00C912E9" w:rsidRPr="00C912E9">
              <w:rPr>
                <w:rFonts w:ascii="Times New Roman" w:hAnsi="Times New Roman" w:hint="eastAsia"/>
              </w:rPr>
              <w:t>。</w:t>
            </w:r>
          </w:p>
        </w:tc>
      </w:tr>
      <w:tr w:rsidR="00003419" w14:paraId="0B3A0D49" w14:textId="77777777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872A" w14:textId="77777777" w:rsidR="00003419" w:rsidRDefault="0053600B">
            <w:pPr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资料清单（如有）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4DEB" w14:textId="77777777" w:rsidR="00003419" w:rsidRDefault="0053600B">
            <w:pPr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Cs/>
                <w:iCs/>
                <w:szCs w:val="21"/>
              </w:rPr>
              <w:t>无</w:t>
            </w:r>
          </w:p>
        </w:tc>
      </w:tr>
    </w:tbl>
    <w:p w14:paraId="4D1C65FC" w14:textId="77777777" w:rsidR="00003419" w:rsidRDefault="00003419">
      <w:pPr>
        <w:widowControl/>
        <w:jc w:val="left"/>
        <w:rPr>
          <w:rFonts w:ascii="Times New Roman" w:hAnsi="Times New Roman"/>
        </w:rPr>
      </w:pPr>
    </w:p>
    <w:sectPr w:rsidR="00003419">
      <w:headerReference w:type="default" r:id="rId8"/>
      <w:footerReference w:type="default" r:id="rId9"/>
      <w:pgSz w:w="11906" w:h="16838"/>
      <w:pgMar w:top="1440" w:right="1797" w:bottom="1440" w:left="1797" w:header="73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EA53" w14:textId="77777777" w:rsidR="004B75B6" w:rsidRDefault="004B75B6">
      <w:r>
        <w:separator/>
      </w:r>
    </w:p>
  </w:endnote>
  <w:endnote w:type="continuationSeparator" w:id="0">
    <w:p w14:paraId="20FD71C3" w14:textId="77777777" w:rsidR="004B75B6" w:rsidRDefault="004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9721" w14:textId="77777777" w:rsidR="00003419" w:rsidRDefault="0053600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73789" wp14:editId="36BA39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F9A18" w14:textId="77777777" w:rsidR="00003419" w:rsidRDefault="0053600B">
                          <w:pPr>
                            <w:pStyle w:val="a5"/>
                            <w:rPr>
                              <w:rFonts w:ascii="Times New Roman" w:eastAsia="宋体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7378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14F9A18" w14:textId="77777777" w:rsidR="00003419" w:rsidRDefault="0053600B">
                    <w:pPr>
                      <w:pStyle w:val="a5"/>
                      <w:rPr>
                        <w:rFonts w:ascii="Times New Roman" w:eastAsia="宋体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44D9" w14:textId="77777777" w:rsidR="004B75B6" w:rsidRDefault="004B75B6">
      <w:r>
        <w:separator/>
      </w:r>
    </w:p>
  </w:footnote>
  <w:footnote w:type="continuationSeparator" w:id="0">
    <w:p w14:paraId="5975FFE6" w14:textId="77777777" w:rsidR="004B75B6" w:rsidRDefault="004B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8657" w14:textId="77777777" w:rsidR="00003419" w:rsidRDefault="00003419">
    <w:pPr>
      <w:pStyle w:val="a7"/>
      <w:pBdr>
        <w:bottom w:val="none" w:sz="0" w:space="1" w:color="auto"/>
      </w:pBdr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5AEF"/>
    <w:multiLevelType w:val="singleLevel"/>
    <w:tmpl w:val="601E5AEF"/>
    <w:lvl w:ilvl="0">
      <w:start w:val="2"/>
      <w:numFmt w:val="decimal"/>
      <w:suff w:val="space"/>
      <w:lvlText w:val="%1."/>
      <w:lvlJc w:val="left"/>
    </w:lvl>
  </w:abstractNum>
  <w:num w:numId="1" w16cid:durableId="80728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67"/>
    <w:rsid w:val="00003419"/>
    <w:rsid w:val="00004450"/>
    <w:rsid w:val="0003699D"/>
    <w:rsid w:val="00037382"/>
    <w:rsid w:val="00044A8C"/>
    <w:rsid w:val="000557CB"/>
    <w:rsid w:val="00060EC2"/>
    <w:rsid w:val="0006462C"/>
    <w:rsid w:val="00075112"/>
    <w:rsid w:val="00086803"/>
    <w:rsid w:val="00087466"/>
    <w:rsid w:val="000935B7"/>
    <w:rsid w:val="000A194C"/>
    <w:rsid w:val="000A1F23"/>
    <w:rsid w:val="000B653A"/>
    <w:rsid w:val="000C40DB"/>
    <w:rsid w:val="000E32FF"/>
    <w:rsid w:val="000F401F"/>
    <w:rsid w:val="000F5B41"/>
    <w:rsid w:val="00101ED7"/>
    <w:rsid w:val="00113E0B"/>
    <w:rsid w:val="00130E2A"/>
    <w:rsid w:val="0015525B"/>
    <w:rsid w:val="001905A8"/>
    <w:rsid w:val="001C20EA"/>
    <w:rsid w:val="001E043B"/>
    <w:rsid w:val="00213AFD"/>
    <w:rsid w:val="00271581"/>
    <w:rsid w:val="002915A4"/>
    <w:rsid w:val="002961B7"/>
    <w:rsid w:val="002A0533"/>
    <w:rsid w:val="002B3622"/>
    <w:rsid w:val="002D37AB"/>
    <w:rsid w:val="002D4F4A"/>
    <w:rsid w:val="002E35D8"/>
    <w:rsid w:val="002E7A42"/>
    <w:rsid w:val="002F2072"/>
    <w:rsid w:val="002F4E1D"/>
    <w:rsid w:val="00302659"/>
    <w:rsid w:val="003058E9"/>
    <w:rsid w:val="00322C99"/>
    <w:rsid w:val="0035341F"/>
    <w:rsid w:val="00372DBA"/>
    <w:rsid w:val="00386A5D"/>
    <w:rsid w:val="003C34DC"/>
    <w:rsid w:val="003E0DEE"/>
    <w:rsid w:val="003F5506"/>
    <w:rsid w:val="00403DEC"/>
    <w:rsid w:val="00412B3C"/>
    <w:rsid w:val="00422B11"/>
    <w:rsid w:val="0044452B"/>
    <w:rsid w:val="00445366"/>
    <w:rsid w:val="00446372"/>
    <w:rsid w:val="00450316"/>
    <w:rsid w:val="00470539"/>
    <w:rsid w:val="00474214"/>
    <w:rsid w:val="0048117D"/>
    <w:rsid w:val="00483C40"/>
    <w:rsid w:val="0049046A"/>
    <w:rsid w:val="0049650C"/>
    <w:rsid w:val="004B75B6"/>
    <w:rsid w:val="004C4814"/>
    <w:rsid w:val="004D5BEA"/>
    <w:rsid w:val="004E34B5"/>
    <w:rsid w:val="004F1C65"/>
    <w:rsid w:val="0050763D"/>
    <w:rsid w:val="00520326"/>
    <w:rsid w:val="005242D2"/>
    <w:rsid w:val="005263C2"/>
    <w:rsid w:val="0053600B"/>
    <w:rsid w:val="00550EA7"/>
    <w:rsid w:val="00554042"/>
    <w:rsid w:val="00572275"/>
    <w:rsid w:val="005765A6"/>
    <w:rsid w:val="00580CA6"/>
    <w:rsid w:val="00583648"/>
    <w:rsid w:val="005A5599"/>
    <w:rsid w:val="005C0F52"/>
    <w:rsid w:val="00600FFF"/>
    <w:rsid w:val="006030FF"/>
    <w:rsid w:val="00607E8B"/>
    <w:rsid w:val="006153E2"/>
    <w:rsid w:val="00615FB6"/>
    <w:rsid w:val="00620799"/>
    <w:rsid w:val="00622609"/>
    <w:rsid w:val="00625065"/>
    <w:rsid w:val="00625BE0"/>
    <w:rsid w:val="00630F46"/>
    <w:rsid w:val="006343BA"/>
    <w:rsid w:val="00642946"/>
    <w:rsid w:val="00686BF4"/>
    <w:rsid w:val="00694273"/>
    <w:rsid w:val="006E166A"/>
    <w:rsid w:val="006F0744"/>
    <w:rsid w:val="00702654"/>
    <w:rsid w:val="00705400"/>
    <w:rsid w:val="007439F3"/>
    <w:rsid w:val="0076502B"/>
    <w:rsid w:val="00767BDC"/>
    <w:rsid w:val="0079344F"/>
    <w:rsid w:val="007A26CD"/>
    <w:rsid w:val="007A652A"/>
    <w:rsid w:val="007B356F"/>
    <w:rsid w:val="007D4A9E"/>
    <w:rsid w:val="007D4AC0"/>
    <w:rsid w:val="007F2ECD"/>
    <w:rsid w:val="00817613"/>
    <w:rsid w:val="008204FE"/>
    <w:rsid w:val="0085799B"/>
    <w:rsid w:val="00860E21"/>
    <w:rsid w:val="008918FD"/>
    <w:rsid w:val="008B1C89"/>
    <w:rsid w:val="008B2181"/>
    <w:rsid w:val="008D1639"/>
    <w:rsid w:val="008D53C9"/>
    <w:rsid w:val="008E1CA9"/>
    <w:rsid w:val="008F08DA"/>
    <w:rsid w:val="008F56B5"/>
    <w:rsid w:val="008F5F02"/>
    <w:rsid w:val="008F7D33"/>
    <w:rsid w:val="009310BD"/>
    <w:rsid w:val="00933396"/>
    <w:rsid w:val="00935F07"/>
    <w:rsid w:val="009429CA"/>
    <w:rsid w:val="00975059"/>
    <w:rsid w:val="0098137A"/>
    <w:rsid w:val="009931E3"/>
    <w:rsid w:val="00997D5D"/>
    <w:rsid w:val="009B4A4D"/>
    <w:rsid w:val="009C0F17"/>
    <w:rsid w:val="009C1366"/>
    <w:rsid w:val="009C5837"/>
    <w:rsid w:val="009C612C"/>
    <w:rsid w:val="009E6D8E"/>
    <w:rsid w:val="009F1354"/>
    <w:rsid w:val="009F3634"/>
    <w:rsid w:val="00A212C7"/>
    <w:rsid w:val="00A55ECB"/>
    <w:rsid w:val="00A675C7"/>
    <w:rsid w:val="00A7063E"/>
    <w:rsid w:val="00A70D5E"/>
    <w:rsid w:val="00A72166"/>
    <w:rsid w:val="00A727C5"/>
    <w:rsid w:val="00A92973"/>
    <w:rsid w:val="00A94D7A"/>
    <w:rsid w:val="00AA040E"/>
    <w:rsid w:val="00AA3E75"/>
    <w:rsid w:val="00AF1AED"/>
    <w:rsid w:val="00B06FA1"/>
    <w:rsid w:val="00B26D8B"/>
    <w:rsid w:val="00B30215"/>
    <w:rsid w:val="00B44423"/>
    <w:rsid w:val="00B5182F"/>
    <w:rsid w:val="00B53CA8"/>
    <w:rsid w:val="00B62D03"/>
    <w:rsid w:val="00B647E3"/>
    <w:rsid w:val="00B663BF"/>
    <w:rsid w:val="00B67800"/>
    <w:rsid w:val="00B724A4"/>
    <w:rsid w:val="00B7283E"/>
    <w:rsid w:val="00B7635A"/>
    <w:rsid w:val="00B82417"/>
    <w:rsid w:val="00B87438"/>
    <w:rsid w:val="00B97B92"/>
    <w:rsid w:val="00BA277C"/>
    <w:rsid w:val="00BB6EAD"/>
    <w:rsid w:val="00BC324F"/>
    <w:rsid w:val="00BD1167"/>
    <w:rsid w:val="00C00778"/>
    <w:rsid w:val="00C05C68"/>
    <w:rsid w:val="00C06CC5"/>
    <w:rsid w:val="00C07E57"/>
    <w:rsid w:val="00C7726C"/>
    <w:rsid w:val="00C912E9"/>
    <w:rsid w:val="00CA4615"/>
    <w:rsid w:val="00CA7A8B"/>
    <w:rsid w:val="00CE2291"/>
    <w:rsid w:val="00CF7890"/>
    <w:rsid w:val="00D111B2"/>
    <w:rsid w:val="00D34511"/>
    <w:rsid w:val="00D35B95"/>
    <w:rsid w:val="00D4436E"/>
    <w:rsid w:val="00D44E5F"/>
    <w:rsid w:val="00D542E8"/>
    <w:rsid w:val="00D54EA9"/>
    <w:rsid w:val="00D575D3"/>
    <w:rsid w:val="00D75069"/>
    <w:rsid w:val="00DA23BA"/>
    <w:rsid w:val="00DA65A6"/>
    <w:rsid w:val="00DF1F14"/>
    <w:rsid w:val="00E04B0B"/>
    <w:rsid w:val="00E304A7"/>
    <w:rsid w:val="00E3501F"/>
    <w:rsid w:val="00E41520"/>
    <w:rsid w:val="00E612AD"/>
    <w:rsid w:val="00E93AD7"/>
    <w:rsid w:val="00EA3373"/>
    <w:rsid w:val="00EC71EC"/>
    <w:rsid w:val="00EE33AB"/>
    <w:rsid w:val="00EF7494"/>
    <w:rsid w:val="00F01146"/>
    <w:rsid w:val="00F064B2"/>
    <w:rsid w:val="00F24E15"/>
    <w:rsid w:val="00F26997"/>
    <w:rsid w:val="00F32D79"/>
    <w:rsid w:val="00F34ED6"/>
    <w:rsid w:val="00F37AEC"/>
    <w:rsid w:val="00F40147"/>
    <w:rsid w:val="00F424E0"/>
    <w:rsid w:val="00F4708C"/>
    <w:rsid w:val="00F572AC"/>
    <w:rsid w:val="00F74CF8"/>
    <w:rsid w:val="00F7530C"/>
    <w:rsid w:val="00F837C0"/>
    <w:rsid w:val="00F8725F"/>
    <w:rsid w:val="00F87B5A"/>
    <w:rsid w:val="00F916CE"/>
    <w:rsid w:val="00F91902"/>
    <w:rsid w:val="00FA214A"/>
    <w:rsid w:val="00FB3454"/>
    <w:rsid w:val="00FC3A5A"/>
    <w:rsid w:val="00FC634E"/>
    <w:rsid w:val="00FC6A5B"/>
    <w:rsid w:val="00FD3A9C"/>
    <w:rsid w:val="00FF05F1"/>
    <w:rsid w:val="00FF40F5"/>
    <w:rsid w:val="02E26CCA"/>
    <w:rsid w:val="032255CD"/>
    <w:rsid w:val="06CF53A9"/>
    <w:rsid w:val="08E31872"/>
    <w:rsid w:val="0B1D7273"/>
    <w:rsid w:val="0FD77F2D"/>
    <w:rsid w:val="13806E8A"/>
    <w:rsid w:val="1575456B"/>
    <w:rsid w:val="1D7F7A30"/>
    <w:rsid w:val="1ED6726A"/>
    <w:rsid w:val="20476A09"/>
    <w:rsid w:val="242522EF"/>
    <w:rsid w:val="24636C4D"/>
    <w:rsid w:val="30C14C0B"/>
    <w:rsid w:val="336A320D"/>
    <w:rsid w:val="34A80EF0"/>
    <w:rsid w:val="359B5E8D"/>
    <w:rsid w:val="3755548D"/>
    <w:rsid w:val="37791103"/>
    <w:rsid w:val="3B8E46B8"/>
    <w:rsid w:val="3E693637"/>
    <w:rsid w:val="3F1A1C1B"/>
    <w:rsid w:val="3FA73C06"/>
    <w:rsid w:val="42A62B07"/>
    <w:rsid w:val="47FE7C35"/>
    <w:rsid w:val="484641FC"/>
    <w:rsid w:val="496B24DA"/>
    <w:rsid w:val="4B6A2C77"/>
    <w:rsid w:val="525B0D2C"/>
    <w:rsid w:val="53E46994"/>
    <w:rsid w:val="54DA2843"/>
    <w:rsid w:val="57805F87"/>
    <w:rsid w:val="5B817F8D"/>
    <w:rsid w:val="61C56C1B"/>
    <w:rsid w:val="65F7076E"/>
    <w:rsid w:val="6819734C"/>
    <w:rsid w:val="6C043664"/>
    <w:rsid w:val="6CDD3B27"/>
    <w:rsid w:val="6CF55752"/>
    <w:rsid w:val="6DFA0428"/>
    <w:rsid w:val="70E23646"/>
    <w:rsid w:val="7424288C"/>
    <w:rsid w:val="77446149"/>
    <w:rsid w:val="79277612"/>
    <w:rsid w:val="7ACB3239"/>
    <w:rsid w:val="7EC200B6"/>
    <w:rsid w:val="7F027DA7"/>
    <w:rsid w:val="7FB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82A7"/>
  <w15:docId w15:val="{86C9FEB4-D873-4990-82F8-4C39CA0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360" w:lineRule="auto"/>
      <w:ind w:firstLineChars="200" w:firstLine="200"/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qFormat/>
    <w:rPr>
      <w:sz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Calibri" w:hAnsi="Calibri"/>
      <w:kern w:val="2"/>
      <w:sz w:val="21"/>
      <w:szCs w:val="24"/>
    </w:rPr>
  </w:style>
  <w:style w:type="paragraph" w:styleId="ab">
    <w:name w:val="Revision"/>
    <w:hidden/>
    <w:uiPriority w:val="99"/>
    <w:semiHidden/>
    <w:rsid w:val="00C912E9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qyf</dc:creator>
  <cp:lastModifiedBy>张明</cp:lastModifiedBy>
  <cp:revision>65</cp:revision>
  <dcterms:created xsi:type="dcterms:W3CDTF">2021-07-12T02:22:00Z</dcterms:created>
  <dcterms:modified xsi:type="dcterms:W3CDTF">2024-02-01T08:20:00Z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A3273F9D84E343989AEF166CDE3217EA</vt:lpwstr>
  </property>
</Properties>
</file>