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Theme="minorEastAsia" w:hAnsiTheme="minorEastAsia" w:eastAsiaTheme="minorEastAsia"/>
          <w:bCs/>
          <w:iCs/>
          <w:color w:val="000000"/>
          <w:sz w:val="24"/>
        </w:rPr>
      </w:pPr>
      <w:r>
        <w:rPr>
          <w:rFonts w:asciiTheme="minorEastAsia" w:hAnsiTheme="minorEastAsia" w:eastAsiaTheme="minorEastAsia"/>
          <w:bCs/>
          <w:iCs/>
          <w:color w:val="000000"/>
          <w:sz w:val="24"/>
        </w:rPr>
        <w:t xml:space="preserve">证券代码： </w:t>
      </w:r>
      <w:r>
        <w:rPr>
          <w:rFonts w:asciiTheme="minorEastAsia" w:hAnsiTheme="minorEastAsia" w:eastAsiaTheme="minorEastAsia"/>
          <w:color w:val="000000"/>
          <w:sz w:val="24"/>
        </w:rPr>
        <w:t xml:space="preserve">688398                             </w:t>
      </w:r>
      <w:r>
        <w:rPr>
          <w:rFonts w:asciiTheme="minorEastAsia" w:hAnsiTheme="minorEastAsia" w:eastAsiaTheme="minorEastAsia"/>
          <w:bCs/>
          <w:iCs/>
          <w:color w:val="000000"/>
          <w:sz w:val="24"/>
        </w:rPr>
        <w:t>证券简称：</w:t>
      </w:r>
      <w:r>
        <w:rPr>
          <w:rFonts w:asciiTheme="minorEastAsia" w:hAnsiTheme="minorEastAsia" w:eastAsiaTheme="minorEastAsia"/>
          <w:color w:val="000000"/>
          <w:sz w:val="24"/>
        </w:rPr>
        <w:t>赛特新材</w:t>
      </w:r>
    </w:p>
    <w:p>
      <w:pPr>
        <w:spacing w:before="156" w:beforeLines="50" w:after="156" w:afterLines="50" w:line="400" w:lineRule="exact"/>
        <w:jc w:val="center"/>
        <w:rPr>
          <w:rFonts w:asciiTheme="minorEastAsia" w:hAnsiTheme="minorEastAsia" w:eastAsiaTheme="minorEastAsia"/>
          <w:b/>
          <w:bCs/>
          <w:iCs/>
          <w:color w:val="000000"/>
          <w:sz w:val="32"/>
          <w:szCs w:val="32"/>
        </w:rPr>
      </w:pPr>
      <w:r>
        <w:rPr>
          <w:rFonts w:asciiTheme="minorEastAsia" w:hAnsiTheme="minorEastAsia" w:eastAsiaTheme="minorEastAsia"/>
          <w:b/>
          <w:bCs/>
          <w:iCs/>
          <w:color w:val="000000"/>
          <w:sz w:val="32"/>
          <w:szCs w:val="32"/>
        </w:rPr>
        <w:t>福建赛特新材股份有限公司</w:t>
      </w:r>
      <w:r>
        <w:rPr>
          <w:rFonts w:hint="eastAsia" w:asciiTheme="minorEastAsia" w:hAnsiTheme="minorEastAsia" w:eastAsiaTheme="minorEastAsia"/>
          <w:b/>
          <w:bCs/>
          <w:iCs/>
          <w:color w:val="000000"/>
          <w:sz w:val="32"/>
          <w:szCs w:val="32"/>
        </w:rPr>
        <w:t>投资者关系活动记录表</w:t>
      </w:r>
    </w:p>
    <w:p>
      <w:pPr>
        <w:spacing w:before="156" w:beforeLines="50" w:after="156" w:afterLines="50" w:line="400" w:lineRule="exact"/>
        <w:jc w:val="center"/>
        <w:rPr>
          <w:rFonts w:asciiTheme="minorEastAsia" w:hAnsiTheme="minorEastAsia" w:eastAsiaTheme="minorEastAsia"/>
          <w:bCs/>
          <w:iCs/>
          <w:color w:val="000000"/>
          <w:sz w:val="24"/>
        </w:rPr>
      </w:pPr>
      <w:r>
        <w:rPr>
          <w:rFonts w:hint="eastAsia" w:asciiTheme="minorEastAsia" w:hAnsiTheme="minorEastAsia" w:eastAsiaTheme="minorEastAsia"/>
          <w:b/>
          <w:bCs/>
          <w:iCs/>
          <w:color w:val="000000"/>
          <w:sz w:val="32"/>
          <w:szCs w:val="32"/>
        </w:rPr>
        <w:t>（202</w:t>
      </w:r>
      <w:r>
        <w:rPr>
          <w:rFonts w:asciiTheme="minorEastAsia" w:hAnsiTheme="minorEastAsia" w:eastAsiaTheme="minorEastAsia"/>
          <w:b/>
          <w:bCs/>
          <w:iCs/>
          <w:color w:val="000000"/>
          <w:sz w:val="32"/>
          <w:szCs w:val="32"/>
        </w:rPr>
        <w:t>4</w:t>
      </w:r>
      <w:r>
        <w:rPr>
          <w:rFonts w:hint="eastAsia" w:asciiTheme="minorEastAsia" w:hAnsiTheme="minorEastAsia" w:eastAsiaTheme="minorEastAsia"/>
          <w:b/>
          <w:bCs/>
          <w:iCs/>
          <w:color w:val="000000"/>
          <w:sz w:val="32"/>
          <w:szCs w:val="32"/>
        </w:rPr>
        <w:t>-</w:t>
      </w:r>
      <w:r>
        <w:rPr>
          <w:rFonts w:asciiTheme="minorEastAsia" w:hAnsiTheme="minorEastAsia" w:eastAsiaTheme="minorEastAsia"/>
          <w:b/>
          <w:bCs/>
          <w:iCs/>
          <w:color w:val="000000"/>
          <w:sz w:val="32"/>
          <w:szCs w:val="32"/>
        </w:rPr>
        <w:t>001</w:t>
      </w:r>
      <w:r>
        <w:rPr>
          <w:rFonts w:hint="eastAsia" w:asciiTheme="minorEastAsia" w:hAnsiTheme="minorEastAsia" w:eastAsiaTheme="minorEastAsia"/>
          <w:b/>
          <w:bCs/>
          <w:iCs/>
          <w:color w:val="000000"/>
          <w:sz w:val="32"/>
          <w:szCs w:val="32"/>
        </w:rPr>
        <w:t>）</w:t>
      </w:r>
      <w:r>
        <w:rPr>
          <w:rFonts w:hint="eastAsia" w:asciiTheme="minorEastAsia" w:hAnsiTheme="minorEastAsia" w:eastAsiaTheme="minorEastAsia"/>
          <w:bCs/>
          <w:iCs/>
          <w:color w:val="000000"/>
          <w:sz w:val="24"/>
        </w:rPr>
        <w:t xml:space="preserve">                                                    </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bCs/>
                <w:iCs/>
                <w:color w:val="000000"/>
                <w:kern w:val="0"/>
                <w:sz w:val="24"/>
              </w:rPr>
            </w:pPr>
            <w:r>
              <w:rPr>
                <w:rFonts w:asciiTheme="minorEastAsia" w:hAnsiTheme="minorEastAsia" w:eastAsiaTheme="minorEastAsia"/>
                <w:bCs/>
                <w:iCs/>
                <w:color w:val="000000"/>
                <w:kern w:val="0"/>
                <w:sz w:val="24"/>
              </w:rPr>
              <w:t>投资者关系活动类别</w:t>
            </w:r>
          </w:p>
        </w:tc>
        <w:tc>
          <w:tcPr>
            <w:tcW w:w="6847" w:type="dxa"/>
            <w:tcBorders>
              <w:top w:val="single" w:color="auto" w:sz="4" w:space="0"/>
              <w:left w:val="single" w:color="auto" w:sz="4" w:space="0"/>
              <w:bottom w:val="single" w:color="auto" w:sz="4" w:space="0"/>
              <w:right w:val="single" w:color="auto" w:sz="4" w:space="0"/>
            </w:tcBorders>
          </w:tcPr>
          <w:p>
            <w:pPr>
              <w:spacing w:line="420" w:lineRule="exact"/>
              <w:rPr>
                <w:rFonts w:asciiTheme="minorEastAsia" w:hAnsiTheme="minorEastAsia" w:eastAsiaTheme="minorEastAsia"/>
                <w:bCs/>
                <w:iCs/>
                <w:color w:val="000000"/>
                <w:sz w:val="24"/>
              </w:rPr>
            </w:pPr>
            <w:r>
              <w:rPr>
                <w:rFonts w:asciiTheme="minorEastAsia" w:hAnsiTheme="minorEastAsia" w:eastAsiaTheme="minorEastAsia"/>
                <w:bCs/>
                <w:iCs/>
                <w:color w:val="000000"/>
                <w:kern w:val="0"/>
                <w:sz w:val="24"/>
              </w:rPr>
              <w:t>√</w:t>
            </w:r>
            <w:r>
              <w:rPr>
                <w:rFonts w:asciiTheme="minorEastAsia" w:hAnsiTheme="minorEastAsia" w:eastAsiaTheme="minorEastAsia"/>
                <w:kern w:val="0"/>
                <w:sz w:val="24"/>
              </w:rPr>
              <w:t xml:space="preserve">特定对象调研       </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 xml:space="preserve"> </w:t>
            </w:r>
            <w:r>
              <w:rPr>
                <w:rFonts w:asciiTheme="minorEastAsia" w:hAnsiTheme="minorEastAsia" w:eastAsiaTheme="minorEastAsia"/>
                <w:bCs/>
                <w:iCs/>
                <w:color w:val="000000"/>
                <w:kern w:val="0"/>
                <w:sz w:val="24"/>
              </w:rPr>
              <w:t>√</w:t>
            </w:r>
            <w:r>
              <w:rPr>
                <w:rFonts w:hint="eastAsia" w:asciiTheme="minorEastAsia" w:hAnsiTheme="minorEastAsia" w:eastAsiaTheme="minorEastAsia"/>
                <w:bCs/>
                <w:iCs/>
                <w:color w:val="000000"/>
                <w:kern w:val="0"/>
                <w:sz w:val="24"/>
              </w:rPr>
              <w:t xml:space="preserve"> </w:t>
            </w:r>
            <w:r>
              <w:rPr>
                <w:rFonts w:asciiTheme="minorEastAsia" w:hAnsiTheme="minorEastAsia" w:eastAsiaTheme="minorEastAsia"/>
                <w:kern w:val="0"/>
                <w:sz w:val="24"/>
              </w:rPr>
              <w:t>分析师会议</w:t>
            </w:r>
          </w:p>
          <w:p>
            <w:pPr>
              <w:spacing w:line="420" w:lineRule="exact"/>
              <w:rPr>
                <w:rFonts w:asciiTheme="minorEastAsia" w:hAnsiTheme="minorEastAsia" w:eastAsiaTheme="minorEastAsia"/>
                <w:bCs/>
                <w:iCs/>
                <w:color w:val="000000"/>
                <w:kern w:val="0"/>
                <w:sz w:val="24"/>
              </w:rPr>
            </w:pPr>
            <w:r>
              <w:rPr>
                <w:rFonts w:asciiTheme="minorEastAsia" w:hAnsiTheme="minorEastAsia" w:eastAsiaTheme="minorEastAsia"/>
                <w:bCs/>
                <w:iCs/>
                <w:color w:val="000000"/>
                <w:kern w:val="0"/>
                <w:sz w:val="24"/>
              </w:rPr>
              <w:t>□</w:t>
            </w:r>
            <w:r>
              <w:rPr>
                <w:rFonts w:hint="eastAsia" w:asciiTheme="minorEastAsia" w:hAnsiTheme="minorEastAsia" w:eastAsiaTheme="minorEastAsia"/>
                <w:bCs/>
                <w:iCs/>
                <w:color w:val="000000"/>
                <w:kern w:val="0"/>
                <w:sz w:val="24"/>
              </w:rPr>
              <w:t xml:space="preserve"> </w:t>
            </w:r>
            <w:r>
              <w:rPr>
                <w:rFonts w:asciiTheme="minorEastAsia" w:hAnsiTheme="minorEastAsia" w:eastAsiaTheme="minorEastAsia"/>
                <w:kern w:val="0"/>
                <w:sz w:val="24"/>
              </w:rPr>
              <w:t xml:space="preserve">媒体采访            </w:t>
            </w:r>
            <w:r>
              <w:rPr>
                <w:rFonts w:asciiTheme="minorEastAsia" w:hAnsiTheme="minorEastAsia" w:eastAsiaTheme="minorEastAsia"/>
                <w:bCs/>
                <w:iCs/>
                <w:color w:val="000000"/>
                <w:kern w:val="0"/>
                <w:sz w:val="24"/>
              </w:rPr>
              <w:t>□</w:t>
            </w:r>
            <w:r>
              <w:rPr>
                <w:rFonts w:asciiTheme="minorEastAsia" w:hAnsiTheme="minorEastAsia" w:eastAsiaTheme="minorEastAsia"/>
                <w:kern w:val="0"/>
                <w:sz w:val="24"/>
              </w:rPr>
              <w:t>业绩说明会</w:t>
            </w:r>
          </w:p>
          <w:p>
            <w:pPr>
              <w:spacing w:line="420" w:lineRule="exact"/>
              <w:rPr>
                <w:rFonts w:asciiTheme="minorEastAsia" w:hAnsiTheme="minorEastAsia" w:eastAsiaTheme="minorEastAsia"/>
                <w:bCs/>
                <w:iCs/>
                <w:color w:val="000000"/>
                <w:kern w:val="0"/>
                <w:sz w:val="24"/>
              </w:rPr>
            </w:pPr>
            <w:r>
              <w:rPr>
                <w:rFonts w:asciiTheme="minorEastAsia" w:hAnsiTheme="minorEastAsia" w:eastAsiaTheme="minorEastAsia"/>
                <w:bCs/>
                <w:iCs/>
                <w:color w:val="000000"/>
                <w:kern w:val="0"/>
                <w:sz w:val="24"/>
              </w:rPr>
              <w:t>□</w:t>
            </w:r>
            <w:r>
              <w:rPr>
                <w:rFonts w:hint="eastAsia" w:asciiTheme="minorEastAsia" w:hAnsiTheme="minorEastAsia" w:eastAsiaTheme="minorEastAsia"/>
                <w:bCs/>
                <w:iCs/>
                <w:color w:val="000000"/>
                <w:kern w:val="0"/>
                <w:sz w:val="24"/>
              </w:rPr>
              <w:t xml:space="preserve"> </w:t>
            </w:r>
            <w:r>
              <w:rPr>
                <w:rFonts w:asciiTheme="minorEastAsia" w:hAnsiTheme="minorEastAsia" w:eastAsiaTheme="minorEastAsia"/>
                <w:kern w:val="0"/>
                <w:sz w:val="24"/>
              </w:rPr>
              <w:t xml:space="preserve">新闻发布会          </w:t>
            </w:r>
            <w:r>
              <w:rPr>
                <w:rFonts w:asciiTheme="minorEastAsia" w:hAnsiTheme="minorEastAsia" w:eastAsiaTheme="minorEastAsia"/>
                <w:bCs/>
                <w:iCs/>
                <w:color w:val="000000"/>
                <w:kern w:val="0"/>
                <w:sz w:val="24"/>
              </w:rPr>
              <w:t>□</w:t>
            </w:r>
            <w:r>
              <w:rPr>
                <w:rFonts w:hint="eastAsia" w:asciiTheme="minorEastAsia" w:hAnsiTheme="minorEastAsia" w:eastAsiaTheme="minorEastAsia"/>
                <w:bCs/>
                <w:iCs/>
                <w:color w:val="000000"/>
                <w:kern w:val="0"/>
                <w:sz w:val="24"/>
              </w:rPr>
              <w:t xml:space="preserve"> </w:t>
            </w:r>
            <w:r>
              <w:rPr>
                <w:rFonts w:asciiTheme="minorEastAsia" w:hAnsiTheme="minorEastAsia" w:eastAsiaTheme="minorEastAsia"/>
                <w:kern w:val="0"/>
                <w:sz w:val="24"/>
              </w:rPr>
              <w:t>路演活动</w:t>
            </w:r>
          </w:p>
          <w:p>
            <w:pPr>
              <w:tabs>
                <w:tab w:val="left" w:pos="3045"/>
                <w:tab w:val="center" w:pos="3199"/>
              </w:tabs>
              <w:spacing w:line="420" w:lineRule="exact"/>
              <w:rPr>
                <w:rFonts w:asciiTheme="minorEastAsia" w:hAnsiTheme="minorEastAsia" w:eastAsiaTheme="minorEastAsia"/>
                <w:bCs/>
                <w:iCs/>
                <w:color w:val="000000"/>
                <w:kern w:val="0"/>
                <w:sz w:val="24"/>
              </w:rPr>
            </w:pPr>
            <w:r>
              <w:rPr>
                <w:rFonts w:asciiTheme="minorEastAsia" w:hAnsiTheme="minorEastAsia" w:eastAsiaTheme="minorEastAsia"/>
                <w:bCs/>
                <w:iCs/>
                <w:color w:val="000000"/>
                <w:kern w:val="0"/>
                <w:sz w:val="24"/>
              </w:rPr>
              <w:t>□</w:t>
            </w:r>
            <w:r>
              <w:rPr>
                <w:rFonts w:hint="eastAsia" w:asciiTheme="minorEastAsia" w:hAnsiTheme="minorEastAsia" w:eastAsiaTheme="minorEastAsia"/>
                <w:bCs/>
                <w:iCs/>
                <w:color w:val="000000"/>
                <w:kern w:val="0"/>
                <w:sz w:val="24"/>
              </w:rPr>
              <w:t xml:space="preserve"> </w:t>
            </w:r>
            <w:r>
              <w:rPr>
                <w:rFonts w:asciiTheme="minorEastAsia" w:hAnsiTheme="minorEastAsia" w:eastAsiaTheme="minorEastAsia"/>
                <w:kern w:val="0"/>
                <w:sz w:val="24"/>
              </w:rPr>
              <w:t>现场参观</w:t>
            </w:r>
            <w:r>
              <w:rPr>
                <w:rFonts w:asciiTheme="minorEastAsia" w:hAnsiTheme="minorEastAsia" w:eastAsiaTheme="minorEastAsia"/>
                <w:bCs/>
                <w:iCs/>
                <w:color w:val="000000"/>
                <w:kern w:val="0"/>
                <w:sz w:val="24"/>
              </w:rPr>
              <w:tab/>
            </w:r>
          </w:p>
          <w:p>
            <w:pPr>
              <w:tabs>
                <w:tab w:val="center" w:pos="3199"/>
              </w:tabs>
              <w:spacing w:line="420" w:lineRule="exact"/>
              <w:rPr>
                <w:rFonts w:asciiTheme="minorEastAsia" w:hAnsiTheme="minorEastAsia" w:eastAsiaTheme="minorEastAsia"/>
                <w:bCs/>
                <w:iCs/>
                <w:color w:val="000000"/>
                <w:sz w:val="24"/>
              </w:rPr>
            </w:pPr>
            <w:r>
              <w:rPr>
                <w:rFonts w:asciiTheme="minorEastAsia" w:hAnsiTheme="minorEastAsia" w:eastAsiaTheme="minorEastAsia"/>
                <w:bCs/>
                <w:iCs/>
                <w:color w:val="000000"/>
                <w:kern w:val="0"/>
                <w:sz w:val="24"/>
              </w:rPr>
              <w:t>□</w:t>
            </w:r>
            <w:r>
              <w:rPr>
                <w:rFonts w:hint="eastAsia" w:asciiTheme="minorEastAsia" w:hAnsiTheme="minorEastAsia" w:eastAsiaTheme="minorEastAsia"/>
                <w:bCs/>
                <w:iCs/>
                <w:color w:val="000000"/>
                <w:kern w:val="0"/>
                <w:sz w:val="24"/>
              </w:rPr>
              <w:t xml:space="preserve"> </w:t>
            </w:r>
            <w:r>
              <w:rPr>
                <w:rFonts w:asciiTheme="minorEastAsia" w:hAnsiTheme="minorEastAsia" w:eastAsiaTheme="minorEastAsia"/>
                <w:kern w:val="0"/>
                <w:sz w:val="24"/>
              </w:rPr>
              <w:t>其他 （</w:t>
            </w:r>
            <w:r>
              <w:rPr>
                <w:rFonts w:asciiTheme="minorEastAsia" w:hAnsiTheme="minorEastAsia" w:eastAsiaTheme="minorEastAsia"/>
                <w:kern w:val="0"/>
                <w:sz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bCs/>
                <w:iCs/>
                <w:color w:val="000000"/>
                <w:kern w:val="0"/>
                <w:sz w:val="24"/>
              </w:rPr>
            </w:pPr>
            <w:r>
              <w:rPr>
                <w:rFonts w:asciiTheme="minorEastAsia" w:hAnsiTheme="minorEastAsia" w:eastAsiaTheme="minorEastAsia"/>
                <w:bCs/>
                <w:iCs/>
                <w:color w:val="000000"/>
                <w:kern w:val="0"/>
                <w:sz w:val="24"/>
              </w:rPr>
              <w:t>参与单位名称及人员姓名</w:t>
            </w:r>
          </w:p>
        </w:tc>
        <w:tc>
          <w:tcPr>
            <w:tcW w:w="684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Theme="minorEastAsia" w:hAnsiTheme="minorEastAsia" w:eastAsiaTheme="minorEastAsia"/>
                <w:bCs/>
                <w:iCs/>
                <w:color w:val="000000"/>
                <w:sz w:val="24"/>
                <w:lang w:val="en-GB"/>
              </w:rPr>
            </w:pPr>
            <w:r>
              <w:rPr>
                <w:rFonts w:hint="eastAsia" w:asciiTheme="minorEastAsia" w:hAnsiTheme="minorEastAsia" w:eastAsiaTheme="minorEastAsia"/>
                <w:bCs/>
                <w:iCs/>
                <w:color w:val="000000"/>
                <w:sz w:val="24"/>
                <w:lang w:val="en-GB"/>
              </w:rPr>
              <w:t>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bCs/>
                <w:iCs/>
                <w:color w:val="000000"/>
                <w:kern w:val="0"/>
                <w:sz w:val="24"/>
              </w:rPr>
            </w:pPr>
            <w:r>
              <w:rPr>
                <w:rFonts w:asciiTheme="minorEastAsia" w:hAnsiTheme="minorEastAsia" w:eastAsiaTheme="minorEastAsia"/>
                <w:bCs/>
                <w:iCs/>
                <w:color w:val="000000"/>
                <w:kern w:val="0"/>
                <w:sz w:val="24"/>
              </w:rPr>
              <w:t>时间</w:t>
            </w:r>
          </w:p>
        </w:tc>
        <w:tc>
          <w:tcPr>
            <w:tcW w:w="684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bCs/>
                <w:iCs/>
                <w:color w:val="000000"/>
                <w:sz w:val="24"/>
              </w:rPr>
            </w:pPr>
            <w:r>
              <w:rPr>
                <w:rFonts w:asciiTheme="minorEastAsia" w:hAnsiTheme="minorEastAsia" w:eastAsiaTheme="minorEastAsia"/>
                <w:bCs/>
                <w:iCs/>
                <w:color w:val="000000"/>
                <w:sz w:val="24"/>
              </w:rPr>
              <w:t>2024年1月</w:t>
            </w:r>
            <w:r>
              <w:rPr>
                <w:rFonts w:hint="eastAsia" w:asciiTheme="minorEastAsia" w:hAnsiTheme="minorEastAsia" w:eastAsiaTheme="minorEastAsia"/>
                <w:bCs/>
                <w:iCs/>
                <w:color w:val="000000"/>
                <w:sz w:val="24"/>
              </w:rPr>
              <w:t>30</w:t>
            </w:r>
            <w:r>
              <w:rPr>
                <w:rFonts w:asciiTheme="minorEastAsia" w:hAnsiTheme="minorEastAsia" w:eastAsiaTheme="minorEastAsia"/>
                <w:bCs/>
                <w:iCs/>
                <w:color w:val="000000"/>
                <w:sz w:val="24"/>
              </w:rPr>
              <w:t>日</w:t>
            </w:r>
            <w:r>
              <w:rPr>
                <w:rFonts w:hint="eastAsia" w:asciiTheme="minorEastAsia" w:hAnsiTheme="minorEastAsia" w:eastAsiaTheme="minorEastAsia"/>
                <w:bCs/>
                <w:iCs/>
                <w:color w:val="000000"/>
                <w:sz w:val="24"/>
                <w:lang w:eastAsia="zh-CN"/>
              </w:rPr>
              <w:t>～</w:t>
            </w:r>
            <w:bookmarkStart w:id="0" w:name="_GoBack"/>
            <w:bookmarkEnd w:id="0"/>
            <w:r>
              <w:rPr>
                <w:rFonts w:asciiTheme="minorEastAsia" w:hAnsiTheme="minorEastAsia" w:eastAsiaTheme="minorEastAsia"/>
                <w:bCs/>
                <w:iCs/>
                <w:color w:val="000000"/>
                <w:sz w:val="24"/>
              </w:rPr>
              <w:t>2024</w:t>
            </w:r>
            <w:r>
              <w:rPr>
                <w:rFonts w:hint="eastAsia" w:asciiTheme="minorEastAsia" w:hAnsiTheme="minorEastAsia" w:eastAsiaTheme="minorEastAsia"/>
                <w:bCs/>
                <w:iCs/>
                <w:color w:val="000000"/>
                <w:sz w:val="24"/>
              </w:rPr>
              <w:t>年</w:t>
            </w:r>
            <w:r>
              <w:rPr>
                <w:rFonts w:asciiTheme="minorEastAsia" w:hAnsiTheme="minorEastAsia" w:eastAsiaTheme="minorEastAsia"/>
                <w:bCs/>
                <w:iCs/>
                <w:color w:val="000000"/>
                <w:sz w:val="24"/>
              </w:rPr>
              <w:t>2</w:t>
            </w:r>
            <w:r>
              <w:rPr>
                <w:rFonts w:hint="eastAsia" w:asciiTheme="minorEastAsia" w:hAnsiTheme="minorEastAsia" w:eastAsiaTheme="minorEastAsia"/>
                <w:bCs/>
                <w:iCs/>
                <w:color w:val="000000"/>
                <w:sz w:val="24"/>
              </w:rPr>
              <w:t>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bCs/>
                <w:iCs/>
                <w:color w:val="000000"/>
                <w:kern w:val="0"/>
                <w:sz w:val="24"/>
              </w:rPr>
            </w:pPr>
            <w:r>
              <w:rPr>
                <w:rFonts w:asciiTheme="minorEastAsia" w:hAnsiTheme="minorEastAsia" w:eastAsiaTheme="minorEastAsia"/>
                <w:bCs/>
                <w:iCs/>
                <w:color w:val="000000"/>
                <w:kern w:val="0"/>
                <w:sz w:val="24"/>
              </w:rPr>
              <w:t>地点</w:t>
            </w:r>
          </w:p>
        </w:tc>
        <w:tc>
          <w:tcPr>
            <w:tcW w:w="6847" w:type="dxa"/>
            <w:tcBorders>
              <w:top w:val="single" w:color="auto" w:sz="4" w:space="0"/>
              <w:left w:val="single" w:color="auto" w:sz="4" w:space="0"/>
              <w:bottom w:val="single" w:color="auto" w:sz="4" w:space="0"/>
              <w:right w:val="single" w:color="auto" w:sz="4" w:space="0"/>
            </w:tcBorders>
          </w:tcPr>
          <w:p>
            <w:pPr>
              <w:pStyle w:val="19"/>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网络会议、电话会议等</w:t>
            </w:r>
          </w:p>
          <w:p>
            <w:pPr>
              <w:pStyle w:val="19"/>
              <w:numPr>
                <w:ilvl w:val="0"/>
                <w:numId w:val="1"/>
              </w:numPr>
              <w:spacing w:line="360" w:lineRule="auto"/>
              <w:ind w:firstLineChars="0"/>
              <w:rPr>
                <w:rFonts w:asciiTheme="minorEastAsia" w:hAnsiTheme="minorEastAsia" w:eastAsiaTheme="minorEastAsia"/>
                <w:bCs/>
                <w:iCs/>
                <w:color w:val="000000"/>
                <w:sz w:val="24"/>
              </w:rPr>
            </w:pPr>
            <w:r>
              <w:rPr>
                <w:rFonts w:hint="eastAsia" w:asciiTheme="minorEastAsia" w:hAnsiTheme="minorEastAsia" w:eastAsiaTheme="minorEastAsia"/>
                <w:sz w:val="24"/>
              </w:rPr>
              <w:t>厦门市现场调研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bCs/>
                <w:iCs/>
                <w:color w:val="000000"/>
                <w:kern w:val="0"/>
                <w:sz w:val="24"/>
              </w:rPr>
            </w:pPr>
            <w:r>
              <w:rPr>
                <w:rFonts w:asciiTheme="minorEastAsia" w:hAnsiTheme="minorEastAsia" w:eastAsiaTheme="minorEastAsia"/>
                <w:bCs/>
                <w:iCs/>
                <w:color w:val="000000"/>
                <w:kern w:val="0"/>
                <w:sz w:val="24"/>
              </w:rPr>
              <w:t>上市公司接待人员姓名</w:t>
            </w:r>
          </w:p>
        </w:tc>
        <w:tc>
          <w:tcPr>
            <w:tcW w:w="68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bCs/>
                <w:sz w:val="24"/>
              </w:rPr>
            </w:pPr>
            <w:r>
              <w:rPr>
                <w:rFonts w:asciiTheme="minorEastAsia" w:hAnsiTheme="minorEastAsia" w:eastAsiaTheme="minorEastAsia"/>
                <w:bCs/>
                <w:sz w:val="24"/>
              </w:rPr>
              <w:t>董事会秘书张必辉</w:t>
            </w:r>
            <w:r>
              <w:rPr>
                <w:rFonts w:hint="eastAsia" w:asciiTheme="minorEastAsia" w:hAnsiTheme="minorEastAsia" w:eastAsiaTheme="minorEastAsia"/>
                <w:bCs/>
                <w:sz w:val="24"/>
              </w:rPr>
              <w:t>、证券事务代表谢义英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bCs/>
                <w:iCs/>
                <w:color w:val="000000"/>
                <w:kern w:val="0"/>
                <w:sz w:val="24"/>
              </w:rPr>
            </w:pPr>
            <w:r>
              <w:rPr>
                <w:rFonts w:asciiTheme="minorEastAsia" w:hAnsiTheme="minorEastAsia" w:eastAsiaTheme="minorEastAsia"/>
                <w:bCs/>
                <w:iCs/>
                <w:color w:val="000000"/>
                <w:kern w:val="0"/>
                <w:sz w:val="24"/>
              </w:rPr>
              <w:t>投资者关系活动主要内容介绍</w:t>
            </w:r>
          </w:p>
          <w:p>
            <w:pPr>
              <w:spacing w:line="420" w:lineRule="exact"/>
              <w:rPr>
                <w:rFonts w:asciiTheme="minorEastAsia" w:hAnsiTheme="minorEastAsia" w:eastAsiaTheme="minorEastAsia"/>
                <w:bCs/>
                <w:iCs/>
                <w:color w:val="000000"/>
                <w:sz w:val="24"/>
              </w:rPr>
            </w:pPr>
          </w:p>
        </w:tc>
        <w:tc>
          <w:tcPr>
            <w:tcW w:w="684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80" w:firstLineChars="200"/>
              <w:jc w:val="left"/>
              <w:rPr>
                <w:rFonts w:cs="Arial" w:asciiTheme="minorEastAsia" w:hAnsiTheme="minorEastAsia" w:eastAsiaTheme="minorEastAsia"/>
                <w:sz w:val="24"/>
              </w:rPr>
            </w:pPr>
            <w:r>
              <w:rPr>
                <w:rFonts w:cs="Arial" w:asciiTheme="minorEastAsia" w:hAnsiTheme="minorEastAsia" w:eastAsiaTheme="minorEastAsia"/>
                <w:sz w:val="24"/>
              </w:rPr>
              <w:t>2023年</w:t>
            </w:r>
            <w:r>
              <w:rPr>
                <w:rFonts w:hint="eastAsia" w:cs="Arial" w:asciiTheme="minorEastAsia" w:hAnsiTheme="minorEastAsia" w:eastAsiaTheme="minorEastAsia"/>
                <w:sz w:val="24"/>
              </w:rPr>
              <w:t>公司</w:t>
            </w:r>
            <w:r>
              <w:rPr>
                <w:rFonts w:cs="Arial" w:asciiTheme="minorEastAsia" w:hAnsiTheme="minorEastAsia" w:eastAsiaTheme="minorEastAsia"/>
                <w:sz w:val="24"/>
              </w:rPr>
              <w:t>实现营收8.31亿</w:t>
            </w:r>
            <w:r>
              <w:rPr>
                <w:rFonts w:hint="eastAsia" w:cs="Arial" w:asciiTheme="minorEastAsia" w:hAnsiTheme="minorEastAsia" w:eastAsiaTheme="minorEastAsia"/>
                <w:sz w:val="24"/>
              </w:rPr>
              <w:t>元</w:t>
            </w:r>
            <w:r>
              <w:rPr>
                <w:rFonts w:cs="Arial" w:asciiTheme="minorEastAsia" w:hAnsiTheme="minorEastAsia" w:eastAsiaTheme="minorEastAsia"/>
                <w:sz w:val="24"/>
              </w:rPr>
              <w:t>到8.41亿</w:t>
            </w:r>
            <w:r>
              <w:rPr>
                <w:rFonts w:hint="eastAsia" w:cs="Arial" w:asciiTheme="minorEastAsia" w:hAnsiTheme="minorEastAsia" w:eastAsiaTheme="minorEastAsia"/>
                <w:sz w:val="24"/>
              </w:rPr>
              <w:t>元，</w:t>
            </w:r>
            <w:r>
              <w:rPr>
                <w:rFonts w:cs="Arial" w:asciiTheme="minorEastAsia" w:hAnsiTheme="minorEastAsia" w:eastAsiaTheme="minorEastAsia"/>
                <w:sz w:val="24"/>
              </w:rPr>
              <w:t>同比增长30.26%到31.83%，净利润预计在</w:t>
            </w:r>
            <w:r>
              <w:rPr>
                <w:rFonts w:hint="eastAsia" w:cs="Arial" w:asciiTheme="minorEastAsia" w:hAnsiTheme="minorEastAsia" w:eastAsiaTheme="minorEastAsia"/>
                <w:sz w:val="24"/>
              </w:rPr>
              <w:t>1</w:t>
            </w:r>
            <w:r>
              <w:rPr>
                <w:rFonts w:cs="Arial" w:asciiTheme="minorEastAsia" w:hAnsiTheme="minorEastAsia" w:eastAsiaTheme="minorEastAsia"/>
                <w:sz w:val="24"/>
              </w:rPr>
              <w:t>亿</w:t>
            </w:r>
            <w:r>
              <w:rPr>
                <w:rFonts w:hint="eastAsia" w:cs="Arial" w:asciiTheme="minorEastAsia" w:hAnsiTheme="minorEastAsia" w:eastAsiaTheme="minorEastAsia"/>
                <w:sz w:val="24"/>
              </w:rPr>
              <w:t>元</w:t>
            </w:r>
            <w:r>
              <w:rPr>
                <w:rFonts w:cs="Arial" w:asciiTheme="minorEastAsia" w:hAnsiTheme="minorEastAsia" w:eastAsiaTheme="minorEastAsia"/>
                <w:sz w:val="24"/>
              </w:rPr>
              <w:t>到1.1亿</w:t>
            </w:r>
            <w:r>
              <w:rPr>
                <w:rFonts w:hint="eastAsia" w:cs="Arial" w:asciiTheme="minorEastAsia" w:hAnsiTheme="minorEastAsia" w:eastAsiaTheme="minorEastAsia"/>
                <w:sz w:val="24"/>
              </w:rPr>
              <w:t>元</w:t>
            </w:r>
            <w:r>
              <w:rPr>
                <w:rFonts w:cs="Arial" w:asciiTheme="minorEastAsia" w:hAnsiTheme="minorEastAsia" w:eastAsiaTheme="minorEastAsia"/>
                <w:sz w:val="24"/>
              </w:rPr>
              <w:t>之间</w:t>
            </w:r>
            <w:r>
              <w:rPr>
                <w:rFonts w:hint="eastAsia" w:cs="Arial" w:asciiTheme="minorEastAsia" w:hAnsiTheme="minorEastAsia" w:eastAsiaTheme="minorEastAsia"/>
                <w:sz w:val="24"/>
              </w:rPr>
              <w:t>，同比</w:t>
            </w:r>
            <w:r>
              <w:rPr>
                <w:rFonts w:cs="Arial" w:asciiTheme="minorEastAsia" w:hAnsiTheme="minorEastAsia" w:eastAsiaTheme="minorEastAsia"/>
                <w:sz w:val="24"/>
              </w:rPr>
              <w:t>增长73.27%</w:t>
            </w:r>
            <w:r>
              <w:rPr>
                <w:rFonts w:hint="eastAsia" w:cs="Arial" w:asciiTheme="minorEastAsia" w:hAnsiTheme="minorEastAsia" w:eastAsiaTheme="minorEastAsia"/>
                <w:sz w:val="24"/>
              </w:rPr>
              <w:t>到</w:t>
            </w:r>
            <w:r>
              <w:rPr>
                <w:rFonts w:cs="Arial" w:asciiTheme="minorEastAsia" w:hAnsiTheme="minorEastAsia" w:eastAsiaTheme="minorEastAsia"/>
                <w:sz w:val="24"/>
              </w:rPr>
              <w:t>90.62%，</w:t>
            </w:r>
            <w:r>
              <w:rPr>
                <w:rFonts w:hint="eastAsia" w:cs="Arial" w:asciiTheme="minorEastAsia" w:hAnsiTheme="minorEastAsia" w:eastAsiaTheme="minorEastAsia"/>
                <w:sz w:val="24"/>
              </w:rPr>
              <w:t>业绩增长主因</w:t>
            </w:r>
            <w:r>
              <w:rPr>
                <w:rFonts w:cs="Arial" w:asciiTheme="minorEastAsia" w:hAnsiTheme="minorEastAsia" w:eastAsiaTheme="minorEastAsia"/>
                <w:sz w:val="24"/>
              </w:rPr>
              <w:t>是</w:t>
            </w:r>
            <w:r>
              <w:rPr>
                <w:rFonts w:hint="eastAsia" w:cs="Arial" w:asciiTheme="minorEastAsia" w:hAnsiTheme="minorEastAsia" w:eastAsiaTheme="minorEastAsia"/>
                <w:sz w:val="24"/>
              </w:rPr>
              <w:t>发达国家与地区冰箱能效标准的提升，尤其是</w:t>
            </w:r>
            <w:r>
              <w:rPr>
                <w:rFonts w:cs="Arial" w:asciiTheme="minorEastAsia" w:hAnsiTheme="minorEastAsia" w:eastAsiaTheme="minorEastAsia"/>
                <w:sz w:val="24"/>
              </w:rPr>
              <w:t>欧盟</w:t>
            </w:r>
            <w:r>
              <w:rPr>
                <w:rFonts w:hint="eastAsia" w:cs="Arial" w:asciiTheme="minorEastAsia" w:hAnsiTheme="minorEastAsia" w:eastAsiaTheme="minorEastAsia"/>
                <w:sz w:val="24"/>
              </w:rPr>
              <w:t>能</w:t>
            </w:r>
            <w:r>
              <w:rPr>
                <w:rFonts w:cs="Arial" w:asciiTheme="minorEastAsia" w:hAnsiTheme="minorEastAsia" w:eastAsiaTheme="minorEastAsia"/>
                <w:sz w:val="24"/>
              </w:rPr>
              <w:t>效标准</w:t>
            </w:r>
            <w:r>
              <w:rPr>
                <w:rFonts w:hint="eastAsia" w:cs="Arial" w:asciiTheme="minorEastAsia" w:hAnsiTheme="minorEastAsia" w:eastAsiaTheme="minorEastAsia"/>
                <w:sz w:val="24"/>
              </w:rPr>
              <w:t>生效后逐步发酵，对真空绝热板行业产生良好推动作用，欧洲本土采购需求上升，叠加中国冰箱代工出口和高端产品出海进一步加大对真空绝热板的需求。同时随着国内冰箱消费结构向薄壁化、嵌入式、大容积升级，真空绝热板市场需求旺盛。</w:t>
            </w:r>
          </w:p>
          <w:p>
            <w:pPr>
              <w:adjustRightInd w:val="0"/>
              <w:snapToGrid w:val="0"/>
              <w:spacing w:line="360" w:lineRule="auto"/>
              <w:ind w:firstLine="480" w:firstLineChars="200"/>
              <w:jc w:val="left"/>
              <w:rPr>
                <w:rFonts w:cs="Arial" w:asciiTheme="minorEastAsia" w:hAnsiTheme="minorEastAsia" w:eastAsiaTheme="minorEastAsia"/>
                <w:sz w:val="24"/>
              </w:rPr>
            </w:pPr>
            <w:r>
              <w:rPr>
                <w:rFonts w:hint="eastAsia" w:cs="Arial" w:asciiTheme="minorEastAsia" w:hAnsiTheme="minorEastAsia" w:eastAsiaTheme="minorEastAsia"/>
                <w:sz w:val="24"/>
              </w:rPr>
              <w:t>互动问答</w:t>
            </w:r>
          </w:p>
          <w:p>
            <w:pPr>
              <w:adjustRightInd w:val="0"/>
              <w:snapToGrid w:val="0"/>
              <w:spacing w:line="360" w:lineRule="auto"/>
              <w:ind w:firstLine="482" w:firstLineChars="200"/>
              <w:rPr>
                <w:rFonts w:cs="Arial" w:asciiTheme="minorEastAsia" w:hAnsiTheme="minorEastAsia" w:eastAsiaTheme="minorEastAsia"/>
                <w:b/>
                <w:sz w:val="24"/>
              </w:rPr>
            </w:pPr>
            <w:r>
              <w:rPr>
                <w:rFonts w:hint="eastAsia" w:cs="Arial" w:asciiTheme="minorEastAsia" w:hAnsiTheme="minorEastAsia" w:eastAsiaTheme="minorEastAsia"/>
                <w:b/>
                <w:sz w:val="24"/>
              </w:rPr>
              <w:t>1、第四季度和全年真空绝热板的销售量？第四季度利润影响因素？如何展望2024年的经营情况？</w:t>
            </w:r>
          </w:p>
          <w:p>
            <w:pPr>
              <w:adjustRightInd w:val="0"/>
              <w:snapToGrid w:val="0"/>
              <w:spacing w:line="36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答：公司第四季度未受到国外圣诞节放假的影响，订单充足，销量和第三季度相近。公司全年销量预计超850万平方米，创历史新高。第四季度利润影响因素主要有液化天然气在供暖季的季节性上涨、员工年终奖金、可转债计提财务费用等。</w:t>
            </w:r>
          </w:p>
          <w:p>
            <w:pPr>
              <w:adjustRightInd w:val="0"/>
              <w:snapToGrid w:val="0"/>
              <w:spacing w:line="36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冰箱能效水平的提升、国内冰箱消费结构升级均为中长期有利因素，持续为真空绝热板行业注入发展动力，2024年下游需求有望延续上年的良好趋势。</w:t>
            </w:r>
          </w:p>
          <w:p>
            <w:pPr>
              <w:adjustRightInd w:val="0"/>
              <w:snapToGrid w:val="0"/>
              <w:spacing w:line="360" w:lineRule="auto"/>
              <w:ind w:firstLine="482" w:firstLineChars="200"/>
              <w:rPr>
                <w:rFonts w:cs="Arial" w:asciiTheme="minorEastAsia" w:hAnsiTheme="minorEastAsia" w:eastAsiaTheme="minorEastAsia"/>
                <w:b/>
                <w:sz w:val="24"/>
              </w:rPr>
            </w:pPr>
            <w:r>
              <w:rPr>
                <w:rFonts w:hint="eastAsia" w:cs="Arial" w:asciiTheme="minorEastAsia" w:hAnsiTheme="minorEastAsia" w:eastAsiaTheme="minorEastAsia"/>
                <w:b/>
                <w:sz w:val="24"/>
              </w:rPr>
              <w:t>2、除了欧盟以外，哪些国家或地方可能会有新的突破？</w:t>
            </w:r>
          </w:p>
          <w:p>
            <w:pPr>
              <w:adjustRightInd w:val="0"/>
              <w:snapToGrid w:val="0"/>
              <w:spacing w:line="36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答：在提升能效标准和冰箱容积率的背景下，中国、欧洲、韩国、日本等公司主要目标市场均存在良好的市场机会。随着全球产业链的变化，东南亚及北美地区也值得关注。</w:t>
            </w:r>
          </w:p>
          <w:p>
            <w:pPr>
              <w:adjustRightInd w:val="0"/>
              <w:snapToGrid w:val="0"/>
              <w:spacing w:line="360" w:lineRule="auto"/>
              <w:ind w:firstLine="482" w:firstLineChars="200"/>
              <w:rPr>
                <w:rFonts w:cs="Arial" w:asciiTheme="minorEastAsia" w:hAnsiTheme="minorEastAsia" w:eastAsiaTheme="minorEastAsia"/>
                <w:b/>
                <w:sz w:val="24"/>
              </w:rPr>
            </w:pPr>
            <w:r>
              <w:rPr>
                <w:rFonts w:hint="eastAsia" w:cs="Arial" w:asciiTheme="minorEastAsia" w:hAnsiTheme="minorEastAsia" w:eastAsiaTheme="minorEastAsia"/>
                <w:b/>
                <w:sz w:val="24"/>
              </w:rPr>
              <w:t>3、与公司相比，国内同行的成本及盈利水平如何？</w:t>
            </w:r>
          </w:p>
          <w:p>
            <w:pPr>
              <w:adjustRightInd w:val="0"/>
              <w:snapToGrid w:val="0"/>
              <w:spacing w:line="36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答：公司同行多为非公众公司，比较难以获取相关信息，但我们对公司自身的优势有信心。公司拥有完整的产业链和优秀的研发团队，长期通过持续的研发投入不断提升、优化真空绝热板各个组成部分和相关生产环节，因此具有较强的品质、成本管控能力和产品创新能力，产品的稳定性和可靠性得到客户的广泛认可。</w:t>
            </w:r>
          </w:p>
          <w:p>
            <w:pPr>
              <w:adjustRightInd w:val="0"/>
              <w:snapToGrid w:val="0"/>
              <w:spacing w:line="360" w:lineRule="auto"/>
              <w:ind w:firstLine="482" w:firstLineChars="200"/>
              <w:rPr>
                <w:rFonts w:cs="Arial" w:asciiTheme="minorEastAsia" w:hAnsiTheme="minorEastAsia" w:eastAsiaTheme="minorEastAsia"/>
                <w:b/>
                <w:sz w:val="24"/>
              </w:rPr>
            </w:pPr>
            <w:r>
              <w:rPr>
                <w:rFonts w:hint="eastAsia" w:cs="Arial" w:asciiTheme="minorEastAsia" w:hAnsiTheme="minorEastAsia" w:eastAsiaTheme="minorEastAsia"/>
                <w:b/>
                <w:sz w:val="24"/>
              </w:rPr>
              <w:t>4、如何展望中国冰箱能效标准的修订工作？</w:t>
            </w:r>
          </w:p>
          <w:p>
            <w:pPr>
              <w:adjustRightInd w:val="0"/>
              <w:snapToGrid w:val="0"/>
              <w:spacing w:line="36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答：中国《家用电冰箱耗电量限定值及能效等级》于2016年10月1日正式实施，至今已接近8年。</w:t>
            </w:r>
            <w:r>
              <w:rPr>
                <w:rFonts w:cs="Arial" w:asciiTheme="minorEastAsia" w:hAnsiTheme="minorEastAsia" w:eastAsiaTheme="minorEastAsia"/>
                <w:sz w:val="24"/>
              </w:rPr>
              <w:t>随着欧</w:t>
            </w:r>
            <w:r>
              <w:rPr>
                <w:rFonts w:hint="eastAsia" w:cs="Arial" w:asciiTheme="minorEastAsia" w:hAnsiTheme="minorEastAsia" w:eastAsiaTheme="minorEastAsia"/>
                <w:sz w:val="24"/>
              </w:rPr>
              <w:t>盟</w:t>
            </w:r>
            <w:r>
              <w:rPr>
                <w:rFonts w:cs="Arial" w:asciiTheme="minorEastAsia" w:hAnsiTheme="minorEastAsia" w:eastAsiaTheme="minorEastAsia"/>
                <w:sz w:val="24"/>
              </w:rPr>
              <w:t>新</w:t>
            </w:r>
            <w:r>
              <w:rPr>
                <w:rFonts w:hint="eastAsia" w:cs="Arial" w:asciiTheme="minorEastAsia" w:hAnsiTheme="minorEastAsia" w:eastAsiaTheme="minorEastAsia"/>
                <w:sz w:val="24"/>
              </w:rPr>
              <w:t>能效</w:t>
            </w:r>
            <w:r>
              <w:rPr>
                <w:rFonts w:cs="Arial" w:asciiTheme="minorEastAsia" w:hAnsiTheme="minorEastAsia" w:eastAsiaTheme="minorEastAsia"/>
                <w:sz w:val="24"/>
              </w:rPr>
              <w:t>标</w:t>
            </w:r>
            <w:r>
              <w:rPr>
                <w:rFonts w:hint="eastAsia" w:cs="Arial" w:asciiTheme="minorEastAsia" w:hAnsiTheme="minorEastAsia" w:eastAsiaTheme="minorEastAsia"/>
                <w:sz w:val="24"/>
              </w:rPr>
              <w:t>准</w:t>
            </w:r>
            <w:r>
              <w:rPr>
                <w:rFonts w:cs="Arial" w:asciiTheme="minorEastAsia" w:hAnsiTheme="minorEastAsia" w:eastAsiaTheme="minorEastAsia"/>
                <w:sz w:val="24"/>
              </w:rPr>
              <w:t>的推</w:t>
            </w:r>
            <w:r>
              <w:rPr>
                <w:rFonts w:hint="eastAsia" w:cs="Arial" w:asciiTheme="minorEastAsia" w:hAnsiTheme="minorEastAsia" w:eastAsiaTheme="minorEastAsia"/>
                <w:sz w:val="24"/>
              </w:rPr>
              <w:t>行</w:t>
            </w:r>
            <w:r>
              <w:rPr>
                <w:rFonts w:cs="Arial" w:asciiTheme="minorEastAsia" w:hAnsiTheme="minorEastAsia" w:eastAsiaTheme="minorEastAsia"/>
                <w:sz w:val="24"/>
              </w:rPr>
              <w:t>，</w:t>
            </w:r>
            <w:r>
              <w:rPr>
                <w:rFonts w:hint="eastAsia" w:cs="Arial" w:asciiTheme="minorEastAsia" w:hAnsiTheme="minorEastAsia" w:eastAsiaTheme="minorEastAsia"/>
                <w:sz w:val="24"/>
              </w:rPr>
              <w:t>中国现行标准与之相比</w:t>
            </w:r>
            <w:r>
              <w:rPr>
                <w:rFonts w:cs="Arial" w:asciiTheme="minorEastAsia" w:hAnsiTheme="minorEastAsia" w:eastAsiaTheme="minorEastAsia"/>
                <w:sz w:val="24"/>
              </w:rPr>
              <w:t>，</w:t>
            </w:r>
            <w:r>
              <w:rPr>
                <w:rFonts w:hint="eastAsia" w:cs="Arial" w:asciiTheme="minorEastAsia" w:hAnsiTheme="minorEastAsia" w:eastAsiaTheme="minorEastAsia"/>
                <w:sz w:val="24"/>
              </w:rPr>
              <w:t>存在一定的</w:t>
            </w:r>
            <w:r>
              <w:rPr>
                <w:rFonts w:cs="Arial" w:asciiTheme="minorEastAsia" w:hAnsiTheme="minorEastAsia" w:eastAsiaTheme="minorEastAsia"/>
                <w:sz w:val="24"/>
              </w:rPr>
              <w:t>差距</w:t>
            </w:r>
            <w:r>
              <w:rPr>
                <w:rFonts w:hint="eastAsia" w:cs="Arial" w:asciiTheme="minorEastAsia" w:hAnsiTheme="minorEastAsia" w:eastAsiaTheme="minorEastAsia"/>
                <w:sz w:val="24"/>
              </w:rPr>
              <w:t>。</w:t>
            </w:r>
          </w:p>
          <w:p>
            <w:pPr>
              <w:adjustRightInd w:val="0"/>
              <w:snapToGrid w:val="0"/>
              <w:spacing w:line="36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2023年底，国家标准化管理委员会已正式启动对《家用电冰箱耗电量限定值及能效等级》的修订工作，项目周期16个月。中国作为世界冰箱主要的生产、消费和出口大国，我们预期标准修订目标将朝世界领先水平的方向去努力，</w:t>
            </w:r>
            <w:r>
              <w:rPr>
                <w:rFonts w:hint="eastAsia" w:cs="Arial" w:asciiTheme="minorEastAsia" w:hAnsiTheme="minorEastAsia" w:eastAsiaTheme="minorEastAsia"/>
                <w:sz w:val="24"/>
                <w:highlight w:val="none"/>
              </w:rPr>
              <w:t>使新标</w:t>
            </w:r>
            <w:r>
              <w:rPr>
                <w:rFonts w:hint="eastAsia" w:cs="Arial" w:asciiTheme="minorEastAsia" w:hAnsiTheme="minorEastAsia" w:eastAsiaTheme="minorEastAsia"/>
                <w:sz w:val="24"/>
                <w:highlight w:val="none"/>
                <w:lang w:val="en-US" w:eastAsia="zh-CN"/>
              </w:rPr>
              <w:t>准</w:t>
            </w:r>
            <w:r>
              <w:rPr>
                <w:rFonts w:hint="eastAsia" w:cs="Arial" w:asciiTheme="minorEastAsia" w:hAnsiTheme="minorEastAsia" w:eastAsiaTheme="minorEastAsia"/>
                <w:sz w:val="24"/>
              </w:rPr>
              <w:t>与中国冰箱行业的市场地位匹配。结合欧盟下游市场过去三年的变化，中国新的能效标准颁布实施后，有望对真空绝热板行业产生积极的促进作用。</w:t>
            </w:r>
          </w:p>
          <w:p>
            <w:pPr>
              <w:adjustRightInd w:val="0"/>
              <w:snapToGrid w:val="0"/>
              <w:spacing w:line="360" w:lineRule="auto"/>
              <w:ind w:firstLine="482" w:firstLineChars="200"/>
              <w:rPr>
                <w:rFonts w:cs="Arial" w:asciiTheme="minorEastAsia" w:hAnsiTheme="minorEastAsia" w:eastAsiaTheme="minorEastAsia"/>
                <w:b/>
                <w:sz w:val="24"/>
              </w:rPr>
            </w:pPr>
            <w:r>
              <w:rPr>
                <w:rFonts w:hint="eastAsia" w:cs="Arial" w:asciiTheme="minorEastAsia" w:hAnsiTheme="minorEastAsia" w:eastAsiaTheme="minorEastAsia"/>
                <w:b/>
                <w:sz w:val="24"/>
              </w:rPr>
              <w:t>5、真空绝热板2024年扩产计划？</w:t>
            </w:r>
          </w:p>
          <w:p>
            <w:pPr>
              <w:adjustRightInd w:val="0"/>
              <w:snapToGrid w:val="0"/>
              <w:spacing w:line="36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答：为积极响应下游市场需求，公司已同步在连城本部、安徽工厂开展真空绝热板扩产工作，预计连城本部春节后，安徽工厂四月起将逐步释放新增产能。</w:t>
            </w:r>
          </w:p>
          <w:p>
            <w:pPr>
              <w:adjustRightInd w:val="0"/>
              <w:snapToGrid w:val="0"/>
              <w:spacing w:line="36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其中，安徽工厂规划建设年产500万平方米真空绝热板产能，2024年全年将采用安装一批、调试一批、投产一批的方式滚动推进项目建设，并力争在年末完成全部芯材线、真空封装机等主要设备的投建计划。</w:t>
            </w:r>
          </w:p>
          <w:p>
            <w:pPr>
              <w:adjustRightInd w:val="0"/>
              <w:snapToGrid w:val="0"/>
              <w:spacing w:line="360" w:lineRule="auto"/>
              <w:ind w:firstLine="482" w:firstLineChars="200"/>
              <w:rPr>
                <w:rFonts w:cs="Arial" w:asciiTheme="minorEastAsia" w:hAnsiTheme="minorEastAsia" w:eastAsiaTheme="minorEastAsia"/>
                <w:b/>
                <w:sz w:val="24"/>
              </w:rPr>
            </w:pPr>
            <w:r>
              <w:rPr>
                <w:rFonts w:hint="eastAsia" w:cs="Arial" w:asciiTheme="minorEastAsia" w:hAnsiTheme="minorEastAsia" w:eastAsiaTheme="minorEastAsia"/>
                <w:b/>
                <w:sz w:val="24"/>
              </w:rPr>
              <w:t>6、</w:t>
            </w:r>
            <w:r>
              <w:rPr>
                <w:rFonts w:cs="Arial" w:asciiTheme="minorEastAsia" w:hAnsiTheme="minorEastAsia" w:eastAsiaTheme="minorEastAsia"/>
                <w:b/>
                <w:sz w:val="24"/>
              </w:rPr>
              <w:t>真空玻璃</w:t>
            </w:r>
            <w:r>
              <w:rPr>
                <w:rFonts w:hint="eastAsia" w:cs="Arial" w:asciiTheme="minorEastAsia" w:hAnsiTheme="minorEastAsia" w:eastAsiaTheme="minorEastAsia"/>
                <w:b/>
                <w:sz w:val="24"/>
              </w:rPr>
              <w:t>试产情况和</w:t>
            </w:r>
            <w:r>
              <w:rPr>
                <w:rFonts w:cs="Arial" w:asciiTheme="minorEastAsia" w:hAnsiTheme="minorEastAsia" w:eastAsiaTheme="minorEastAsia"/>
                <w:b/>
                <w:sz w:val="24"/>
              </w:rPr>
              <w:t>业务发展规划</w:t>
            </w:r>
            <w:r>
              <w:rPr>
                <w:rFonts w:hint="eastAsia" w:cs="Arial" w:asciiTheme="minorEastAsia" w:hAnsiTheme="minorEastAsia" w:eastAsiaTheme="minorEastAsia"/>
                <w:b/>
                <w:sz w:val="24"/>
              </w:rPr>
              <w:t>？</w:t>
            </w:r>
          </w:p>
          <w:p>
            <w:pPr>
              <w:adjustRightInd w:val="0"/>
              <w:snapToGrid w:val="0"/>
              <w:spacing w:line="36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答：公司当前试产的真空玻璃产品在外观和性能方面保持良好，但产线运行效率仍然有待提高。全资子公司维爱吉（厦门）科技有限责任公司真空玻璃产业化基地日前已完成厂房封顶，项目建成达产后，预计可年产200万平方米真空玻璃。2024年上半年，该基地将先行投建两条新产线，年产能合计约为40万平方米。后续产能投放节奏将视市场拓展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bCs/>
                <w:iCs/>
                <w:color w:val="000000"/>
                <w:kern w:val="0"/>
                <w:sz w:val="24"/>
              </w:rPr>
            </w:pPr>
            <w:r>
              <w:rPr>
                <w:rFonts w:asciiTheme="minorEastAsia" w:hAnsiTheme="minorEastAsia" w:eastAsiaTheme="minorEastAsia"/>
                <w:bCs/>
                <w:iCs/>
                <w:color w:val="000000"/>
                <w:kern w:val="0"/>
                <w:sz w:val="24"/>
              </w:rPr>
              <w:t>附件清单（如有）</w:t>
            </w:r>
          </w:p>
        </w:tc>
        <w:tc>
          <w:tcPr>
            <w:tcW w:w="6847" w:type="dxa"/>
            <w:tcBorders>
              <w:top w:val="single" w:color="auto" w:sz="4" w:space="0"/>
              <w:left w:val="single" w:color="auto" w:sz="4" w:space="0"/>
              <w:bottom w:val="single" w:color="auto" w:sz="4" w:space="0"/>
              <w:right w:val="single" w:color="auto" w:sz="4" w:space="0"/>
            </w:tcBorders>
          </w:tcPr>
          <w:p>
            <w:pPr>
              <w:spacing w:line="420" w:lineRule="exact"/>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inorEastAsia" w:hAnsiTheme="minorEastAsia" w:eastAsiaTheme="minorEastAsia"/>
                <w:bCs/>
                <w:iCs/>
                <w:color w:val="000000"/>
                <w:kern w:val="0"/>
                <w:sz w:val="24"/>
              </w:rPr>
            </w:pPr>
            <w:r>
              <w:rPr>
                <w:rFonts w:asciiTheme="minorEastAsia" w:hAnsiTheme="minorEastAsia" w:eastAsiaTheme="minorEastAsia"/>
                <w:bCs/>
                <w:iCs/>
                <w:color w:val="000000"/>
                <w:kern w:val="0"/>
                <w:sz w:val="24"/>
              </w:rPr>
              <w:t>日期</w:t>
            </w:r>
          </w:p>
        </w:tc>
        <w:tc>
          <w:tcPr>
            <w:tcW w:w="6847" w:type="dxa"/>
            <w:tcBorders>
              <w:top w:val="single" w:color="auto" w:sz="4" w:space="0"/>
              <w:left w:val="single" w:color="auto" w:sz="4" w:space="0"/>
              <w:bottom w:val="single" w:color="auto" w:sz="4" w:space="0"/>
              <w:right w:val="single" w:color="auto" w:sz="4" w:space="0"/>
            </w:tcBorders>
          </w:tcPr>
          <w:p>
            <w:pPr>
              <w:spacing w:line="420" w:lineRule="exact"/>
              <w:rPr>
                <w:rFonts w:asciiTheme="minorEastAsia" w:hAnsiTheme="minorEastAsia" w:eastAsiaTheme="minorEastAsia"/>
                <w:bCs/>
                <w:iCs/>
                <w:color w:val="000000"/>
                <w:sz w:val="24"/>
              </w:rPr>
            </w:pPr>
            <w:r>
              <w:rPr>
                <w:rFonts w:asciiTheme="minorEastAsia" w:hAnsiTheme="minorEastAsia" w:eastAsiaTheme="minorEastAsia"/>
                <w:bCs/>
                <w:iCs/>
                <w:color w:val="000000"/>
                <w:sz w:val="24"/>
              </w:rPr>
              <w:t>2024-02-02</w:t>
            </w:r>
          </w:p>
        </w:tc>
      </w:tr>
    </w:tbl>
    <w:p>
      <w:pPr>
        <w:rPr>
          <w:rFonts w:asciiTheme="minorEastAsia" w:hAnsiTheme="minorEastAsia" w:eastAsiaTheme="minorEastAsia"/>
        </w:rPr>
      </w:pPr>
    </w:p>
    <w:p>
      <w:pPr>
        <w:widowControl/>
        <w:jc w:val="left"/>
        <w:rPr>
          <w:rFonts w:asciiTheme="minorEastAsia" w:hAnsiTheme="minorEastAsia" w:eastAsiaTheme="minorEastAsia"/>
          <w:b/>
          <w:bCs/>
          <w:sz w:val="24"/>
        </w:rPr>
      </w:pPr>
      <w:r>
        <w:rPr>
          <w:rFonts w:asciiTheme="minorEastAsia" w:hAnsiTheme="minorEastAsia" w:eastAsiaTheme="minorEastAsia"/>
        </w:rPr>
        <w:br w:type="page"/>
      </w:r>
      <w:r>
        <w:rPr>
          <w:rFonts w:hint="eastAsia" w:asciiTheme="minorEastAsia" w:hAnsiTheme="minorEastAsia" w:eastAsiaTheme="minorEastAsia"/>
          <w:b/>
          <w:bCs/>
          <w:sz w:val="24"/>
        </w:rPr>
        <w:t>附件</w:t>
      </w:r>
      <w:r>
        <w:rPr>
          <w:rFonts w:asciiTheme="minorEastAsia" w:hAnsiTheme="minorEastAsia" w:eastAsiaTheme="minorEastAsia"/>
          <w:b/>
          <w:bCs/>
          <w:sz w:val="24"/>
        </w:rPr>
        <w:t>1</w:t>
      </w:r>
      <w:r>
        <w:rPr>
          <w:rFonts w:hint="eastAsia" w:asciiTheme="minorEastAsia" w:hAnsiTheme="minorEastAsia" w:eastAsiaTheme="minorEastAsia"/>
          <w:b/>
          <w:bCs/>
          <w:sz w:val="24"/>
        </w:rPr>
        <w:t>：参会人员名单</w:t>
      </w:r>
    </w:p>
    <w:p>
      <w:pPr>
        <w:widowControl/>
        <w:jc w:val="left"/>
        <w:rPr>
          <w:rFonts w:asciiTheme="minorEastAsia" w:hAnsiTheme="minorEastAsia" w:eastAsiaTheme="minorEastAsia"/>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3"/>
        <w:gridCol w:w="5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63" w:type="dxa"/>
          </w:tcPr>
          <w:p>
            <w:pPr>
              <w:widowControl/>
              <w:spacing w:line="276" w:lineRule="auto"/>
              <w:jc w:val="center"/>
              <w:rPr>
                <w:rFonts w:ascii="宋体" w:hAnsi="宋体"/>
                <w:b/>
                <w:bCs/>
                <w:sz w:val="24"/>
              </w:rPr>
            </w:pPr>
            <w:r>
              <w:rPr>
                <w:rFonts w:hint="eastAsia" w:ascii="宋体" w:hAnsi="宋体"/>
                <w:b/>
                <w:bCs/>
                <w:sz w:val="24"/>
              </w:rPr>
              <w:t>人员姓名</w:t>
            </w:r>
          </w:p>
        </w:tc>
        <w:tc>
          <w:tcPr>
            <w:tcW w:w="5555" w:type="dxa"/>
          </w:tcPr>
          <w:p>
            <w:pPr>
              <w:widowControl/>
              <w:spacing w:line="276" w:lineRule="auto"/>
              <w:jc w:val="center"/>
              <w:rPr>
                <w:rFonts w:ascii="宋体" w:hAnsi="宋体"/>
                <w:b/>
                <w:bCs/>
                <w:sz w:val="24"/>
              </w:rPr>
            </w:pPr>
            <w:r>
              <w:rPr>
                <w:rFonts w:hint="eastAsia" w:ascii="宋体" w:hAnsi="宋体"/>
                <w:b/>
                <w:bCs/>
                <w:sz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吴鑫然</w:t>
            </w:r>
          </w:p>
        </w:tc>
        <w:tc>
          <w:tcPr>
            <w:tcW w:w="5555" w:type="dxa"/>
            <w:noWrap/>
          </w:tcPr>
          <w:p>
            <w:pPr>
              <w:widowControl/>
              <w:spacing w:line="276" w:lineRule="auto"/>
              <w:jc w:val="left"/>
              <w:rPr>
                <w:rFonts w:ascii="宋体" w:hAnsi="宋体"/>
                <w:sz w:val="24"/>
              </w:rPr>
            </w:pPr>
            <w:r>
              <w:rPr>
                <w:rFonts w:hint="eastAsia" w:ascii="宋体" w:hAnsi="宋体"/>
                <w:sz w:val="24"/>
              </w:rPr>
              <w:t>广发证券股份有限公司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钱怡</w:t>
            </w:r>
          </w:p>
        </w:tc>
        <w:tc>
          <w:tcPr>
            <w:tcW w:w="5555" w:type="dxa"/>
            <w:noWrap/>
          </w:tcPr>
          <w:p>
            <w:pPr>
              <w:widowControl/>
              <w:spacing w:line="276" w:lineRule="auto"/>
              <w:jc w:val="left"/>
              <w:rPr>
                <w:rFonts w:ascii="宋体" w:hAnsi="宋体"/>
                <w:sz w:val="24"/>
              </w:rPr>
            </w:pPr>
            <w:r>
              <w:rPr>
                <w:rFonts w:hint="eastAsia" w:ascii="宋体" w:hAnsi="宋体"/>
                <w:sz w:val="24"/>
              </w:rPr>
              <w:t>大家资产管理有限责任公司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闫慧辰</w:t>
            </w:r>
          </w:p>
        </w:tc>
        <w:tc>
          <w:tcPr>
            <w:tcW w:w="5555" w:type="dxa"/>
            <w:noWrap/>
          </w:tcPr>
          <w:p>
            <w:pPr>
              <w:widowControl/>
              <w:spacing w:line="276" w:lineRule="auto"/>
              <w:jc w:val="left"/>
              <w:rPr>
                <w:rFonts w:ascii="宋体" w:hAnsi="宋体"/>
                <w:sz w:val="24"/>
              </w:rPr>
            </w:pPr>
            <w:r>
              <w:rPr>
                <w:rFonts w:hint="eastAsia" w:ascii="宋体" w:hAnsi="宋体"/>
                <w:sz w:val="24"/>
              </w:rPr>
              <w:t>红杉资本股权投资管理（天津）有限公司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方晓睿</w:t>
            </w:r>
          </w:p>
        </w:tc>
        <w:tc>
          <w:tcPr>
            <w:tcW w:w="5555" w:type="dxa"/>
            <w:noWrap/>
          </w:tcPr>
          <w:p>
            <w:pPr>
              <w:widowControl/>
              <w:spacing w:line="276" w:lineRule="auto"/>
              <w:jc w:val="left"/>
              <w:rPr>
                <w:rFonts w:ascii="宋体" w:hAnsi="宋体"/>
                <w:sz w:val="24"/>
              </w:rPr>
            </w:pPr>
            <w:r>
              <w:rPr>
                <w:rFonts w:hint="eastAsia" w:ascii="宋体" w:hAnsi="宋体"/>
                <w:sz w:val="24"/>
              </w:rPr>
              <w:t>深圳市华安合鑫资产管理有限公司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胡迪</w:t>
            </w:r>
          </w:p>
        </w:tc>
        <w:tc>
          <w:tcPr>
            <w:tcW w:w="5555" w:type="dxa"/>
            <w:noWrap/>
          </w:tcPr>
          <w:p>
            <w:pPr>
              <w:widowControl/>
              <w:spacing w:line="276" w:lineRule="auto"/>
              <w:jc w:val="left"/>
              <w:rPr>
                <w:rFonts w:ascii="宋体" w:hAnsi="宋体"/>
                <w:sz w:val="24"/>
              </w:rPr>
            </w:pPr>
            <w:r>
              <w:rPr>
                <w:rFonts w:hint="eastAsia" w:ascii="宋体" w:hAnsi="宋体"/>
                <w:sz w:val="24"/>
              </w:rPr>
              <w:t>全国社会保障基金理事会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李南西</w:t>
            </w:r>
          </w:p>
        </w:tc>
        <w:tc>
          <w:tcPr>
            <w:tcW w:w="5555" w:type="dxa"/>
            <w:noWrap/>
          </w:tcPr>
          <w:p>
            <w:pPr>
              <w:widowControl/>
              <w:spacing w:line="276" w:lineRule="auto"/>
              <w:jc w:val="left"/>
              <w:rPr>
                <w:rFonts w:ascii="宋体" w:hAnsi="宋体"/>
                <w:sz w:val="24"/>
              </w:rPr>
            </w:pPr>
            <w:r>
              <w:rPr>
                <w:rFonts w:hint="eastAsia" w:ascii="宋体" w:hAnsi="宋体"/>
                <w:sz w:val="24"/>
              </w:rPr>
              <w:t>景顺长城基金管理有限公司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黄振航</w:t>
            </w:r>
          </w:p>
        </w:tc>
        <w:tc>
          <w:tcPr>
            <w:tcW w:w="5555" w:type="dxa"/>
            <w:noWrap/>
          </w:tcPr>
          <w:p>
            <w:pPr>
              <w:widowControl/>
              <w:spacing w:line="276" w:lineRule="auto"/>
              <w:jc w:val="left"/>
              <w:rPr>
                <w:rFonts w:ascii="宋体" w:hAnsi="宋体"/>
                <w:sz w:val="24"/>
              </w:rPr>
            </w:pPr>
            <w:r>
              <w:rPr>
                <w:rFonts w:hint="eastAsia" w:ascii="宋体" w:hAnsi="宋体"/>
                <w:sz w:val="24"/>
              </w:rPr>
              <w:t>上海汐泰投资管理有限公司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陈峰</w:t>
            </w:r>
          </w:p>
        </w:tc>
        <w:tc>
          <w:tcPr>
            <w:tcW w:w="5555" w:type="dxa"/>
            <w:noWrap/>
          </w:tcPr>
          <w:p>
            <w:pPr>
              <w:widowControl/>
              <w:spacing w:line="276" w:lineRule="auto"/>
              <w:jc w:val="left"/>
              <w:rPr>
                <w:rFonts w:ascii="宋体" w:hAnsi="宋体"/>
                <w:sz w:val="24"/>
              </w:rPr>
            </w:pPr>
            <w:r>
              <w:rPr>
                <w:rFonts w:hint="eastAsia" w:ascii="宋体" w:hAnsi="宋体"/>
                <w:sz w:val="24"/>
              </w:rPr>
              <w:t>光大证券股份有限公司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张宜杰</w:t>
            </w:r>
          </w:p>
        </w:tc>
        <w:tc>
          <w:tcPr>
            <w:tcW w:w="5555" w:type="dxa"/>
            <w:noWrap/>
          </w:tcPr>
          <w:p>
            <w:pPr>
              <w:widowControl/>
              <w:spacing w:line="276" w:lineRule="auto"/>
              <w:jc w:val="left"/>
              <w:rPr>
                <w:rFonts w:ascii="宋体" w:hAnsi="宋体"/>
                <w:sz w:val="24"/>
              </w:rPr>
            </w:pPr>
            <w:r>
              <w:rPr>
                <w:rFonts w:hint="eastAsia" w:ascii="宋体" w:hAnsi="宋体"/>
                <w:sz w:val="24"/>
              </w:rPr>
              <w:t>招商基金管理有限公司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李传鹏</w:t>
            </w:r>
          </w:p>
        </w:tc>
        <w:tc>
          <w:tcPr>
            <w:tcW w:w="5555" w:type="dxa"/>
            <w:noWrap/>
          </w:tcPr>
          <w:p>
            <w:pPr>
              <w:widowControl/>
              <w:spacing w:line="276" w:lineRule="auto"/>
              <w:jc w:val="left"/>
              <w:rPr>
                <w:rFonts w:ascii="宋体" w:hAnsi="宋体"/>
                <w:sz w:val="24"/>
              </w:rPr>
            </w:pPr>
            <w:r>
              <w:rPr>
                <w:rFonts w:hint="eastAsia" w:ascii="宋体" w:hAnsi="宋体"/>
                <w:sz w:val="24"/>
              </w:rPr>
              <w:t>红土创新基金管理有限公司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郭盈</w:t>
            </w:r>
          </w:p>
        </w:tc>
        <w:tc>
          <w:tcPr>
            <w:tcW w:w="5555" w:type="dxa"/>
            <w:noWrap/>
          </w:tcPr>
          <w:p>
            <w:pPr>
              <w:widowControl/>
              <w:spacing w:line="276" w:lineRule="auto"/>
              <w:jc w:val="left"/>
              <w:rPr>
                <w:rFonts w:ascii="宋体" w:hAnsi="宋体"/>
                <w:sz w:val="24"/>
              </w:rPr>
            </w:pPr>
            <w:r>
              <w:rPr>
                <w:rFonts w:hint="eastAsia" w:ascii="宋体" w:hAnsi="宋体"/>
                <w:sz w:val="24"/>
              </w:rPr>
              <w:t>展图（上海）资产管理有限公司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于淼</w:t>
            </w:r>
          </w:p>
        </w:tc>
        <w:tc>
          <w:tcPr>
            <w:tcW w:w="5555" w:type="dxa"/>
            <w:noWrap/>
          </w:tcPr>
          <w:p>
            <w:pPr>
              <w:widowControl/>
              <w:spacing w:line="276" w:lineRule="auto"/>
              <w:jc w:val="left"/>
              <w:rPr>
                <w:rFonts w:ascii="宋体" w:hAnsi="宋体"/>
                <w:sz w:val="24"/>
              </w:rPr>
            </w:pPr>
            <w:r>
              <w:rPr>
                <w:rFonts w:hint="eastAsia" w:ascii="宋体" w:hAnsi="宋体"/>
                <w:sz w:val="24"/>
              </w:rPr>
              <w:t>涌德瑞烜（青岛）私募基金管理有限公司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兰云</w:t>
            </w:r>
          </w:p>
        </w:tc>
        <w:tc>
          <w:tcPr>
            <w:tcW w:w="5555" w:type="dxa"/>
            <w:noWrap/>
          </w:tcPr>
          <w:p>
            <w:pPr>
              <w:widowControl/>
              <w:spacing w:line="276" w:lineRule="auto"/>
              <w:jc w:val="left"/>
              <w:rPr>
                <w:rFonts w:ascii="宋体" w:hAnsi="宋体"/>
                <w:sz w:val="24"/>
              </w:rPr>
            </w:pPr>
            <w:r>
              <w:rPr>
                <w:rFonts w:hint="eastAsia" w:ascii="宋体" w:hAnsi="宋体"/>
                <w:sz w:val="24"/>
              </w:rPr>
              <w:t>领睿资产管理有限公司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李洲</w:t>
            </w:r>
          </w:p>
        </w:tc>
        <w:tc>
          <w:tcPr>
            <w:tcW w:w="5555" w:type="dxa"/>
            <w:noWrap/>
          </w:tcPr>
          <w:p>
            <w:pPr>
              <w:widowControl/>
              <w:spacing w:line="276" w:lineRule="auto"/>
              <w:jc w:val="left"/>
              <w:rPr>
                <w:rFonts w:ascii="宋体" w:hAnsi="宋体"/>
                <w:sz w:val="24"/>
              </w:rPr>
            </w:pPr>
            <w:r>
              <w:rPr>
                <w:rFonts w:hint="eastAsia" w:ascii="宋体" w:hAnsi="宋体"/>
                <w:sz w:val="24"/>
              </w:rPr>
              <w:t>深圳前海华杉投资管理有限公司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吴佩苇</w:t>
            </w:r>
          </w:p>
        </w:tc>
        <w:tc>
          <w:tcPr>
            <w:tcW w:w="5555" w:type="dxa"/>
            <w:noWrap/>
          </w:tcPr>
          <w:p>
            <w:pPr>
              <w:widowControl/>
              <w:spacing w:line="276" w:lineRule="auto"/>
              <w:jc w:val="left"/>
              <w:rPr>
                <w:rFonts w:ascii="宋体" w:hAnsi="宋体"/>
                <w:sz w:val="24"/>
              </w:rPr>
            </w:pPr>
            <w:r>
              <w:rPr>
                <w:rFonts w:hint="eastAsia" w:ascii="宋体" w:hAnsi="宋体"/>
                <w:sz w:val="24"/>
              </w:rPr>
              <w:t>国金基金管理有限公司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张黎</w:t>
            </w:r>
          </w:p>
        </w:tc>
        <w:tc>
          <w:tcPr>
            <w:tcW w:w="5555" w:type="dxa"/>
            <w:noWrap/>
          </w:tcPr>
          <w:p>
            <w:pPr>
              <w:widowControl/>
              <w:spacing w:line="276" w:lineRule="auto"/>
              <w:jc w:val="left"/>
              <w:rPr>
                <w:rFonts w:ascii="宋体" w:hAnsi="宋体"/>
                <w:sz w:val="24"/>
              </w:rPr>
            </w:pPr>
            <w:r>
              <w:rPr>
                <w:rFonts w:hint="eastAsia" w:ascii="宋体" w:hAnsi="宋体"/>
                <w:sz w:val="24"/>
              </w:rPr>
              <w:t>深圳前海华杉投资管理有限公司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Daniel Guo</w:t>
            </w:r>
          </w:p>
        </w:tc>
        <w:tc>
          <w:tcPr>
            <w:tcW w:w="5555" w:type="dxa"/>
            <w:noWrap/>
          </w:tcPr>
          <w:p>
            <w:pPr>
              <w:widowControl/>
              <w:spacing w:line="276" w:lineRule="auto"/>
              <w:jc w:val="left"/>
              <w:rPr>
                <w:rFonts w:ascii="宋体" w:hAnsi="宋体"/>
                <w:sz w:val="24"/>
              </w:rPr>
            </w:pPr>
            <w:r>
              <w:rPr>
                <w:rFonts w:hint="eastAsia" w:ascii="宋体" w:hAnsi="宋体"/>
                <w:sz w:val="24"/>
              </w:rPr>
              <w:t>Hel Ved Capital Management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郭齐坤</w:t>
            </w:r>
          </w:p>
        </w:tc>
        <w:tc>
          <w:tcPr>
            <w:tcW w:w="5555" w:type="dxa"/>
            <w:noWrap/>
          </w:tcPr>
          <w:p>
            <w:pPr>
              <w:widowControl/>
              <w:spacing w:line="276" w:lineRule="auto"/>
              <w:jc w:val="left"/>
              <w:rPr>
                <w:rFonts w:ascii="宋体" w:hAnsi="宋体"/>
                <w:sz w:val="24"/>
              </w:rPr>
            </w:pPr>
            <w:r>
              <w:rPr>
                <w:rFonts w:hint="eastAsia" w:ascii="宋体" w:hAnsi="宋体"/>
                <w:sz w:val="24"/>
              </w:rPr>
              <w:t>财通证券资产管理有限公司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赵洋</w:t>
            </w:r>
          </w:p>
        </w:tc>
        <w:tc>
          <w:tcPr>
            <w:tcW w:w="5555" w:type="dxa"/>
            <w:noWrap/>
          </w:tcPr>
          <w:p>
            <w:pPr>
              <w:widowControl/>
              <w:spacing w:line="276" w:lineRule="auto"/>
              <w:jc w:val="left"/>
              <w:rPr>
                <w:rFonts w:ascii="宋体" w:hAnsi="宋体"/>
                <w:sz w:val="24"/>
              </w:rPr>
            </w:pPr>
            <w:r>
              <w:rPr>
                <w:rFonts w:hint="eastAsia" w:ascii="宋体" w:hAnsi="宋体"/>
                <w:sz w:val="24"/>
              </w:rPr>
              <w:t>太平资产管理有限公司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沈怡雯</w:t>
            </w:r>
          </w:p>
        </w:tc>
        <w:tc>
          <w:tcPr>
            <w:tcW w:w="5555" w:type="dxa"/>
            <w:noWrap/>
          </w:tcPr>
          <w:p>
            <w:pPr>
              <w:widowControl/>
              <w:spacing w:line="276" w:lineRule="auto"/>
              <w:jc w:val="left"/>
              <w:rPr>
                <w:rFonts w:ascii="宋体" w:hAnsi="宋体"/>
                <w:sz w:val="24"/>
              </w:rPr>
            </w:pPr>
            <w:r>
              <w:rPr>
                <w:rFonts w:hint="eastAsia" w:ascii="宋体" w:hAnsi="宋体"/>
                <w:sz w:val="24"/>
              </w:rPr>
              <w:t>上汽颀臻（上海）资产管理有限公司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赵森</w:t>
            </w:r>
          </w:p>
        </w:tc>
        <w:tc>
          <w:tcPr>
            <w:tcW w:w="5555" w:type="dxa"/>
            <w:noWrap/>
          </w:tcPr>
          <w:p>
            <w:pPr>
              <w:widowControl/>
              <w:spacing w:line="276" w:lineRule="auto"/>
              <w:jc w:val="left"/>
              <w:rPr>
                <w:rFonts w:ascii="宋体" w:hAnsi="宋体"/>
                <w:sz w:val="24"/>
              </w:rPr>
            </w:pPr>
            <w:r>
              <w:rPr>
                <w:rFonts w:hint="eastAsia" w:ascii="宋体" w:hAnsi="宋体"/>
                <w:sz w:val="24"/>
              </w:rPr>
              <w:t>诺安基金管理有限公司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王忱</w:t>
            </w:r>
          </w:p>
        </w:tc>
        <w:tc>
          <w:tcPr>
            <w:tcW w:w="5555" w:type="dxa"/>
            <w:noWrap/>
          </w:tcPr>
          <w:p>
            <w:pPr>
              <w:widowControl/>
              <w:spacing w:line="276" w:lineRule="auto"/>
              <w:jc w:val="left"/>
              <w:rPr>
                <w:rFonts w:ascii="宋体" w:hAnsi="宋体"/>
                <w:sz w:val="24"/>
              </w:rPr>
            </w:pPr>
            <w:r>
              <w:rPr>
                <w:rFonts w:hint="eastAsia" w:ascii="宋体" w:hAnsi="宋体"/>
                <w:sz w:val="24"/>
              </w:rPr>
              <w:t>红土创新基金管理有限公司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Zuojia Chen</w:t>
            </w:r>
          </w:p>
        </w:tc>
        <w:tc>
          <w:tcPr>
            <w:tcW w:w="5555" w:type="dxa"/>
            <w:noWrap/>
          </w:tcPr>
          <w:p>
            <w:pPr>
              <w:widowControl/>
              <w:spacing w:line="276" w:lineRule="auto"/>
              <w:jc w:val="left"/>
              <w:rPr>
                <w:rFonts w:ascii="宋体" w:hAnsi="宋体"/>
                <w:sz w:val="24"/>
              </w:rPr>
            </w:pPr>
            <w:r>
              <w:rPr>
                <w:rFonts w:hint="eastAsia" w:ascii="宋体" w:hAnsi="宋体"/>
                <w:sz w:val="24"/>
              </w:rPr>
              <w:t>美国老虎基金国际有限公司北京代表处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黎晓楠</w:t>
            </w:r>
          </w:p>
        </w:tc>
        <w:tc>
          <w:tcPr>
            <w:tcW w:w="5555" w:type="dxa"/>
            <w:noWrap/>
          </w:tcPr>
          <w:p>
            <w:pPr>
              <w:widowControl/>
              <w:spacing w:line="276" w:lineRule="auto"/>
              <w:jc w:val="left"/>
              <w:rPr>
                <w:rFonts w:ascii="宋体" w:hAnsi="宋体"/>
                <w:sz w:val="24"/>
              </w:rPr>
            </w:pPr>
            <w:r>
              <w:rPr>
                <w:rFonts w:hint="eastAsia" w:ascii="宋体" w:hAnsi="宋体"/>
                <w:sz w:val="24"/>
              </w:rPr>
              <w:t>上海混沌投资（集团）有限公司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何增华</w:t>
            </w:r>
          </w:p>
        </w:tc>
        <w:tc>
          <w:tcPr>
            <w:tcW w:w="5555" w:type="dxa"/>
            <w:noWrap/>
          </w:tcPr>
          <w:p>
            <w:pPr>
              <w:widowControl/>
              <w:spacing w:line="276" w:lineRule="auto"/>
              <w:jc w:val="left"/>
              <w:rPr>
                <w:rFonts w:ascii="宋体" w:hAnsi="宋体"/>
                <w:sz w:val="24"/>
              </w:rPr>
            </w:pPr>
            <w:r>
              <w:rPr>
                <w:rFonts w:hint="eastAsia" w:ascii="宋体" w:hAnsi="宋体"/>
                <w:sz w:val="24"/>
              </w:rPr>
              <w:t>长信基金管理有限责任公司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赵颖芳</w:t>
            </w:r>
          </w:p>
        </w:tc>
        <w:tc>
          <w:tcPr>
            <w:tcW w:w="5555" w:type="dxa"/>
            <w:noWrap/>
          </w:tcPr>
          <w:p>
            <w:pPr>
              <w:widowControl/>
              <w:spacing w:line="276" w:lineRule="auto"/>
              <w:jc w:val="left"/>
              <w:rPr>
                <w:rFonts w:ascii="宋体" w:hAnsi="宋体"/>
                <w:sz w:val="24"/>
              </w:rPr>
            </w:pPr>
            <w:r>
              <w:rPr>
                <w:rFonts w:hint="eastAsia" w:ascii="宋体" w:hAnsi="宋体"/>
                <w:sz w:val="24"/>
              </w:rPr>
              <w:t>中银国际证券股份有限公司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刘俊</w:t>
            </w:r>
          </w:p>
        </w:tc>
        <w:tc>
          <w:tcPr>
            <w:tcW w:w="5555" w:type="dxa"/>
            <w:noWrap/>
          </w:tcPr>
          <w:p>
            <w:pPr>
              <w:widowControl/>
              <w:spacing w:line="276" w:lineRule="auto"/>
              <w:jc w:val="left"/>
              <w:rPr>
                <w:rFonts w:ascii="宋体" w:hAnsi="宋体"/>
                <w:sz w:val="24"/>
              </w:rPr>
            </w:pPr>
            <w:r>
              <w:rPr>
                <w:rFonts w:hint="eastAsia" w:ascii="宋体" w:hAnsi="宋体"/>
                <w:sz w:val="24"/>
              </w:rPr>
              <w:t>东证融汇证券资产管理有限公司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张炜兵</w:t>
            </w:r>
          </w:p>
        </w:tc>
        <w:tc>
          <w:tcPr>
            <w:tcW w:w="5555" w:type="dxa"/>
            <w:noWrap/>
          </w:tcPr>
          <w:p>
            <w:pPr>
              <w:widowControl/>
              <w:spacing w:line="276" w:lineRule="auto"/>
              <w:jc w:val="left"/>
              <w:rPr>
                <w:rFonts w:ascii="宋体" w:hAnsi="宋体"/>
                <w:sz w:val="24"/>
              </w:rPr>
            </w:pPr>
            <w:r>
              <w:rPr>
                <w:rFonts w:hint="eastAsia" w:ascii="宋体" w:hAnsi="宋体"/>
                <w:sz w:val="24"/>
              </w:rPr>
              <w:t>闻天私募证券投资基金管理（广州）有限公司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黄艺明</w:t>
            </w:r>
          </w:p>
        </w:tc>
        <w:tc>
          <w:tcPr>
            <w:tcW w:w="5555" w:type="dxa"/>
            <w:noWrap/>
          </w:tcPr>
          <w:p>
            <w:pPr>
              <w:widowControl/>
              <w:spacing w:line="276" w:lineRule="auto"/>
              <w:jc w:val="left"/>
              <w:rPr>
                <w:rFonts w:ascii="宋体" w:hAnsi="宋体"/>
                <w:sz w:val="24"/>
              </w:rPr>
            </w:pPr>
            <w:r>
              <w:rPr>
                <w:rFonts w:hint="eastAsia" w:ascii="宋体" w:hAnsi="宋体"/>
                <w:sz w:val="24"/>
              </w:rPr>
              <w:t>百嘉基金管理有限公司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罗立炜</w:t>
            </w:r>
          </w:p>
        </w:tc>
        <w:tc>
          <w:tcPr>
            <w:tcW w:w="5555" w:type="dxa"/>
            <w:noWrap/>
          </w:tcPr>
          <w:p>
            <w:pPr>
              <w:widowControl/>
              <w:spacing w:line="276" w:lineRule="auto"/>
              <w:jc w:val="left"/>
              <w:rPr>
                <w:rFonts w:ascii="宋体" w:hAnsi="宋体"/>
                <w:sz w:val="24"/>
              </w:rPr>
            </w:pPr>
            <w:r>
              <w:rPr>
                <w:rFonts w:hint="eastAsia" w:ascii="宋体" w:hAnsi="宋体"/>
                <w:sz w:val="24"/>
              </w:rPr>
              <w:t>新华资产管理股份有限公司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马毓昕</w:t>
            </w:r>
          </w:p>
        </w:tc>
        <w:tc>
          <w:tcPr>
            <w:tcW w:w="5555" w:type="dxa"/>
            <w:noWrap/>
          </w:tcPr>
          <w:p>
            <w:pPr>
              <w:widowControl/>
              <w:spacing w:line="276" w:lineRule="auto"/>
              <w:jc w:val="left"/>
              <w:rPr>
                <w:rFonts w:ascii="宋体" w:hAnsi="宋体"/>
                <w:sz w:val="24"/>
              </w:rPr>
            </w:pPr>
            <w:r>
              <w:rPr>
                <w:rFonts w:hint="eastAsia" w:ascii="宋体" w:hAnsi="宋体"/>
                <w:sz w:val="24"/>
              </w:rPr>
              <w:t>北京森林湖资本管理有限责任公司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许茂生</w:t>
            </w:r>
          </w:p>
        </w:tc>
        <w:tc>
          <w:tcPr>
            <w:tcW w:w="5555" w:type="dxa"/>
            <w:noWrap/>
          </w:tcPr>
          <w:p>
            <w:pPr>
              <w:widowControl/>
              <w:spacing w:line="276" w:lineRule="auto"/>
              <w:jc w:val="left"/>
              <w:rPr>
                <w:rFonts w:ascii="宋体" w:hAnsi="宋体"/>
                <w:sz w:val="24"/>
              </w:rPr>
            </w:pPr>
            <w:r>
              <w:rPr>
                <w:rFonts w:hint="eastAsia" w:ascii="宋体" w:hAnsi="宋体"/>
                <w:sz w:val="24"/>
              </w:rPr>
              <w:t>深圳前海华杉投资管理有限公司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邢瑶</w:t>
            </w:r>
          </w:p>
        </w:tc>
        <w:tc>
          <w:tcPr>
            <w:tcW w:w="5555" w:type="dxa"/>
            <w:noWrap/>
          </w:tcPr>
          <w:p>
            <w:pPr>
              <w:widowControl/>
              <w:spacing w:line="276" w:lineRule="auto"/>
              <w:jc w:val="left"/>
              <w:rPr>
                <w:rFonts w:ascii="宋体" w:hAnsi="宋体"/>
                <w:sz w:val="24"/>
              </w:rPr>
            </w:pPr>
            <w:r>
              <w:rPr>
                <w:rFonts w:hint="eastAsia" w:ascii="宋体" w:hAnsi="宋体"/>
                <w:sz w:val="24"/>
              </w:rPr>
              <w:t>中金基金管理有限公司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谭娟#</w:t>
            </w:r>
          </w:p>
        </w:tc>
        <w:tc>
          <w:tcPr>
            <w:tcW w:w="5555" w:type="dxa"/>
            <w:noWrap/>
          </w:tcPr>
          <w:p>
            <w:pPr>
              <w:widowControl/>
              <w:spacing w:line="276" w:lineRule="auto"/>
              <w:jc w:val="left"/>
              <w:rPr>
                <w:rFonts w:ascii="宋体" w:hAnsi="宋体"/>
                <w:sz w:val="24"/>
              </w:rPr>
            </w:pPr>
            <w:r>
              <w:rPr>
                <w:rFonts w:hint="eastAsia" w:ascii="宋体" w:hAnsi="宋体"/>
                <w:sz w:val="24"/>
              </w:rPr>
              <w:t>广东微宇私募基金管理有限公司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周志鹏</w:t>
            </w:r>
          </w:p>
        </w:tc>
        <w:tc>
          <w:tcPr>
            <w:tcW w:w="5555" w:type="dxa"/>
            <w:noWrap/>
          </w:tcPr>
          <w:p>
            <w:pPr>
              <w:widowControl/>
              <w:spacing w:line="276" w:lineRule="auto"/>
              <w:jc w:val="left"/>
              <w:rPr>
                <w:rFonts w:ascii="宋体" w:hAnsi="宋体"/>
                <w:sz w:val="24"/>
              </w:rPr>
            </w:pPr>
            <w:r>
              <w:rPr>
                <w:rFonts w:hint="eastAsia" w:ascii="宋体" w:hAnsi="宋体"/>
                <w:sz w:val="24"/>
              </w:rPr>
              <w:t>佛山市东盈投资管理有限公司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贺顺利</w:t>
            </w:r>
          </w:p>
        </w:tc>
        <w:tc>
          <w:tcPr>
            <w:tcW w:w="5555" w:type="dxa"/>
            <w:noWrap/>
          </w:tcPr>
          <w:p>
            <w:pPr>
              <w:widowControl/>
              <w:spacing w:line="276" w:lineRule="auto"/>
              <w:jc w:val="left"/>
              <w:rPr>
                <w:rFonts w:ascii="宋体" w:hAnsi="宋体"/>
                <w:sz w:val="24"/>
              </w:rPr>
            </w:pPr>
            <w:r>
              <w:rPr>
                <w:rFonts w:hint="eastAsia" w:ascii="宋体" w:hAnsi="宋体"/>
                <w:sz w:val="24"/>
              </w:rPr>
              <w:t>平安理财有限责任公司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蔡春根</w:t>
            </w:r>
          </w:p>
        </w:tc>
        <w:tc>
          <w:tcPr>
            <w:tcW w:w="5555" w:type="dxa"/>
            <w:noWrap/>
          </w:tcPr>
          <w:p>
            <w:pPr>
              <w:widowControl/>
              <w:spacing w:line="276" w:lineRule="auto"/>
              <w:jc w:val="left"/>
              <w:rPr>
                <w:rFonts w:ascii="宋体" w:hAnsi="宋体"/>
                <w:sz w:val="24"/>
              </w:rPr>
            </w:pPr>
            <w:r>
              <w:rPr>
                <w:rFonts w:hint="eastAsia" w:ascii="宋体" w:hAnsi="宋体"/>
                <w:sz w:val="24"/>
              </w:rPr>
              <w:t>鹏华基金管理有限公司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肖镇波</w:t>
            </w:r>
          </w:p>
        </w:tc>
        <w:tc>
          <w:tcPr>
            <w:tcW w:w="5555" w:type="dxa"/>
            <w:noWrap/>
          </w:tcPr>
          <w:p>
            <w:pPr>
              <w:widowControl/>
              <w:spacing w:line="276" w:lineRule="auto"/>
              <w:jc w:val="left"/>
              <w:rPr>
                <w:rFonts w:ascii="宋体" w:hAnsi="宋体"/>
                <w:sz w:val="24"/>
              </w:rPr>
            </w:pPr>
            <w:r>
              <w:rPr>
                <w:rFonts w:hint="eastAsia" w:ascii="宋体" w:hAnsi="宋体"/>
                <w:sz w:val="24"/>
              </w:rPr>
              <w:t>广发证券股份有限公司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汪洋</w:t>
            </w:r>
          </w:p>
        </w:tc>
        <w:tc>
          <w:tcPr>
            <w:tcW w:w="5555" w:type="dxa"/>
            <w:noWrap/>
          </w:tcPr>
          <w:p>
            <w:pPr>
              <w:widowControl/>
              <w:spacing w:line="276" w:lineRule="auto"/>
              <w:jc w:val="left"/>
              <w:rPr>
                <w:rFonts w:ascii="宋体" w:hAnsi="宋体"/>
                <w:sz w:val="24"/>
              </w:rPr>
            </w:pPr>
            <w:r>
              <w:rPr>
                <w:rFonts w:hint="eastAsia" w:ascii="宋体" w:hAnsi="宋体"/>
                <w:sz w:val="24"/>
              </w:rPr>
              <w:t>万家基金管理有限公司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李金宝</w:t>
            </w:r>
          </w:p>
        </w:tc>
        <w:tc>
          <w:tcPr>
            <w:tcW w:w="5555" w:type="dxa"/>
            <w:noWrap/>
          </w:tcPr>
          <w:p>
            <w:pPr>
              <w:widowControl/>
              <w:spacing w:line="276" w:lineRule="auto"/>
              <w:jc w:val="left"/>
              <w:rPr>
                <w:rFonts w:ascii="宋体" w:hAnsi="宋体"/>
                <w:sz w:val="24"/>
              </w:rPr>
            </w:pPr>
            <w:r>
              <w:rPr>
                <w:rFonts w:hint="eastAsia" w:ascii="宋体" w:hAnsi="宋体"/>
                <w:sz w:val="24"/>
              </w:rPr>
              <w:t>长江证券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范琨</w:t>
            </w:r>
          </w:p>
        </w:tc>
        <w:tc>
          <w:tcPr>
            <w:tcW w:w="5555" w:type="dxa"/>
            <w:noWrap/>
          </w:tcPr>
          <w:p>
            <w:pPr>
              <w:widowControl/>
              <w:spacing w:line="276" w:lineRule="auto"/>
              <w:jc w:val="left"/>
              <w:rPr>
                <w:rFonts w:ascii="宋体" w:hAnsi="宋体"/>
                <w:sz w:val="24"/>
              </w:rPr>
            </w:pPr>
            <w:r>
              <w:rPr>
                <w:rFonts w:hint="eastAsia" w:ascii="宋体" w:hAnsi="宋体"/>
                <w:sz w:val="24"/>
              </w:rPr>
              <w:t>融通基金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华强强</w:t>
            </w:r>
          </w:p>
        </w:tc>
        <w:tc>
          <w:tcPr>
            <w:tcW w:w="5555" w:type="dxa"/>
            <w:noWrap/>
          </w:tcPr>
          <w:p>
            <w:pPr>
              <w:widowControl/>
              <w:spacing w:line="276" w:lineRule="auto"/>
              <w:jc w:val="left"/>
              <w:rPr>
                <w:rFonts w:ascii="宋体" w:hAnsi="宋体"/>
                <w:sz w:val="24"/>
              </w:rPr>
            </w:pPr>
            <w:r>
              <w:rPr>
                <w:rFonts w:hint="eastAsia" w:ascii="宋体" w:hAnsi="宋体"/>
                <w:sz w:val="24"/>
              </w:rPr>
              <w:t>银华基金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刘旭明</w:t>
            </w:r>
          </w:p>
        </w:tc>
        <w:tc>
          <w:tcPr>
            <w:tcW w:w="5555" w:type="dxa"/>
            <w:noWrap/>
          </w:tcPr>
          <w:p>
            <w:pPr>
              <w:widowControl/>
              <w:spacing w:line="276" w:lineRule="auto"/>
              <w:jc w:val="left"/>
              <w:rPr>
                <w:rFonts w:ascii="宋体" w:hAnsi="宋体"/>
                <w:sz w:val="24"/>
              </w:rPr>
            </w:pPr>
            <w:r>
              <w:rPr>
                <w:rFonts w:hint="eastAsia" w:ascii="宋体" w:hAnsi="宋体"/>
                <w:sz w:val="24"/>
              </w:rPr>
              <w:t>国华兴益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冯挺</w:t>
            </w:r>
          </w:p>
        </w:tc>
        <w:tc>
          <w:tcPr>
            <w:tcW w:w="5555" w:type="dxa"/>
            <w:noWrap/>
          </w:tcPr>
          <w:p>
            <w:pPr>
              <w:widowControl/>
              <w:spacing w:line="276" w:lineRule="auto"/>
              <w:jc w:val="left"/>
              <w:rPr>
                <w:rFonts w:ascii="宋体" w:hAnsi="宋体"/>
                <w:sz w:val="24"/>
              </w:rPr>
            </w:pPr>
            <w:r>
              <w:rPr>
                <w:rFonts w:hint="eastAsia" w:ascii="宋体" w:hAnsi="宋体"/>
                <w:sz w:val="24"/>
              </w:rPr>
              <w:t>筌笠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付嘉禾</w:t>
            </w:r>
          </w:p>
        </w:tc>
        <w:tc>
          <w:tcPr>
            <w:tcW w:w="5555" w:type="dxa"/>
            <w:noWrap/>
          </w:tcPr>
          <w:p>
            <w:pPr>
              <w:widowControl/>
              <w:spacing w:line="276" w:lineRule="auto"/>
              <w:jc w:val="left"/>
              <w:rPr>
                <w:rFonts w:ascii="宋体" w:hAnsi="宋体"/>
                <w:sz w:val="24"/>
              </w:rPr>
            </w:pPr>
            <w:r>
              <w:rPr>
                <w:rFonts w:hint="eastAsia" w:ascii="宋体" w:hAnsi="宋体"/>
                <w:sz w:val="24"/>
              </w:rPr>
              <w:t>百济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倪祯珉</w:t>
            </w:r>
          </w:p>
        </w:tc>
        <w:tc>
          <w:tcPr>
            <w:tcW w:w="5555" w:type="dxa"/>
            <w:noWrap/>
          </w:tcPr>
          <w:p>
            <w:pPr>
              <w:widowControl/>
              <w:spacing w:line="276" w:lineRule="auto"/>
              <w:jc w:val="left"/>
              <w:rPr>
                <w:rFonts w:ascii="宋体" w:hAnsi="宋体"/>
                <w:sz w:val="24"/>
              </w:rPr>
            </w:pPr>
            <w:r>
              <w:rPr>
                <w:rFonts w:hint="eastAsia" w:ascii="宋体" w:hAnsi="宋体"/>
                <w:sz w:val="24"/>
              </w:rPr>
              <w:t>名禹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孟庆锋</w:t>
            </w:r>
          </w:p>
        </w:tc>
        <w:tc>
          <w:tcPr>
            <w:tcW w:w="5555" w:type="dxa"/>
            <w:noWrap/>
          </w:tcPr>
          <w:p>
            <w:pPr>
              <w:widowControl/>
              <w:spacing w:line="276" w:lineRule="auto"/>
              <w:jc w:val="left"/>
              <w:rPr>
                <w:rFonts w:ascii="宋体" w:hAnsi="宋体"/>
                <w:sz w:val="24"/>
              </w:rPr>
            </w:pPr>
            <w:r>
              <w:rPr>
                <w:rFonts w:hint="eastAsia" w:ascii="宋体" w:hAnsi="宋体"/>
                <w:sz w:val="24"/>
              </w:rPr>
              <w:t>磐厚动量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张晓艳</w:t>
            </w:r>
          </w:p>
        </w:tc>
        <w:tc>
          <w:tcPr>
            <w:tcW w:w="5555" w:type="dxa"/>
            <w:noWrap/>
          </w:tcPr>
          <w:p>
            <w:pPr>
              <w:widowControl/>
              <w:spacing w:line="276" w:lineRule="auto"/>
              <w:jc w:val="left"/>
              <w:rPr>
                <w:rFonts w:ascii="宋体" w:hAnsi="宋体"/>
                <w:sz w:val="24"/>
              </w:rPr>
            </w:pPr>
            <w:r>
              <w:rPr>
                <w:rFonts w:hint="eastAsia" w:ascii="宋体" w:hAnsi="宋体"/>
                <w:sz w:val="24"/>
              </w:rPr>
              <w:t>海宸投资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翟淑星</w:t>
            </w:r>
          </w:p>
        </w:tc>
        <w:tc>
          <w:tcPr>
            <w:tcW w:w="5555" w:type="dxa"/>
            <w:noWrap/>
          </w:tcPr>
          <w:p>
            <w:pPr>
              <w:widowControl/>
              <w:spacing w:line="276" w:lineRule="auto"/>
              <w:jc w:val="left"/>
              <w:rPr>
                <w:rFonts w:ascii="宋体" w:hAnsi="宋体"/>
                <w:sz w:val="24"/>
              </w:rPr>
            </w:pPr>
            <w:r>
              <w:rPr>
                <w:rFonts w:hint="eastAsia" w:ascii="宋体" w:hAnsi="宋体"/>
                <w:sz w:val="24"/>
              </w:rPr>
              <w:t>三亚鸿盛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张航</w:t>
            </w:r>
          </w:p>
        </w:tc>
        <w:tc>
          <w:tcPr>
            <w:tcW w:w="5555" w:type="dxa"/>
            <w:noWrap/>
          </w:tcPr>
          <w:p>
            <w:pPr>
              <w:widowControl/>
              <w:spacing w:line="276" w:lineRule="auto"/>
              <w:jc w:val="left"/>
              <w:rPr>
                <w:rFonts w:ascii="宋体" w:hAnsi="宋体"/>
                <w:sz w:val="24"/>
              </w:rPr>
            </w:pPr>
            <w:r>
              <w:rPr>
                <w:rFonts w:hint="eastAsia" w:ascii="宋体" w:hAnsi="宋体"/>
                <w:sz w:val="24"/>
              </w:rPr>
              <w:t>勤辰私募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陶俊</w:t>
            </w:r>
          </w:p>
        </w:tc>
        <w:tc>
          <w:tcPr>
            <w:tcW w:w="5555" w:type="dxa"/>
            <w:noWrap/>
          </w:tcPr>
          <w:p>
            <w:pPr>
              <w:widowControl/>
              <w:spacing w:line="276" w:lineRule="auto"/>
              <w:jc w:val="left"/>
              <w:rPr>
                <w:rFonts w:ascii="宋体" w:hAnsi="宋体"/>
                <w:sz w:val="24"/>
              </w:rPr>
            </w:pPr>
            <w:r>
              <w:rPr>
                <w:rFonts w:hint="eastAsia" w:ascii="宋体" w:hAnsi="宋体"/>
                <w:sz w:val="24"/>
              </w:rPr>
              <w:t>中邮理财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刘岚</w:t>
            </w:r>
          </w:p>
        </w:tc>
        <w:tc>
          <w:tcPr>
            <w:tcW w:w="5555" w:type="dxa"/>
            <w:noWrap/>
          </w:tcPr>
          <w:p>
            <w:pPr>
              <w:widowControl/>
              <w:spacing w:line="276" w:lineRule="auto"/>
              <w:jc w:val="left"/>
              <w:rPr>
                <w:rFonts w:ascii="宋体" w:hAnsi="宋体"/>
                <w:sz w:val="24"/>
              </w:rPr>
            </w:pPr>
            <w:r>
              <w:rPr>
                <w:rFonts w:hint="eastAsia" w:ascii="宋体" w:hAnsi="宋体"/>
                <w:sz w:val="24"/>
              </w:rPr>
              <w:t>中信建投自营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陈峰</w:t>
            </w:r>
          </w:p>
        </w:tc>
        <w:tc>
          <w:tcPr>
            <w:tcW w:w="5555" w:type="dxa"/>
            <w:noWrap/>
          </w:tcPr>
          <w:p>
            <w:pPr>
              <w:widowControl/>
              <w:spacing w:line="276" w:lineRule="auto"/>
              <w:jc w:val="left"/>
              <w:rPr>
                <w:rFonts w:ascii="宋体" w:hAnsi="宋体"/>
                <w:sz w:val="24"/>
              </w:rPr>
            </w:pPr>
            <w:r>
              <w:rPr>
                <w:rFonts w:hint="eastAsia" w:ascii="宋体" w:hAnsi="宋体"/>
                <w:sz w:val="24"/>
              </w:rPr>
              <w:t>世纪证券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赵宇</w:t>
            </w:r>
          </w:p>
        </w:tc>
        <w:tc>
          <w:tcPr>
            <w:tcW w:w="5555" w:type="dxa"/>
            <w:noWrap/>
          </w:tcPr>
          <w:p>
            <w:pPr>
              <w:widowControl/>
              <w:spacing w:line="276" w:lineRule="auto"/>
              <w:jc w:val="left"/>
              <w:rPr>
                <w:rFonts w:ascii="宋体" w:hAnsi="宋体"/>
                <w:sz w:val="24"/>
              </w:rPr>
            </w:pPr>
            <w:r>
              <w:rPr>
                <w:rFonts w:hint="eastAsia" w:ascii="宋体" w:hAnsi="宋体"/>
                <w:sz w:val="24"/>
              </w:rPr>
              <w:t>国联资管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章耀</w:t>
            </w:r>
          </w:p>
        </w:tc>
        <w:tc>
          <w:tcPr>
            <w:tcW w:w="5555" w:type="dxa"/>
            <w:noWrap/>
          </w:tcPr>
          <w:p>
            <w:pPr>
              <w:widowControl/>
              <w:spacing w:line="276" w:lineRule="auto"/>
              <w:jc w:val="left"/>
              <w:rPr>
                <w:rFonts w:ascii="宋体" w:hAnsi="宋体"/>
                <w:sz w:val="24"/>
              </w:rPr>
            </w:pPr>
            <w:r>
              <w:rPr>
                <w:rFonts w:hint="eastAsia" w:ascii="宋体" w:hAnsi="宋体"/>
                <w:sz w:val="24"/>
              </w:rPr>
              <w:t>国信自营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董超</w:t>
            </w:r>
          </w:p>
        </w:tc>
        <w:tc>
          <w:tcPr>
            <w:tcW w:w="5555" w:type="dxa"/>
            <w:noWrap/>
          </w:tcPr>
          <w:p>
            <w:pPr>
              <w:widowControl/>
              <w:spacing w:line="276" w:lineRule="auto"/>
              <w:jc w:val="left"/>
              <w:rPr>
                <w:rFonts w:ascii="宋体" w:hAnsi="宋体"/>
                <w:sz w:val="24"/>
              </w:rPr>
            </w:pPr>
            <w:r>
              <w:rPr>
                <w:rFonts w:hint="eastAsia" w:ascii="宋体" w:hAnsi="宋体"/>
                <w:sz w:val="24"/>
              </w:rPr>
              <w:t>长江证券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李博华</w:t>
            </w:r>
          </w:p>
        </w:tc>
        <w:tc>
          <w:tcPr>
            <w:tcW w:w="5555" w:type="dxa"/>
            <w:noWrap/>
          </w:tcPr>
          <w:p>
            <w:pPr>
              <w:widowControl/>
              <w:spacing w:line="276" w:lineRule="auto"/>
              <w:jc w:val="left"/>
              <w:rPr>
                <w:rFonts w:ascii="宋体" w:hAnsi="宋体"/>
                <w:sz w:val="24"/>
              </w:rPr>
            </w:pPr>
            <w:r>
              <w:rPr>
                <w:rFonts w:hint="eastAsia" w:ascii="宋体" w:hAnsi="宋体"/>
                <w:sz w:val="24"/>
              </w:rPr>
              <w:t xml:space="preserve">长信基金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王茹名</w:t>
            </w:r>
          </w:p>
        </w:tc>
        <w:tc>
          <w:tcPr>
            <w:tcW w:w="5555" w:type="dxa"/>
            <w:noWrap/>
          </w:tcPr>
          <w:p>
            <w:pPr>
              <w:widowControl/>
              <w:spacing w:line="276" w:lineRule="auto"/>
              <w:jc w:val="left"/>
              <w:rPr>
                <w:rFonts w:ascii="宋体" w:hAnsi="宋体"/>
                <w:sz w:val="24"/>
              </w:rPr>
            </w:pPr>
            <w:r>
              <w:rPr>
                <w:rFonts w:hint="eastAsia" w:ascii="宋体" w:hAnsi="宋体"/>
                <w:sz w:val="24"/>
              </w:rPr>
              <w:t>平安交管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陈冠群</w:t>
            </w:r>
          </w:p>
        </w:tc>
        <w:tc>
          <w:tcPr>
            <w:tcW w:w="5555" w:type="dxa"/>
            <w:noWrap/>
          </w:tcPr>
          <w:p>
            <w:pPr>
              <w:widowControl/>
              <w:spacing w:line="276" w:lineRule="auto"/>
              <w:jc w:val="left"/>
              <w:rPr>
                <w:rFonts w:ascii="宋体" w:hAnsi="宋体"/>
                <w:sz w:val="24"/>
              </w:rPr>
            </w:pPr>
            <w:r>
              <w:rPr>
                <w:rFonts w:hint="eastAsia" w:ascii="宋体" w:hAnsi="宋体"/>
                <w:sz w:val="24"/>
              </w:rPr>
              <w:t>宁泉资产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李伟勋</w:t>
            </w:r>
          </w:p>
        </w:tc>
        <w:tc>
          <w:tcPr>
            <w:tcW w:w="5555" w:type="dxa"/>
            <w:noWrap/>
          </w:tcPr>
          <w:p>
            <w:pPr>
              <w:widowControl/>
              <w:spacing w:line="276" w:lineRule="auto"/>
              <w:jc w:val="left"/>
              <w:rPr>
                <w:rFonts w:ascii="宋体" w:hAnsi="宋体"/>
                <w:sz w:val="24"/>
              </w:rPr>
            </w:pPr>
            <w:r>
              <w:rPr>
                <w:rFonts w:hint="eastAsia" w:ascii="宋体" w:hAnsi="宋体"/>
                <w:sz w:val="24"/>
              </w:rPr>
              <w:t>工银安盛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163" w:type="dxa"/>
            <w:noWrap/>
          </w:tcPr>
          <w:p>
            <w:pPr>
              <w:widowControl/>
              <w:spacing w:line="276" w:lineRule="auto"/>
              <w:jc w:val="left"/>
              <w:rPr>
                <w:rFonts w:ascii="宋体" w:hAnsi="宋体"/>
                <w:sz w:val="24"/>
              </w:rPr>
            </w:pPr>
            <w:r>
              <w:rPr>
                <w:rFonts w:hint="eastAsia" w:ascii="宋体" w:hAnsi="宋体"/>
                <w:sz w:val="24"/>
              </w:rPr>
              <w:t>黄颖</w:t>
            </w:r>
          </w:p>
        </w:tc>
        <w:tc>
          <w:tcPr>
            <w:tcW w:w="5555" w:type="dxa"/>
            <w:noWrap/>
          </w:tcPr>
          <w:p>
            <w:pPr>
              <w:widowControl/>
              <w:spacing w:line="276" w:lineRule="auto"/>
              <w:jc w:val="left"/>
              <w:rPr>
                <w:rFonts w:ascii="宋体" w:hAnsi="宋体"/>
                <w:sz w:val="24"/>
              </w:rPr>
            </w:pPr>
            <w:r>
              <w:rPr>
                <w:rFonts w:hint="eastAsia" w:ascii="宋体" w:hAnsi="宋体"/>
                <w:sz w:val="24"/>
              </w:rPr>
              <w:t>华泰证券</w:t>
            </w:r>
          </w:p>
        </w:tc>
      </w:tr>
    </w:tbl>
    <w:p>
      <w:pPr>
        <w:widowControl/>
        <w:jc w:val="left"/>
        <w:rPr>
          <w:rFonts w:asciiTheme="minorEastAsia" w:hAnsiTheme="minorEastAsia" w:eastAsiaTheme="minorEastAsia"/>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6D0C8B"/>
    <w:multiLevelType w:val="multilevel"/>
    <w:tmpl w:val="336D0C8B"/>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kNDYwZDYzMzYwZTQ5MTY5ODI2ZDQ2YjBmMGNlNDgifQ=="/>
  </w:docVars>
  <w:rsids>
    <w:rsidRoot w:val="006861C7"/>
    <w:rsid w:val="00001741"/>
    <w:rsid w:val="0000224F"/>
    <w:rsid w:val="00004565"/>
    <w:rsid w:val="00014039"/>
    <w:rsid w:val="00015803"/>
    <w:rsid w:val="000268C0"/>
    <w:rsid w:val="000363B5"/>
    <w:rsid w:val="000375D7"/>
    <w:rsid w:val="000419D7"/>
    <w:rsid w:val="00043015"/>
    <w:rsid w:val="00046DDE"/>
    <w:rsid w:val="00047EB9"/>
    <w:rsid w:val="00060A74"/>
    <w:rsid w:val="00060F09"/>
    <w:rsid w:val="00067110"/>
    <w:rsid w:val="00067F36"/>
    <w:rsid w:val="00082970"/>
    <w:rsid w:val="000831AA"/>
    <w:rsid w:val="0009298A"/>
    <w:rsid w:val="00092D3B"/>
    <w:rsid w:val="000947C6"/>
    <w:rsid w:val="000A2808"/>
    <w:rsid w:val="000A3BAC"/>
    <w:rsid w:val="000C26FD"/>
    <w:rsid w:val="000C2D85"/>
    <w:rsid w:val="000C66F9"/>
    <w:rsid w:val="000C78F6"/>
    <w:rsid w:val="000E4A4C"/>
    <w:rsid w:val="000E5700"/>
    <w:rsid w:val="000E636F"/>
    <w:rsid w:val="000E696A"/>
    <w:rsid w:val="000F0C4B"/>
    <w:rsid w:val="000F0E22"/>
    <w:rsid w:val="000F302C"/>
    <w:rsid w:val="00103BB7"/>
    <w:rsid w:val="00105A04"/>
    <w:rsid w:val="00112F74"/>
    <w:rsid w:val="001169A9"/>
    <w:rsid w:val="00123ADA"/>
    <w:rsid w:val="00125EB2"/>
    <w:rsid w:val="00142A4C"/>
    <w:rsid w:val="00144279"/>
    <w:rsid w:val="001449B6"/>
    <w:rsid w:val="001452FF"/>
    <w:rsid w:val="00163DDD"/>
    <w:rsid w:val="0016617A"/>
    <w:rsid w:val="00167E99"/>
    <w:rsid w:val="00193FA4"/>
    <w:rsid w:val="001975AB"/>
    <w:rsid w:val="001A00F5"/>
    <w:rsid w:val="001A1F65"/>
    <w:rsid w:val="001A5CE9"/>
    <w:rsid w:val="001B64E9"/>
    <w:rsid w:val="001C50AD"/>
    <w:rsid w:val="001D20D1"/>
    <w:rsid w:val="001D22EE"/>
    <w:rsid w:val="001D4C89"/>
    <w:rsid w:val="001E0062"/>
    <w:rsid w:val="001E1838"/>
    <w:rsid w:val="001E3145"/>
    <w:rsid w:val="001E6509"/>
    <w:rsid w:val="001E7968"/>
    <w:rsid w:val="001F61AA"/>
    <w:rsid w:val="002029F2"/>
    <w:rsid w:val="00220096"/>
    <w:rsid w:val="0022180A"/>
    <w:rsid w:val="00223ABC"/>
    <w:rsid w:val="002241B9"/>
    <w:rsid w:val="002274D9"/>
    <w:rsid w:val="002304D4"/>
    <w:rsid w:val="0023455A"/>
    <w:rsid w:val="002376F9"/>
    <w:rsid w:val="00237994"/>
    <w:rsid w:val="0024465B"/>
    <w:rsid w:val="002463D4"/>
    <w:rsid w:val="00251A8C"/>
    <w:rsid w:val="00251D58"/>
    <w:rsid w:val="002530EE"/>
    <w:rsid w:val="002549E6"/>
    <w:rsid w:val="00256602"/>
    <w:rsid w:val="00260A53"/>
    <w:rsid w:val="0027087B"/>
    <w:rsid w:val="00271C8D"/>
    <w:rsid w:val="00273B53"/>
    <w:rsid w:val="0028080C"/>
    <w:rsid w:val="00295257"/>
    <w:rsid w:val="00297703"/>
    <w:rsid w:val="002A0826"/>
    <w:rsid w:val="002A0984"/>
    <w:rsid w:val="002A589B"/>
    <w:rsid w:val="002B0BCD"/>
    <w:rsid w:val="002B1184"/>
    <w:rsid w:val="002B71B8"/>
    <w:rsid w:val="002B7469"/>
    <w:rsid w:val="002C22C6"/>
    <w:rsid w:val="002C6568"/>
    <w:rsid w:val="002C723B"/>
    <w:rsid w:val="002D39BC"/>
    <w:rsid w:val="002E1B15"/>
    <w:rsid w:val="002E1D3A"/>
    <w:rsid w:val="002E40C4"/>
    <w:rsid w:val="002E4725"/>
    <w:rsid w:val="003005F0"/>
    <w:rsid w:val="003016C6"/>
    <w:rsid w:val="003030BF"/>
    <w:rsid w:val="00304F89"/>
    <w:rsid w:val="00306023"/>
    <w:rsid w:val="00306531"/>
    <w:rsid w:val="00327D5D"/>
    <w:rsid w:val="00344914"/>
    <w:rsid w:val="00346917"/>
    <w:rsid w:val="00352E9E"/>
    <w:rsid w:val="00353792"/>
    <w:rsid w:val="00354A7B"/>
    <w:rsid w:val="00360FDA"/>
    <w:rsid w:val="00362500"/>
    <w:rsid w:val="00363075"/>
    <w:rsid w:val="00367D18"/>
    <w:rsid w:val="00372A1C"/>
    <w:rsid w:val="0037435A"/>
    <w:rsid w:val="00374500"/>
    <w:rsid w:val="00377D8F"/>
    <w:rsid w:val="00383679"/>
    <w:rsid w:val="00383B7D"/>
    <w:rsid w:val="003A1E68"/>
    <w:rsid w:val="003B0122"/>
    <w:rsid w:val="003B0BE5"/>
    <w:rsid w:val="003B1681"/>
    <w:rsid w:val="003B4809"/>
    <w:rsid w:val="003B587F"/>
    <w:rsid w:val="003B647F"/>
    <w:rsid w:val="003C6954"/>
    <w:rsid w:val="003C6A1C"/>
    <w:rsid w:val="003D18F1"/>
    <w:rsid w:val="003D48FC"/>
    <w:rsid w:val="003D4DDB"/>
    <w:rsid w:val="003D6D46"/>
    <w:rsid w:val="003E001E"/>
    <w:rsid w:val="003E2AC8"/>
    <w:rsid w:val="003F7C4D"/>
    <w:rsid w:val="0040075F"/>
    <w:rsid w:val="00403300"/>
    <w:rsid w:val="004043B7"/>
    <w:rsid w:val="004118C0"/>
    <w:rsid w:val="0041251F"/>
    <w:rsid w:val="00417A31"/>
    <w:rsid w:val="0042004B"/>
    <w:rsid w:val="00433384"/>
    <w:rsid w:val="0043777D"/>
    <w:rsid w:val="004427D0"/>
    <w:rsid w:val="00450066"/>
    <w:rsid w:val="004557C6"/>
    <w:rsid w:val="004563F7"/>
    <w:rsid w:val="0045767F"/>
    <w:rsid w:val="00463E9B"/>
    <w:rsid w:val="00465B5B"/>
    <w:rsid w:val="00467414"/>
    <w:rsid w:val="00473F30"/>
    <w:rsid w:val="00475559"/>
    <w:rsid w:val="0048486A"/>
    <w:rsid w:val="0048591A"/>
    <w:rsid w:val="00486D86"/>
    <w:rsid w:val="0048721A"/>
    <w:rsid w:val="00491F9A"/>
    <w:rsid w:val="00492C38"/>
    <w:rsid w:val="004A0BD5"/>
    <w:rsid w:val="004A1BBF"/>
    <w:rsid w:val="004A73E5"/>
    <w:rsid w:val="004C19BF"/>
    <w:rsid w:val="004D2206"/>
    <w:rsid w:val="004D7640"/>
    <w:rsid w:val="004E1A9B"/>
    <w:rsid w:val="004E53CD"/>
    <w:rsid w:val="00500AB6"/>
    <w:rsid w:val="00510279"/>
    <w:rsid w:val="005155FB"/>
    <w:rsid w:val="00523907"/>
    <w:rsid w:val="00525595"/>
    <w:rsid w:val="00537C53"/>
    <w:rsid w:val="005438F5"/>
    <w:rsid w:val="00543FAC"/>
    <w:rsid w:val="00544901"/>
    <w:rsid w:val="005474D3"/>
    <w:rsid w:val="00547EBE"/>
    <w:rsid w:val="00550737"/>
    <w:rsid w:val="00554A06"/>
    <w:rsid w:val="00555DD2"/>
    <w:rsid w:val="00565ED9"/>
    <w:rsid w:val="005675CF"/>
    <w:rsid w:val="00567B58"/>
    <w:rsid w:val="005760C6"/>
    <w:rsid w:val="00585A1B"/>
    <w:rsid w:val="00591260"/>
    <w:rsid w:val="00591314"/>
    <w:rsid w:val="00593D40"/>
    <w:rsid w:val="00595F1B"/>
    <w:rsid w:val="005A0158"/>
    <w:rsid w:val="005A3BE0"/>
    <w:rsid w:val="005B1026"/>
    <w:rsid w:val="005B5F0F"/>
    <w:rsid w:val="005B642F"/>
    <w:rsid w:val="005C04C1"/>
    <w:rsid w:val="005C1785"/>
    <w:rsid w:val="005D15DF"/>
    <w:rsid w:val="005D2D87"/>
    <w:rsid w:val="005D6A09"/>
    <w:rsid w:val="005E2B4B"/>
    <w:rsid w:val="005E5F63"/>
    <w:rsid w:val="005E6BA1"/>
    <w:rsid w:val="00605867"/>
    <w:rsid w:val="0060596F"/>
    <w:rsid w:val="0060779A"/>
    <w:rsid w:val="006107E6"/>
    <w:rsid w:val="00622F13"/>
    <w:rsid w:val="0062521B"/>
    <w:rsid w:val="00625503"/>
    <w:rsid w:val="0062662D"/>
    <w:rsid w:val="00632E78"/>
    <w:rsid w:val="006344F1"/>
    <w:rsid w:val="00637186"/>
    <w:rsid w:val="00646DF4"/>
    <w:rsid w:val="00651B69"/>
    <w:rsid w:val="00651DE6"/>
    <w:rsid w:val="006523BB"/>
    <w:rsid w:val="0065347E"/>
    <w:rsid w:val="00654B49"/>
    <w:rsid w:val="00654C0F"/>
    <w:rsid w:val="00662505"/>
    <w:rsid w:val="0066674C"/>
    <w:rsid w:val="006760F7"/>
    <w:rsid w:val="00685BA6"/>
    <w:rsid w:val="006861C7"/>
    <w:rsid w:val="00686DDF"/>
    <w:rsid w:val="00690055"/>
    <w:rsid w:val="00697B12"/>
    <w:rsid w:val="006A55BB"/>
    <w:rsid w:val="006A669C"/>
    <w:rsid w:val="006A67A4"/>
    <w:rsid w:val="006A7613"/>
    <w:rsid w:val="006A76AB"/>
    <w:rsid w:val="006B661A"/>
    <w:rsid w:val="006B7D00"/>
    <w:rsid w:val="006C6BC5"/>
    <w:rsid w:val="006D417B"/>
    <w:rsid w:val="006D52AE"/>
    <w:rsid w:val="006D61A2"/>
    <w:rsid w:val="006D6A7B"/>
    <w:rsid w:val="006E1DB4"/>
    <w:rsid w:val="006E3C44"/>
    <w:rsid w:val="006F1CBE"/>
    <w:rsid w:val="006F20DC"/>
    <w:rsid w:val="006F30C3"/>
    <w:rsid w:val="007509CE"/>
    <w:rsid w:val="00753DB6"/>
    <w:rsid w:val="00763847"/>
    <w:rsid w:val="00771FE3"/>
    <w:rsid w:val="00776BDE"/>
    <w:rsid w:val="00776CE2"/>
    <w:rsid w:val="0078558C"/>
    <w:rsid w:val="00786870"/>
    <w:rsid w:val="00792237"/>
    <w:rsid w:val="0079272A"/>
    <w:rsid w:val="007A10CE"/>
    <w:rsid w:val="007A1DA9"/>
    <w:rsid w:val="007B2252"/>
    <w:rsid w:val="007B79D9"/>
    <w:rsid w:val="007C304A"/>
    <w:rsid w:val="007C58C4"/>
    <w:rsid w:val="007C5C0D"/>
    <w:rsid w:val="007C5F07"/>
    <w:rsid w:val="007C67B1"/>
    <w:rsid w:val="007D19B6"/>
    <w:rsid w:val="007E354A"/>
    <w:rsid w:val="007E3F45"/>
    <w:rsid w:val="007E69C8"/>
    <w:rsid w:val="007E6DAD"/>
    <w:rsid w:val="008008C4"/>
    <w:rsid w:val="00800FFA"/>
    <w:rsid w:val="0080444E"/>
    <w:rsid w:val="0080525B"/>
    <w:rsid w:val="008062C5"/>
    <w:rsid w:val="0080741A"/>
    <w:rsid w:val="008138CB"/>
    <w:rsid w:val="00814B5B"/>
    <w:rsid w:val="008234BF"/>
    <w:rsid w:val="008368B4"/>
    <w:rsid w:val="00836F34"/>
    <w:rsid w:val="00837374"/>
    <w:rsid w:val="00843E73"/>
    <w:rsid w:val="00844EBF"/>
    <w:rsid w:val="0085073F"/>
    <w:rsid w:val="00854F61"/>
    <w:rsid w:val="0086037D"/>
    <w:rsid w:val="00864202"/>
    <w:rsid w:val="00873B59"/>
    <w:rsid w:val="00873B6B"/>
    <w:rsid w:val="00875FF2"/>
    <w:rsid w:val="00876345"/>
    <w:rsid w:val="0087701F"/>
    <w:rsid w:val="00891315"/>
    <w:rsid w:val="0089283D"/>
    <w:rsid w:val="008A04AE"/>
    <w:rsid w:val="008A0ADC"/>
    <w:rsid w:val="008A1BAB"/>
    <w:rsid w:val="008B38B7"/>
    <w:rsid w:val="008B458E"/>
    <w:rsid w:val="008C4D4A"/>
    <w:rsid w:val="008C57AC"/>
    <w:rsid w:val="008E11AE"/>
    <w:rsid w:val="008E1708"/>
    <w:rsid w:val="008E4844"/>
    <w:rsid w:val="00904492"/>
    <w:rsid w:val="00904DFB"/>
    <w:rsid w:val="0091457B"/>
    <w:rsid w:val="00923763"/>
    <w:rsid w:val="00930ED6"/>
    <w:rsid w:val="0093293F"/>
    <w:rsid w:val="00933105"/>
    <w:rsid w:val="00942336"/>
    <w:rsid w:val="00945596"/>
    <w:rsid w:val="009474EF"/>
    <w:rsid w:val="0095229B"/>
    <w:rsid w:val="00954482"/>
    <w:rsid w:val="00962626"/>
    <w:rsid w:val="009767DD"/>
    <w:rsid w:val="00977AF2"/>
    <w:rsid w:val="00985FC5"/>
    <w:rsid w:val="00993BDD"/>
    <w:rsid w:val="009A6DFB"/>
    <w:rsid w:val="009B1FC7"/>
    <w:rsid w:val="009B49B5"/>
    <w:rsid w:val="009B6EC0"/>
    <w:rsid w:val="009C23A7"/>
    <w:rsid w:val="009C7FAF"/>
    <w:rsid w:val="009D4199"/>
    <w:rsid w:val="009E3091"/>
    <w:rsid w:val="009E43CC"/>
    <w:rsid w:val="009E5C50"/>
    <w:rsid w:val="009E5E6A"/>
    <w:rsid w:val="009F0DD5"/>
    <w:rsid w:val="009F14CF"/>
    <w:rsid w:val="009F1B95"/>
    <w:rsid w:val="009F6C05"/>
    <w:rsid w:val="00A07EAF"/>
    <w:rsid w:val="00A13CB6"/>
    <w:rsid w:val="00A14A1A"/>
    <w:rsid w:val="00A17676"/>
    <w:rsid w:val="00A22CDD"/>
    <w:rsid w:val="00A25AEE"/>
    <w:rsid w:val="00A31EB1"/>
    <w:rsid w:val="00A3276C"/>
    <w:rsid w:val="00A33959"/>
    <w:rsid w:val="00A33AEA"/>
    <w:rsid w:val="00A44CA3"/>
    <w:rsid w:val="00A461CD"/>
    <w:rsid w:val="00A469C5"/>
    <w:rsid w:val="00A5317D"/>
    <w:rsid w:val="00A6284E"/>
    <w:rsid w:val="00A63E81"/>
    <w:rsid w:val="00A8775A"/>
    <w:rsid w:val="00A92DA0"/>
    <w:rsid w:val="00A938AC"/>
    <w:rsid w:val="00AA5998"/>
    <w:rsid w:val="00AB07E7"/>
    <w:rsid w:val="00AD1BA8"/>
    <w:rsid w:val="00AE4D70"/>
    <w:rsid w:val="00AF74A3"/>
    <w:rsid w:val="00B02A29"/>
    <w:rsid w:val="00B03522"/>
    <w:rsid w:val="00B04AD6"/>
    <w:rsid w:val="00B13B7F"/>
    <w:rsid w:val="00B14CAA"/>
    <w:rsid w:val="00B163E4"/>
    <w:rsid w:val="00B257CE"/>
    <w:rsid w:val="00B406E6"/>
    <w:rsid w:val="00B4666B"/>
    <w:rsid w:val="00B4746C"/>
    <w:rsid w:val="00B52B21"/>
    <w:rsid w:val="00B65354"/>
    <w:rsid w:val="00B70BB4"/>
    <w:rsid w:val="00B71A0E"/>
    <w:rsid w:val="00B81765"/>
    <w:rsid w:val="00B832F5"/>
    <w:rsid w:val="00BA2266"/>
    <w:rsid w:val="00BA2FAB"/>
    <w:rsid w:val="00BB5E28"/>
    <w:rsid w:val="00BB6B80"/>
    <w:rsid w:val="00BC1D7A"/>
    <w:rsid w:val="00BD15F3"/>
    <w:rsid w:val="00BD7986"/>
    <w:rsid w:val="00BD79D3"/>
    <w:rsid w:val="00C00833"/>
    <w:rsid w:val="00C04F82"/>
    <w:rsid w:val="00C147B9"/>
    <w:rsid w:val="00C15AC0"/>
    <w:rsid w:val="00C24E8A"/>
    <w:rsid w:val="00C26030"/>
    <w:rsid w:val="00C36516"/>
    <w:rsid w:val="00C41091"/>
    <w:rsid w:val="00C42CB7"/>
    <w:rsid w:val="00C5276D"/>
    <w:rsid w:val="00C6232C"/>
    <w:rsid w:val="00C63056"/>
    <w:rsid w:val="00C661D1"/>
    <w:rsid w:val="00C67B8B"/>
    <w:rsid w:val="00C733FA"/>
    <w:rsid w:val="00C775BA"/>
    <w:rsid w:val="00C77BEF"/>
    <w:rsid w:val="00C81B84"/>
    <w:rsid w:val="00C85331"/>
    <w:rsid w:val="00C85A50"/>
    <w:rsid w:val="00C916E1"/>
    <w:rsid w:val="00C94D46"/>
    <w:rsid w:val="00C96805"/>
    <w:rsid w:val="00CA443A"/>
    <w:rsid w:val="00CB2461"/>
    <w:rsid w:val="00CB37FD"/>
    <w:rsid w:val="00CC4D65"/>
    <w:rsid w:val="00CC61E7"/>
    <w:rsid w:val="00CD161D"/>
    <w:rsid w:val="00CD25AD"/>
    <w:rsid w:val="00CD3FFC"/>
    <w:rsid w:val="00CD4664"/>
    <w:rsid w:val="00CE584E"/>
    <w:rsid w:val="00CF02F3"/>
    <w:rsid w:val="00CF565C"/>
    <w:rsid w:val="00D0079A"/>
    <w:rsid w:val="00D016A3"/>
    <w:rsid w:val="00D215EB"/>
    <w:rsid w:val="00D35C77"/>
    <w:rsid w:val="00D41C67"/>
    <w:rsid w:val="00D428AE"/>
    <w:rsid w:val="00D45BA2"/>
    <w:rsid w:val="00D50425"/>
    <w:rsid w:val="00D50ED8"/>
    <w:rsid w:val="00D512E3"/>
    <w:rsid w:val="00D602C9"/>
    <w:rsid w:val="00D64248"/>
    <w:rsid w:val="00D908EB"/>
    <w:rsid w:val="00D92183"/>
    <w:rsid w:val="00DA26A9"/>
    <w:rsid w:val="00DB01FF"/>
    <w:rsid w:val="00DB34ED"/>
    <w:rsid w:val="00DC0302"/>
    <w:rsid w:val="00DC7778"/>
    <w:rsid w:val="00DD5D12"/>
    <w:rsid w:val="00DE49F1"/>
    <w:rsid w:val="00DE7391"/>
    <w:rsid w:val="00DF2DB5"/>
    <w:rsid w:val="00DF6560"/>
    <w:rsid w:val="00E04CC0"/>
    <w:rsid w:val="00E136FF"/>
    <w:rsid w:val="00E2026B"/>
    <w:rsid w:val="00E318C6"/>
    <w:rsid w:val="00E32528"/>
    <w:rsid w:val="00E35F26"/>
    <w:rsid w:val="00E45F6A"/>
    <w:rsid w:val="00E4740F"/>
    <w:rsid w:val="00E53165"/>
    <w:rsid w:val="00E57F24"/>
    <w:rsid w:val="00E61EF7"/>
    <w:rsid w:val="00E663B4"/>
    <w:rsid w:val="00E80CEB"/>
    <w:rsid w:val="00E819A7"/>
    <w:rsid w:val="00E85313"/>
    <w:rsid w:val="00E85321"/>
    <w:rsid w:val="00EA0052"/>
    <w:rsid w:val="00EA5103"/>
    <w:rsid w:val="00EA6FB9"/>
    <w:rsid w:val="00EB3D89"/>
    <w:rsid w:val="00EB5E6A"/>
    <w:rsid w:val="00EB6DEF"/>
    <w:rsid w:val="00EC2AD7"/>
    <w:rsid w:val="00ED7DE0"/>
    <w:rsid w:val="00EE7891"/>
    <w:rsid w:val="00EF49FE"/>
    <w:rsid w:val="00EF5341"/>
    <w:rsid w:val="00F02EAB"/>
    <w:rsid w:val="00F04908"/>
    <w:rsid w:val="00F07C21"/>
    <w:rsid w:val="00F12EF6"/>
    <w:rsid w:val="00F1388D"/>
    <w:rsid w:val="00F13916"/>
    <w:rsid w:val="00F168C2"/>
    <w:rsid w:val="00F2049A"/>
    <w:rsid w:val="00F21065"/>
    <w:rsid w:val="00F24CB4"/>
    <w:rsid w:val="00F31D54"/>
    <w:rsid w:val="00F43465"/>
    <w:rsid w:val="00F45475"/>
    <w:rsid w:val="00F64E72"/>
    <w:rsid w:val="00F70C7D"/>
    <w:rsid w:val="00F9272E"/>
    <w:rsid w:val="00F95236"/>
    <w:rsid w:val="00F97743"/>
    <w:rsid w:val="00F97C1D"/>
    <w:rsid w:val="00FA0C98"/>
    <w:rsid w:val="00FA6114"/>
    <w:rsid w:val="00FA6DAF"/>
    <w:rsid w:val="00FB1BDD"/>
    <w:rsid w:val="00FC1F7C"/>
    <w:rsid w:val="00FC6884"/>
    <w:rsid w:val="00FE1185"/>
    <w:rsid w:val="00FE62F3"/>
    <w:rsid w:val="00FF71D2"/>
    <w:rsid w:val="03DB240E"/>
    <w:rsid w:val="08B31007"/>
    <w:rsid w:val="0D10137A"/>
    <w:rsid w:val="0E5055E0"/>
    <w:rsid w:val="120E7E53"/>
    <w:rsid w:val="15C26F8A"/>
    <w:rsid w:val="1A2226ED"/>
    <w:rsid w:val="1B2418A5"/>
    <w:rsid w:val="1FBFC074"/>
    <w:rsid w:val="23360FB7"/>
    <w:rsid w:val="265363FD"/>
    <w:rsid w:val="295D729E"/>
    <w:rsid w:val="33305A23"/>
    <w:rsid w:val="36FB9E1F"/>
    <w:rsid w:val="3BDA652C"/>
    <w:rsid w:val="3BFA3B96"/>
    <w:rsid w:val="3CEF3472"/>
    <w:rsid w:val="3EFF16E9"/>
    <w:rsid w:val="5B12588A"/>
    <w:rsid w:val="5C172F4C"/>
    <w:rsid w:val="69CB5582"/>
    <w:rsid w:val="6D3C6797"/>
    <w:rsid w:val="6F7E6BF3"/>
    <w:rsid w:val="77644920"/>
    <w:rsid w:val="77CF73AC"/>
    <w:rsid w:val="78FF0116"/>
    <w:rsid w:val="7BFF2E69"/>
    <w:rsid w:val="B7DDD54D"/>
    <w:rsid w:val="E3FFE6ED"/>
    <w:rsid w:val="F5DB8A63"/>
    <w:rsid w:val="F797912E"/>
    <w:rsid w:val="FE7B4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20"/>
    <w:autoRedefine/>
    <w:qFormat/>
    <w:uiPriority w:val="0"/>
    <w:pPr>
      <w:jc w:val="left"/>
    </w:pPr>
  </w:style>
  <w:style w:type="paragraph" w:styleId="3">
    <w:name w:val="footer"/>
    <w:basedOn w:val="1"/>
    <w:link w:val="16"/>
    <w:autoRedefine/>
    <w:qFormat/>
    <w:uiPriority w:val="0"/>
    <w:pPr>
      <w:tabs>
        <w:tab w:val="center" w:pos="4153"/>
        <w:tab w:val="right" w:pos="8306"/>
      </w:tabs>
      <w:snapToGrid w:val="0"/>
      <w:jc w:val="left"/>
    </w:pPr>
    <w:rPr>
      <w:sz w:val="18"/>
      <w:szCs w:val="18"/>
    </w:rPr>
  </w:style>
  <w:style w:type="paragraph" w:styleId="4">
    <w:name w:val="header"/>
    <w:basedOn w:val="1"/>
    <w:link w:val="17"/>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6">
    <w:name w:val="annotation subject"/>
    <w:basedOn w:val="2"/>
    <w:next w:val="2"/>
    <w:link w:val="21"/>
    <w:autoRedefine/>
    <w:qFormat/>
    <w:uiPriority w:val="0"/>
    <w:rPr>
      <w:b/>
      <w:bCs/>
    </w:rPr>
  </w:style>
  <w:style w:type="table" w:styleId="8">
    <w:name w:val="Table Grid"/>
    <w:basedOn w:val="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autoRedefine/>
    <w:qFormat/>
    <w:uiPriority w:val="0"/>
    <w:rPr>
      <w:color w:val="0000FF" w:themeColor="hyperlink"/>
      <w:u w:val="single"/>
      <w14:textFill>
        <w14:solidFill>
          <w14:schemeClr w14:val="hlink"/>
        </w14:solidFill>
      </w14:textFill>
    </w:rPr>
  </w:style>
  <w:style w:type="character" w:styleId="11">
    <w:name w:val="annotation reference"/>
    <w:basedOn w:val="9"/>
    <w:autoRedefine/>
    <w:qFormat/>
    <w:uiPriority w:val="0"/>
    <w:rPr>
      <w:sz w:val="21"/>
      <w:szCs w:val="21"/>
    </w:rPr>
  </w:style>
  <w:style w:type="paragraph" w:customStyle="1" w:styleId="12">
    <w:name w:val="_Style 6"/>
    <w:basedOn w:val="1"/>
    <w:autoRedefine/>
    <w:qFormat/>
    <w:uiPriority w:val="34"/>
    <w:pPr>
      <w:ind w:firstLine="420" w:firstLineChars="200"/>
    </w:pPr>
    <w:rPr>
      <w:rFonts w:ascii="Calibri" w:hAnsi="Calibri"/>
      <w:szCs w:val="22"/>
    </w:rPr>
  </w:style>
  <w:style w:type="paragraph" w:customStyle="1" w:styleId="13">
    <w:name w:val="Char Char Char"/>
    <w:basedOn w:val="1"/>
    <w:autoRedefine/>
    <w:qFormat/>
    <w:uiPriority w:val="0"/>
    <w:rPr>
      <w:szCs w:val="21"/>
    </w:rPr>
  </w:style>
  <w:style w:type="paragraph" w:customStyle="1" w:styleId="14">
    <w:name w:val="Char Char Char Char Char Char Char Char Char Char Char Char Char Char Char Char"/>
    <w:basedOn w:val="1"/>
    <w:autoRedefine/>
    <w:qFormat/>
    <w:uiPriority w:val="0"/>
  </w:style>
  <w:style w:type="paragraph" w:customStyle="1" w:styleId="15">
    <w:name w:val="Char Char Char1"/>
    <w:basedOn w:val="1"/>
    <w:autoRedefine/>
    <w:qFormat/>
    <w:uiPriority w:val="0"/>
  </w:style>
  <w:style w:type="character" w:customStyle="1" w:styleId="16">
    <w:name w:val="页脚 Char"/>
    <w:basedOn w:val="9"/>
    <w:link w:val="3"/>
    <w:autoRedefine/>
    <w:qFormat/>
    <w:uiPriority w:val="0"/>
    <w:rPr>
      <w:kern w:val="2"/>
      <w:sz w:val="18"/>
      <w:szCs w:val="18"/>
    </w:rPr>
  </w:style>
  <w:style w:type="character" w:customStyle="1" w:styleId="17">
    <w:name w:val="页眉 Char"/>
    <w:basedOn w:val="9"/>
    <w:link w:val="4"/>
    <w:autoRedefine/>
    <w:qFormat/>
    <w:uiPriority w:val="0"/>
    <w:rPr>
      <w:kern w:val="2"/>
      <w:sz w:val="18"/>
      <w:szCs w:val="18"/>
    </w:rPr>
  </w:style>
  <w:style w:type="character" w:customStyle="1" w:styleId="18">
    <w:name w:val="未处理的提及1"/>
    <w:basedOn w:val="9"/>
    <w:autoRedefine/>
    <w:semiHidden/>
    <w:unhideWhenUsed/>
    <w:qFormat/>
    <w:uiPriority w:val="99"/>
    <w:rPr>
      <w:color w:val="605E5C"/>
      <w:shd w:val="clear" w:color="auto" w:fill="E1DFDD"/>
    </w:rPr>
  </w:style>
  <w:style w:type="paragraph" w:styleId="19">
    <w:name w:val="List Paragraph"/>
    <w:basedOn w:val="1"/>
    <w:autoRedefine/>
    <w:unhideWhenUsed/>
    <w:qFormat/>
    <w:uiPriority w:val="99"/>
    <w:pPr>
      <w:ind w:firstLine="420" w:firstLineChars="200"/>
    </w:pPr>
  </w:style>
  <w:style w:type="character" w:customStyle="1" w:styleId="20">
    <w:name w:val="批注文字 Char"/>
    <w:basedOn w:val="9"/>
    <w:link w:val="2"/>
    <w:autoRedefine/>
    <w:qFormat/>
    <w:uiPriority w:val="0"/>
    <w:rPr>
      <w:kern w:val="2"/>
      <w:sz w:val="21"/>
      <w:szCs w:val="24"/>
    </w:rPr>
  </w:style>
  <w:style w:type="character" w:customStyle="1" w:styleId="21">
    <w:name w:val="批注主题 Char"/>
    <w:basedOn w:val="20"/>
    <w:link w:val="6"/>
    <w:autoRedefine/>
    <w:qFormat/>
    <w:uiPriority w:val="0"/>
    <w:rPr>
      <w:b/>
      <w:bCs/>
      <w:kern w:val="2"/>
      <w:sz w:val="21"/>
      <w:szCs w:val="24"/>
    </w:rPr>
  </w:style>
  <w:style w:type="paragraph" w:customStyle="1" w:styleId="22">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408</Words>
  <Characters>2328</Characters>
  <Lines>19</Lines>
  <Paragraphs>5</Paragraphs>
  <TotalTime>1097</TotalTime>
  <ScaleCrop>false</ScaleCrop>
  <LinksUpToDate>false</LinksUpToDate>
  <CharactersWithSpaces>2731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2024-01-31T08:50:00Z</dcterms:created>
  <dc:creator>微软用户</dc:creator>
  <cp:lastModifiedBy>Shadows 。</cp:lastModifiedBy>
  <cp:lastPrinted>2014-02-21T05:34:00Z</cp:lastPrinted>
  <dcterms:modified xsi:type="dcterms:W3CDTF">2024-02-02T02:27:11Z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3378DF92D5494EA79182626F58817F75</vt:lpwstr>
  </property>
</Properties>
</file>