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240" w:lineRule="atLeast"/>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 xml:space="preserve">证券简称：麒麟信安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w:t>
      </w:r>
      <w:r>
        <w:rPr>
          <w:rFonts w:ascii="宋体" w:hAnsi="宋体" w:eastAsia="宋体" w:cs="Times New Roman"/>
          <w:b/>
          <w:bCs/>
          <w:color w:val="000000"/>
          <w:sz w:val="24"/>
          <w:szCs w:val="24"/>
        </w:rPr>
        <w:t xml:space="preserve"> </w:t>
      </w:r>
      <w:r>
        <w:rPr>
          <w:rFonts w:hint="eastAsia" w:ascii="宋体" w:hAnsi="宋体" w:eastAsia="宋体" w:cs="Times New Roman"/>
          <w:b/>
          <w:bCs/>
          <w:color w:val="000000"/>
          <w:sz w:val="24"/>
          <w:szCs w:val="24"/>
        </w:rPr>
        <w:t xml:space="preserve"> 证券代码：6</w:t>
      </w:r>
      <w:r>
        <w:rPr>
          <w:rFonts w:ascii="宋体" w:hAnsi="宋体" w:eastAsia="宋体" w:cs="Times New Roman"/>
          <w:b/>
          <w:bCs/>
          <w:color w:val="000000"/>
          <w:sz w:val="24"/>
          <w:szCs w:val="24"/>
        </w:rPr>
        <w:t>88152</w:t>
      </w:r>
    </w:p>
    <w:p>
      <w:pPr>
        <w:snapToGrid w:val="0"/>
        <w:spacing w:before="468" w:beforeLines="150" w:after="156" w:afterLines="50" w:line="240" w:lineRule="atLeast"/>
        <w:ind w:firstLine="602" w:firstLineChars="200"/>
        <w:rPr>
          <w:rFonts w:ascii="宋体" w:hAnsi="宋体" w:eastAsia="宋体" w:cs="Times New Roman"/>
          <w:b/>
          <w:bCs/>
          <w:color w:val="000000"/>
          <w:sz w:val="30"/>
          <w:szCs w:val="30"/>
        </w:rPr>
      </w:pPr>
      <w:r>
        <w:rPr>
          <w:rFonts w:hint="eastAsia" w:ascii="宋体" w:hAnsi="宋体" w:eastAsia="宋体" w:cs="Times New Roman"/>
          <w:b/>
          <w:bCs/>
          <w:color w:val="000000"/>
          <w:sz w:val="30"/>
          <w:szCs w:val="30"/>
        </w:rPr>
        <w:t>湖南麒麟信安科技股份有限公司投资者关系活动记录表</w:t>
      </w:r>
    </w:p>
    <w:p>
      <w:pPr>
        <w:snapToGrid w:val="0"/>
        <w:spacing w:before="156" w:beforeLines="50" w:line="240" w:lineRule="atLeast"/>
        <w:ind w:firstLine="482" w:firstLineChars="200"/>
        <w:jc w:val="center"/>
        <w:rPr>
          <w:rFonts w:ascii="宋体" w:hAnsi="宋体" w:eastAsia="宋体" w:cs="Times New Roman"/>
          <w:b/>
          <w:bCs/>
          <w:color w:val="000000"/>
          <w:sz w:val="24"/>
          <w:szCs w:val="24"/>
        </w:rPr>
      </w:pPr>
      <w:r>
        <w:rPr>
          <w:rFonts w:hint="eastAsia" w:ascii="宋体" w:hAnsi="宋体" w:eastAsia="宋体" w:cs="Times New Roman"/>
          <w:b/>
          <w:bCs/>
          <w:color w:val="000000"/>
          <w:sz w:val="24"/>
          <w:szCs w:val="24"/>
        </w:rPr>
        <w:t>（2</w:t>
      </w:r>
      <w:r>
        <w:rPr>
          <w:rFonts w:ascii="宋体" w:hAnsi="宋体" w:eastAsia="宋体" w:cs="Times New Roman"/>
          <w:b/>
          <w:bCs/>
          <w:color w:val="000000"/>
          <w:sz w:val="24"/>
          <w:szCs w:val="24"/>
        </w:rPr>
        <w:t>02</w:t>
      </w:r>
      <w:r>
        <w:rPr>
          <w:rFonts w:hint="eastAsia" w:ascii="宋体" w:hAnsi="宋体" w:eastAsia="宋体" w:cs="Times New Roman"/>
          <w:b/>
          <w:bCs/>
          <w:color w:val="000000"/>
          <w:sz w:val="24"/>
          <w:szCs w:val="24"/>
        </w:rPr>
        <w:t>4年2月4日）</w:t>
      </w:r>
    </w:p>
    <w:p>
      <w:pPr>
        <w:snapToGrid w:val="0"/>
        <w:spacing w:before="156" w:beforeLines="50" w:after="156" w:afterLines="50" w:line="240" w:lineRule="atLeast"/>
        <w:ind w:firstLine="420" w:firstLineChars="200"/>
        <w:jc w:val="right"/>
        <w:rPr>
          <w:rFonts w:ascii="宋体" w:hAnsi="宋体" w:eastAsia="宋体" w:cs="Times New Roman"/>
          <w:color w:val="000000"/>
          <w:szCs w:val="21"/>
        </w:rPr>
      </w:pPr>
      <w:r>
        <w:rPr>
          <w:rFonts w:hint="eastAsia" w:ascii="宋体" w:hAnsi="宋体" w:eastAsia="宋体" w:cs="Times New Roman"/>
          <w:color w:val="000000"/>
          <w:szCs w:val="21"/>
        </w:rPr>
        <w:t>编号：2</w:t>
      </w:r>
      <w:r>
        <w:rPr>
          <w:rFonts w:ascii="宋体" w:hAnsi="宋体" w:eastAsia="宋体" w:cs="Times New Roman"/>
          <w:color w:val="000000"/>
          <w:szCs w:val="21"/>
        </w:rPr>
        <w:t>02</w:t>
      </w:r>
      <w:r>
        <w:rPr>
          <w:rFonts w:hint="eastAsia" w:ascii="宋体" w:hAnsi="宋体" w:eastAsia="宋体" w:cs="Times New Roman"/>
          <w:color w:val="000000"/>
          <w:szCs w:val="21"/>
        </w:rPr>
        <w:t>4</w:t>
      </w:r>
      <w:r>
        <w:rPr>
          <w:rFonts w:ascii="宋体" w:hAnsi="宋体" w:eastAsia="宋体" w:cs="Times New Roman"/>
          <w:color w:val="000000"/>
          <w:szCs w:val="21"/>
        </w:rPr>
        <w:t>-0</w:t>
      </w:r>
      <w:r>
        <w:rPr>
          <w:rFonts w:hint="eastAsia" w:ascii="宋体" w:hAnsi="宋体" w:eastAsia="宋体" w:cs="Times New Roman"/>
          <w:color w:val="000000"/>
          <w:szCs w:val="21"/>
        </w:rPr>
        <w:t>01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投资者关系活动类别</w:t>
            </w:r>
          </w:p>
        </w:tc>
        <w:tc>
          <w:tcPr>
            <w:tcW w:w="5952" w:type="dxa"/>
            <w:vAlign w:val="center"/>
          </w:tcPr>
          <w:p>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□特定对象调研          □分析师会议</w:t>
            </w:r>
          </w:p>
          <w:p>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□媒体采访              □业绩说明会</w:t>
            </w:r>
          </w:p>
          <w:p>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□新闻发布会            □路演活动</w:t>
            </w:r>
          </w:p>
          <w:p>
            <w:pPr>
              <w:snapToGrid w:val="0"/>
              <w:spacing w:before="156" w:beforeLines="50" w:after="156" w:afterLines="50" w:line="240" w:lineRule="atLeast"/>
              <w:ind w:left="3120" w:hanging="3120" w:hangingChars="13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□现场参观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参与单位名称</w:t>
            </w:r>
          </w:p>
        </w:tc>
        <w:tc>
          <w:tcPr>
            <w:tcW w:w="5952" w:type="dxa"/>
            <w:vAlign w:val="center"/>
          </w:tcPr>
          <w:p>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天风证券、信达澳亚、华夏基金、博时基金、中信证券、招商证券、嘉实基金、长城基金、华安基金等近50家机构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405" w:type="dxa"/>
            <w:vAlign w:val="center"/>
          </w:tcPr>
          <w:p>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会议时间</w:t>
            </w:r>
          </w:p>
        </w:tc>
        <w:tc>
          <w:tcPr>
            <w:tcW w:w="5952" w:type="dxa"/>
            <w:vAlign w:val="center"/>
          </w:tcPr>
          <w:p>
            <w:pPr>
              <w:snapToGrid w:val="0"/>
              <w:spacing w:before="156" w:beforeLines="50" w:after="156" w:afterLines="50" w:line="240" w:lineRule="atLeast"/>
              <w:ind w:left="1680" w:hanging="1680" w:hangingChars="700"/>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2024年2月4日 20:00-21:00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405" w:type="dxa"/>
            <w:vAlign w:val="center"/>
          </w:tcPr>
          <w:p>
            <w:pPr>
              <w:snapToGrid w:val="0"/>
              <w:spacing w:before="156" w:beforeLines="50" w:after="156" w:afterLines="50" w:line="240" w:lineRule="atLeast"/>
              <w:ind w:firstLine="723" w:firstLineChars="3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会议地点</w:t>
            </w:r>
          </w:p>
        </w:tc>
        <w:tc>
          <w:tcPr>
            <w:tcW w:w="5952" w:type="dxa"/>
            <w:vAlign w:val="center"/>
          </w:tcPr>
          <w:p>
            <w:pPr>
              <w:snapToGrid w:val="0"/>
              <w:spacing w:line="276" w:lineRule="auto"/>
              <w:rPr>
                <w:rFonts w:ascii="宋体" w:hAnsi="宋体" w:cs="Times New Roman"/>
                <w:color w:val="000000"/>
                <w:kern w:val="0"/>
                <w:sz w:val="24"/>
                <w:szCs w:val="24"/>
              </w:rPr>
            </w:pPr>
            <w:r>
              <w:rPr>
                <w:rFonts w:hint="eastAsia" w:ascii="宋体" w:hAnsi="宋体" w:eastAsia="宋体" w:cs="Times New Roman"/>
                <w:color w:val="000000"/>
                <w:kern w:val="0"/>
                <w:sz w:val="24"/>
                <w:szCs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405" w:type="dxa"/>
            <w:vAlign w:val="center"/>
          </w:tcPr>
          <w:p>
            <w:pPr>
              <w:snapToGrid w:val="0"/>
              <w:spacing w:before="156" w:beforeLines="50" w:after="156" w:afterLines="50" w:line="240" w:lineRule="atLeast"/>
              <w:ind w:firstLine="482" w:firstLineChars="200"/>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公司接待人员</w:t>
            </w:r>
          </w:p>
        </w:tc>
        <w:tc>
          <w:tcPr>
            <w:tcW w:w="5952" w:type="dxa"/>
            <w:vAlign w:val="center"/>
          </w:tcPr>
          <w:p>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总经理：刘文清先生</w:t>
            </w:r>
          </w:p>
          <w:p>
            <w:pPr>
              <w:snapToGrid w:val="0"/>
              <w:spacing w:line="276" w:lineRule="auto"/>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董事会秘书：杨子嫣女士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405" w:type="dxa"/>
            <w:vAlign w:val="center"/>
          </w:tcPr>
          <w:p>
            <w:pPr>
              <w:snapToGrid w:val="0"/>
              <w:spacing w:before="156" w:beforeLines="50" w:after="156" w:afterLines="50" w:line="240" w:lineRule="atLeast"/>
              <w:jc w:val="center"/>
              <w:rPr>
                <w:rFonts w:ascii="宋体" w:hAnsi="宋体" w:eastAsia="宋体" w:cs="Times New Roman"/>
                <w:b/>
                <w:bCs/>
                <w:color w:val="000000"/>
                <w:kern w:val="0"/>
                <w:sz w:val="24"/>
                <w:szCs w:val="24"/>
              </w:rPr>
            </w:pPr>
          </w:p>
          <w:p>
            <w:pPr>
              <w:snapToGrid w:val="0"/>
              <w:spacing w:before="156" w:beforeLines="50" w:after="156" w:afterLines="50" w:line="240" w:lineRule="atLeast"/>
              <w:jc w:val="center"/>
              <w:rPr>
                <w:rFonts w:ascii="宋体" w:hAnsi="宋体" w:eastAsia="宋体" w:cs="Times New Roman"/>
                <w:b/>
                <w:bCs/>
                <w:color w:val="000000"/>
                <w:kern w:val="0"/>
                <w:sz w:val="24"/>
                <w:szCs w:val="24"/>
              </w:rPr>
            </w:pPr>
          </w:p>
          <w:p>
            <w:pPr>
              <w:snapToGrid w:val="0"/>
              <w:spacing w:before="156" w:beforeLines="50" w:after="156" w:afterLines="50" w:line="240" w:lineRule="atLeast"/>
              <w:jc w:val="center"/>
              <w:rPr>
                <w:rFonts w:ascii="宋体" w:hAnsi="宋体" w:eastAsia="宋体" w:cs="Times New Roman"/>
                <w:b/>
                <w:bCs/>
                <w:color w:val="000000"/>
                <w:kern w:val="0"/>
                <w:sz w:val="24"/>
                <w:szCs w:val="24"/>
              </w:rPr>
            </w:pPr>
          </w:p>
          <w:p>
            <w:pPr>
              <w:snapToGrid w:val="0"/>
              <w:spacing w:before="156" w:beforeLines="50" w:after="156" w:afterLines="50" w:line="240" w:lineRule="atLeast"/>
              <w:jc w:val="center"/>
              <w:rPr>
                <w:rFonts w:ascii="宋体" w:hAnsi="宋体" w:eastAsia="宋体" w:cs="Times New Roman"/>
                <w:b/>
                <w:bCs/>
                <w:color w:val="000000"/>
                <w:kern w:val="0"/>
                <w:sz w:val="24"/>
                <w:szCs w:val="24"/>
              </w:rPr>
            </w:pPr>
          </w:p>
          <w:p>
            <w:pPr>
              <w:snapToGrid w:val="0"/>
              <w:spacing w:before="156" w:beforeLines="50" w:after="156" w:afterLines="50" w:line="240" w:lineRule="atLeast"/>
              <w:jc w:val="center"/>
              <w:rPr>
                <w:rFonts w:ascii="宋体" w:hAnsi="宋体" w:eastAsia="宋体" w:cs="Times New Roman"/>
                <w:b/>
                <w:bCs/>
                <w:color w:val="000000"/>
                <w:kern w:val="0"/>
                <w:sz w:val="24"/>
                <w:szCs w:val="24"/>
              </w:rPr>
            </w:pPr>
          </w:p>
          <w:p>
            <w:pPr>
              <w:snapToGrid w:val="0"/>
              <w:spacing w:before="156" w:beforeLines="50" w:after="156" w:afterLines="50" w:line="240" w:lineRule="atLeast"/>
              <w:jc w:val="center"/>
              <w:rPr>
                <w:rFonts w:ascii="宋体" w:hAnsi="宋体" w:eastAsia="宋体" w:cs="Times New Roman"/>
                <w:b/>
                <w:bCs/>
                <w:color w:val="000000"/>
                <w:kern w:val="0"/>
                <w:sz w:val="24"/>
                <w:szCs w:val="24"/>
              </w:rPr>
            </w:pPr>
          </w:p>
          <w:p>
            <w:pPr>
              <w:snapToGrid w:val="0"/>
              <w:spacing w:before="156" w:beforeLines="50" w:after="156" w:afterLines="50" w:line="240" w:lineRule="atLeast"/>
              <w:rPr>
                <w:rFonts w:ascii="宋体" w:hAnsi="宋体" w:eastAsia="宋体" w:cs="Times New Roman"/>
                <w:b/>
                <w:bCs/>
                <w:color w:val="000000"/>
                <w:kern w:val="0"/>
                <w:sz w:val="24"/>
                <w:szCs w:val="24"/>
              </w:rPr>
            </w:pPr>
          </w:p>
          <w:p>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投资者关系</w:t>
            </w:r>
          </w:p>
          <w:p>
            <w:pPr>
              <w:snapToGrid w:val="0"/>
              <w:spacing w:before="156" w:beforeLines="50" w:after="156" w:afterLines="50" w:line="240" w:lineRule="atLeast"/>
              <w:jc w:val="center"/>
              <w:rPr>
                <w:rFonts w:ascii="宋体" w:hAnsi="宋体" w:eastAsia="宋体" w:cs="Times New Roman"/>
                <w:b/>
                <w:bCs/>
                <w:color w:val="000000"/>
                <w:kern w:val="0"/>
                <w:sz w:val="24"/>
                <w:szCs w:val="24"/>
              </w:rPr>
            </w:pPr>
            <w:r>
              <w:rPr>
                <w:rFonts w:hint="eastAsia" w:ascii="宋体" w:hAnsi="宋体" w:eastAsia="宋体" w:cs="Times New Roman"/>
                <w:b/>
                <w:bCs/>
                <w:color w:val="000000"/>
                <w:kern w:val="0"/>
                <w:sz w:val="24"/>
                <w:szCs w:val="24"/>
              </w:rPr>
              <w:t>活动主要内容介绍</w:t>
            </w:r>
          </w:p>
        </w:tc>
        <w:tc>
          <w:tcPr>
            <w:tcW w:w="5952" w:type="dxa"/>
            <w:vAlign w:val="center"/>
          </w:tcPr>
          <w:p>
            <w:pPr>
              <w:spacing w:before="156" w:beforeLines="50" w:after="156" w:afterLines="50"/>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Q：关注到近期公司公告的军采网暂停事项，可以简单介绍下吗？如何看到相关影响？</w:t>
            </w:r>
          </w:p>
          <w:p>
            <w:pPr>
              <w:pStyle w:val="14"/>
              <w:numPr>
                <w:ilvl w:val="255"/>
                <w:numId w:val="0"/>
              </w:numPr>
              <w:spacing w:before="157" w:after="157"/>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A</w:t>
            </w:r>
            <w:r>
              <w:rPr>
                <w:rFonts w:ascii="宋体" w:hAnsi="宋体" w:eastAsia="宋体" w:cs="Times New Roman"/>
                <w:kern w:val="0"/>
                <w:sz w:val="24"/>
                <w:szCs w:val="24"/>
              </w:rPr>
              <w:t>：</w:t>
            </w:r>
            <w:r>
              <w:rPr>
                <w:rFonts w:hint="eastAsia" w:ascii="宋体" w:hAnsi="宋体" w:eastAsia="宋体" w:cs="Times New Roman"/>
                <w:kern w:val="0"/>
                <w:sz w:val="24"/>
                <w:szCs w:val="24"/>
              </w:rPr>
              <w:t>该事项源于公司今年年初参与的国防科大某分校区的云平台系统建设项目，项目整体金额较小。目前该事项处于调查阶段，公司了解该情况后立即组织了自查，已经在按照流程积极推进沟通，争取尽快消除该事项对公司的影响。</w:t>
            </w:r>
          </w:p>
          <w:p>
            <w:pPr>
              <w:pStyle w:val="14"/>
              <w:numPr>
                <w:ilvl w:val="255"/>
                <w:numId w:val="0"/>
              </w:numPr>
              <w:spacing w:before="157" w:after="157"/>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目前公司整体经营情况正常，公司在暂停日前已签订的相关合同仍可以正常执行，该事项对公司在手订单的执行和验收预计不会产生影响。暂停期间，公司产品仍可供应给军工集团、渠道及行业客户。此外，该事项也不影响公司电力等其他下游客户行业的业务开展。因此公司评估该事项不会影响公司的持续经营和中长期良性发展。</w:t>
            </w:r>
          </w:p>
          <w:p>
            <w:pPr>
              <w:numPr>
                <w:ilvl w:val="255"/>
                <w:numId w:val="0"/>
              </w:numPr>
              <w:spacing w:before="157" w:after="157"/>
              <w:rPr>
                <w:rFonts w:ascii="宋体" w:hAnsi="宋体" w:eastAsia="宋体" w:cs="Times New Roman"/>
                <w:kern w:val="0"/>
                <w:sz w:val="24"/>
                <w:szCs w:val="24"/>
              </w:rPr>
            </w:pPr>
          </w:p>
          <w:p>
            <w:pPr>
              <w:widowControl/>
              <w:spacing w:before="156" w:beforeLines="50" w:after="156" w:afterLines="50"/>
              <w:ind w:firstLine="482" w:firstLineChars="200"/>
              <w:rPr>
                <w:rFonts w:ascii="宋体" w:hAnsi="宋体" w:eastAsia="宋体" w:cs="Times New Roman"/>
                <w:kern w:val="0"/>
                <w:sz w:val="24"/>
                <w:szCs w:val="24"/>
              </w:rPr>
            </w:pPr>
            <w:r>
              <w:rPr>
                <w:rFonts w:hint="eastAsia" w:ascii="宋体" w:hAnsi="宋体" w:eastAsia="宋体" w:cs="Times New Roman"/>
                <w:b/>
                <w:bCs/>
                <w:kern w:val="0"/>
                <w:sz w:val="24"/>
                <w:szCs w:val="24"/>
              </w:rPr>
              <w:t>Q</w:t>
            </w:r>
            <w:r>
              <w:rPr>
                <w:rFonts w:ascii="宋体" w:hAnsi="宋体" w:eastAsia="宋体" w:cs="Times New Roman"/>
                <w:b/>
                <w:bCs/>
                <w:kern w:val="0"/>
                <w:sz w:val="24"/>
                <w:szCs w:val="24"/>
              </w:rPr>
              <w:t>、除国防外，公司</w:t>
            </w:r>
            <w:r>
              <w:rPr>
                <w:rFonts w:hint="eastAsia" w:ascii="宋体" w:hAnsi="宋体" w:eastAsia="宋体" w:cs="Times New Roman"/>
                <w:b/>
                <w:bCs/>
                <w:kern w:val="0"/>
                <w:sz w:val="24"/>
                <w:szCs w:val="24"/>
              </w:rPr>
              <w:t>目前</w:t>
            </w:r>
            <w:r>
              <w:rPr>
                <w:rFonts w:ascii="宋体" w:hAnsi="宋体" w:eastAsia="宋体" w:cs="Times New Roman"/>
                <w:b/>
                <w:bCs/>
                <w:kern w:val="0"/>
                <w:sz w:val="24"/>
                <w:szCs w:val="24"/>
              </w:rPr>
              <w:t>在电力</w:t>
            </w:r>
            <w:r>
              <w:rPr>
                <w:rFonts w:hint="eastAsia" w:ascii="宋体" w:hAnsi="宋体" w:eastAsia="宋体" w:cs="Times New Roman"/>
                <w:b/>
                <w:bCs/>
                <w:kern w:val="0"/>
                <w:sz w:val="24"/>
                <w:szCs w:val="24"/>
              </w:rPr>
              <w:t>及</w:t>
            </w:r>
            <w:r>
              <w:rPr>
                <w:rFonts w:ascii="宋体" w:hAnsi="宋体" w:eastAsia="宋体" w:cs="Times New Roman"/>
                <w:b/>
                <w:bCs/>
                <w:kern w:val="0"/>
                <w:sz w:val="24"/>
                <w:szCs w:val="24"/>
              </w:rPr>
              <w:t>其他行业的布局及业务拓展情况如何？</w:t>
            </w:r>
          </w:p>
          <w:p>
            <w:pPr>
              <w:widowControl/>
              <w:spacing w:before="156" w:beforeLines="50" w:after="156" w:afterLines="5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A</w:t>
            </w:r>
            <w:r>
              <w:rPr>
                <w:rFonts w:ascii="宋体" w:hAnsi="宋体" w:eastAsia="宋体" w:cs="Times New Roman"/>
                <w:kern w:val="0"/>
                <w:sz w:val="24"/>
                <w:szCs w:val="24"/>
              </w:rPr>
              <w:t>：在电力行业，今年公司新增两个业务板块，一个是电网信通领域，一个是电力厂站端。在信通领域，目前公司操作系统产品已成功入围国网数字化部操作系统供应商名单，并中标了今年国网数字化部的第一个操作系统采购项目，以及南方电网信息类软硬件设备第一批框架项目。此外，面向电网调度控制领域应用，今年我们成功从主站端向厂站端拓展，与电力行业的重要平台厂商实现了业务合作，这将对我们后续操作系统产品的销售起到非常好的支撑。另外，公司积极布局电网新一代系统，公司操作系统已入围新一代的调度、配电、变电系统建设。同时，今年公司在既有风电领域业务基础上，突破了储能、水电、光伏等新能源领域的试点应用，公司商用密码产品也完成在电网的相关试点工作。后续，我们将会持续深耕电力行业，不断拓展新的应用领域，不断挖掘客户需求，导入新的产品。</w:t>
            </w:r>
          </w:p>
          <w:p>
            <w:pPr>
              <w:widowControl/>
              <w:spacing w:before="156" w:beforeLines="50" w:after="156" w:afterLines="5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2023年，</w:t>
            </w:r>
            <w:r>
              <w:rPr>
                <w:rFonts w:ascii="宋体" w:hAnsi="宋体" w:eastAsia="宋体" w:cs="Times New Roman"/>
                <w:kern w:val="0"/>
                <w:sz w:val="24"/>
                <w:szCs w:val="24"/>
              </w:rPr>
              <w:t>公司紧抓服务器操作系统CentOS迁移和信创建设的机遇</w:t>
            </w:r>
            <w:r>
              <w:rPr>
                <w:rFonts w:hint="eastAsia" w:ascii="宋体" w:hAnsi="宋体" w:eastAsia="宋体" w:cs="Times New Roman"/>
                <w:kern w:val="0"/>
                <w:sz w:val="24"/>
                <w:szCs w:val="24"/>
              </w:rPr>
              <w:t>，</w:t>
            </w:r>
            <w:r>
              <w:rPr>
                <w:rFonts w:ascii="宋体" w:hAnsi="宋体" w:eastAsia="宋体" w:cs="Times New Roman"/>
                <w:kern w:val="0"/>
                <w:sz w:val="24"/>
                <w:szCs w:val="24"/>
              </w:rPr>
              <w:t>引进</w:t>
            </w:r>
            <w:r>
              <w:rPr>
                <w:rFonts w:hint="eastAsia" w:ascii="宋体" w:hAnsi="宋体" w:eastAsia="宋体" w:cs="Times New Roman"/>
                <w:kern w:val="0"/>
                <w:sz w:val="24"/>
                <w:szCs w:val="24"/>
              </w:rPr>
              <w:t>专业</w:t>
            </w:r>
            <w:r>
              <w:rPr>
                <w:rFonts w:ascii="宋体" w:hAnsi="宋体" w:eastAsia="宋体" w:cs="Times New Roman"/>
                <w:kern w:val="0"/>
                <w:sz w:val="24"/>
                <w:szCs w:val="24"/>
              </w:rPr>
              <w:t>人才</w:t>
            </w:r>
            <w:r>
              <w:rPr>
                <w:rFonts w:hint="eastAsia" w:ascii="宋体" w:hAnsi="宋体" w:eastAsia="宋体" w:cs="Times New Roman"/>
                <w:kern w:val="0"/>
                <w:sz w:val="24"/>
                <w:szCs w:val="24"/>
              </w:rPr>
              <w:t>。</w:t>
            </w:r>
            <w:r>
              <w:rPr>
                <w:rFonts w:ascii="宋体" w:hAnsi="宋体" w:eastAsia="宋体" w:cs="Times New Roman"/>
                <w:kern w:val="0"/>
                <w:sz w:val="24"/>
                <w:szCs w:val="24"/>
              </w:rPr>
              <w:t>目前</w:t>
            </w:r>
            <w:r>
              <w:rPr>
                <w:rFonts w:hint="eastAsia" w:ascii="宋体" w:hAnsi="宋体" w:eastAsia="宋体" w:cs="Times New Roman"/>
                <w:kern w:val="0"/>
                <w:sz w:val="24"/>
                <w:szCs w:val="24"/>
              </w:rPr>
              <w:t>公司</w:t>
            </w:r>
            <w:r>
              <w:rPr>
                <w:rFonts w:ascii="宋体" w:hAnsi="宋体" w:eastAsia="宋体" w:cs="Times New Roman"/>
                <w:kern w:val="0"/>
                <w:sz w:val="24"/>
                <w:szCs w:val="24"/>
              </w:rPr>
              <w:t>在金融、能源、运营商、政务、交通、教育等多个应用领域的市场拓展已取得</w:t>
            </w:r>
            <w:r>
              <w:rPr>
                <w:rFonts w:hint="eastAsia" w:ascii="宋体" w:hAnsi="宋体" w:eastAsia="宋体" w:cs="Times New Roman"/>
                <w:kern w:val="0"/>
                <w:sz w:val="24"/>
                <w:szCs w:val="24"/>
              </w:rPr>
              <w:t>多个标杆案例的落地</w:t>
            </w:r>
            <w:r>
              <w:rPr>
                <w:rFonts w:ascii="宋体" w:hAnsi="宋体" w:eastAsia="宋体" w:cs="Times New Roman"/>
                <w:kern w:val="0"/>
                <w:sz w:val="24"/>
                <w:szCs w:val="24"/>
              </w:rPr>
              <w:t>，为中国移动、某金融信息公司、三湘银行、多地轨交通集团、黑龙江省某运营商及海南省社会保险中心等多家行业优质客户提供产品及服务</w:t>
            </w:r>
            <w:r>
              <w:rPr>
                <w:rFonts w:hint="eastAsia" w:ascii="宋体" w:hAnsi="宋体" w:eastAsia="宋体" w:cs="Times New Roman"/>
                <w:kern w:val="0"/>
                <w:sz w:val="24"/>
                <w:szCs w:val="24"/>
              </w:rPr>
              <w:t>，</w:t>
            </w:r>
            <w:r>
              <w:rPr>
                <w:rFonts w:ascii="宋体" w:hAnsi="宋体" w:eastAsia="宋体" w:cs="Times New Roman"/>
                <w:kern w:val="0"/>
                <w:sz w:val="24"/>
                <w:szCs w:val="24"/>
              </w:rPr>
              <w:t>并面向企事业单位客户私有云建设需求提供“一云多芯”解决方案，助力行业用户实现渐进式信创建设。</w:t>
            </w:r>
          </w:p>
          <w:p>
            <w:pPr>
              <w:widowControl/>
              <w:spacing w:before="156" w:beforeLines="50" w:after="156" w:afterLines="50"/>
              <w:ind w:firstLine="480" w:firstLineChars="200"/>
              <w:rPr>
                <w:rFonts w:ascii="宋体" w:hAnsi="宋体" w:eastAsia="宋体" w:cs="Times New Roman"/>
                <w:kern w:val="0"/>
                <w:sz w:val="24"/>
                <w:szCs w:val="24"/>
              </w:rPr>
            </w:pPr>
            <w:r>
              <w:rPr>
                <w:rFonts w:ascii="宋体" w:hAnsi="宋体" w:eastAsia="宋体" w:cs="Times New Roman"/>
                <w:kern w:val="0"/>
                <w:sz w:val="24"/>
                <w:szCs w:val="24"/>
              </w:rPr>
              <w:t>同时，公司加强了渠道建设，强化和中科软、慧点科技、易联达、先进数通等行业头部ISV及集成商伙伴的协作，将我们的操作系统、云桌面、轻量级云平台等产品与他们的行业应用联合打造成行业整体解决方案，拓展深入客户的核心业务。现在公司在全国已发展30多家核心伙伴以及超过100家的区域伙伴，并通过培训和认证赋能合作伙伴。</w:t>
            </w:r>
          </w:p>
          <w:p>
            <w:pPr>
              <w:widowControl/>
              <w:spacing w:before="156" w:beforeLines="50" w:after="156" w:afterLines="5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另外一方面，公司面向无人智能、物联网、多样性计算等技术发展和市场需求，公司在产品研发端加大投入，使能机器人、工控、云边端协同等用户创新场景。近期公司完成对“湖南超能机器人技术有限公司”的投资并发布了相关公告，公司与超能机器人的战略合作将有利于进一步推动公司基础软件业务面向无人智能、AI等应用场景的创新发展和战略布局，完善新应用场景下公司操作系统等产品和解决方案的研发，拓宽公司产业布局，提高公司市场竞争力。</w:t>
            </w:r>
          </w:p>
          <w:p>
            <w:pPr>
              <w:pStyle w:val="14"/>
              <w:numPr>
                <w:ilvl w:val="255"/>
                <w:numId w:val="0"/>
              </w:numPr>
              <w:ind w:firstLine="480" w:firstLineChars="200"/>
              <w:rPr>
                <w:rFonts w:ascii="宋体" w:hAnsi="宋体" w:eastAsia="宋体" w:cs="Times New Roman"/>
                <w:kern w:val="0"/>
                <w:sz w:val="24"/>
                <w:szCs w:val="24"/>
              </w:rPr>
            </w:pPr>
          </w:p>
          <w:p>
            <w:pPr>
              <w:pStyle w:val="14"/>
              <w:numPr>
                <w:ilvl w:val="255"/>
                <w:numId w:val="0"/>
              </w:numPr>
              <w:spacing w:before="157" w:after="157"/>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Q:了解公司已终止2023年股权激励计划，请问公司后续还会推出股权激励计划？</w:t>
            </w:r>
          </w:p>
          <w:p>
            <w:pPr>
              <w:pStyle w:val="14"/>
              <w:numPr>
                <w:ilvl w:val="255"/>
                <w:numId w:val="0"/>
              </w:numPr>
              <w:spacing w:before="157" w:after="157"/>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A：根据《上市公司股权激励管理办法》的规定,自终止限制性股票激励计划的董事会决议公告之日起3个月内,上市公司不得再审议股权激励计划。</w:t>
            </w:r>
          </w:p>
          <w:p>
            <w:pPr>
              <w:pStyle w:val="14"/>
              <w:numPr>
                <w:ilvl w:val="255"/>
                <w:numId w:val="0"/>
              </w:numPr>
              <w:spacing w:before="157" w:after="157"/>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为此，公司将根据相关法律法规规定，在充分考虑市场环境并结合公司实际情况的前提下，研究并择机推出更加切实有效的激励方式，健全长效激励机制，促进公司健康、持续发展，实现股东、员工与公司多方共赢。</w:t>
            </w:r>
          </w:p>
          <w:p>
            <w:pPr>
              <w:pStyle w:val="14"/>
              <w:numPr>
                <w:ilvl w:val="255"/>
                <w:numId w:val="0"/>
              </w:numPr>
              <w:spacing w:before="157" w:after="157"/>
              <w:ind w:firstLine="480" w:firstLineChars="200"/>
              <w:rPr>
                <w:rFonts w:ascii="宋体" w:hAnsi="宋体" w:eastAsia="宋体" w:cs="Times New Roman"/>
                <w:kern w:val="0"/>
                <w:sz w:val="24"/>
                <w:szCs w:val="24"/>
              </w:rPr>
            </w:pPr>
          </w:p>
          <w:p>
            <w:pPr>
              <w:pStyle w:val="14"/>
              <w:numPr>
                <w:ilvl w:val="255"/>
                <w:numId w:val="0"/>
              </w:numPr>
              <w:spacing w:before="157" w:after="157"/>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Q：据了解公司2023年相比2022年员工人数有比较大的增长，请问公司2024年人员招聘规划如何？</w:t>
            </w:r>
          </w:p>
          <w:p>
            <w:pPr>
              <w:pStyle w:val="14"/>
              <w:numPr>
                <w:ilvl w:val="255"/>
                <w:numId w:val="0"/>
              </w:numPr>
              <w:spacing w:before="157" w:after="157"/>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A：随着业务规模的逐步扩大，公司结合营销网络布局、产品创新升级方面的强烈需求引入了销售和研发技术方面的人才，2022年年底员工规模为579人，2023年底</w:t>
            </w:r>
            <w:r>
              <w:rPr>
                <w:rFonts w:hint="eastAsia" w:ascii="宋体" w:hAnsi="宋体" w:eastAsia="宋体" w:cs="Times New Roman"/>
                <w:kern w:val="0"/>
                <w:sz w:val="24"/>
                <w:szCs w:val="24"/>
                <w:lang w:val="en-US" w:eastAsia="zh-CN"/>
              </w:rPr>
              <w:t>约</w:t>
            </w:r>
            <w:r>
              <w:rPr>
                <w:rFonts w:hint="eastAsia" w:ascii="宋体" w:hAnsi="宋体" w:eastAsia="宋体" w:cs="Times New Roman"/>
                <w:kern w:val="0"/>
                <w:sz w:val="24"/>
                <w:szCs w:val="24"/>
              </w:rPr>
              <w:t>700人。未来公司将根据经营需求和市场环境，合理作出人员规划，对人员整体配置进行合理调整、优化，以保障公司业务的顺利开展。同时公司也会进一步加强运营管理，提质增</w:t>
            </w:r>
            <w:bookmarkStart w:id="0" w:name="_GoBack"/>
            <w:bookmarkEnd w:id="0"/>
            <w:r>
              <w:rPr>
                <w:rFonts w:hint="eastAsia" w:ascii="宋体" w:hAnsi="宋体" w:eastAsia="宋体" w:cs="Times New Roman"/>
                <w:kern w:val="0"/>
                <w:sz w:val="24"/>
                <w:szCs w:val="24"/>
              </w:rPr>
              <w:t>效，做好预算和费控工作，优化公司运营效率。</w:t>
            </w:r>
          </w:p>
          <w:p>
            <w:pPr>
              <w:pStyle w:val="14"/>
              <w:numPr>
                <w:ilvl w:val="255"/>
                <w:numId w:val="0"/>
              </w:numPr>
              <w:spacing w:before="157" w:after="157"/>
              <w:ind w:firstLine="482" w:firstLineChars="200"/>
              <w:rPr>
                <w:rFonts w:ascii="宋体" w:hAnsi="宋体" w:eastAsia="宋体" w:cs="Times New Roman"/>
                <w:b/>
                <w:bCs/>
                <w:kern w:val="0"/>
                <w:sz w:val="24"/>
                <w:szCs w:val="24"/>
              </w:rPr>
            </w:pPr>
          </w:p>
          <w:p>
            <w:pPr>
              <w:pStyle w:val="14"/>
              <w:numPr>
                <w:ilvl w:val="255"/>
                <w:numId w:val="0"/>
              </w:numPr>
              <w:spacing w:before="157" w:after="157"/>
              <w:ind w:firstLine="482" w:firstLineChars="200"/>
              <w:rPr>
                <w:rFonts w:ascii="宋体" w:hAnsi="宋体" w:eastAsia="宋体" w:cs="Times New Roman"/>
                <w:b/>
                <w:bCs/>
                <w:kern w:val="0"/>
                <w:sz w:val="24"/>
                <w:szCs w:val="24"/>
              </w:rPr>
            </w:pPr>
            <w:r>
              <w:rPr>
                <w:rFonts w:hint="eastAsia" w:ascii="宋体" w:hAnsi="宋体" w:eastAsia="宋体" w:cs="Times New Roman"/>
                <w:b/>
                <w:bCs/>
                <w:kern w:val="0"/>
                <w:sz w:val="24"/>
                <w:szCs w:val="24"/>
              </w:rPr>
              <w:t>Q：请问如何看待未来国产操作系统的市场空间以及公司未来的业务发展规划？</w:t>
            </w:r>
          </w:p>
          <w:p>
            <w:pPr>
              <w:pStyle w:val="14"/>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A：随着国家安全意识的提高，并受到CentOS停止维护等事件驱动，未来国产操作系统将会加快在更多的行业和领域实现规模化应用，公司将基于“操作系统及操作系统+”的战略持续创新发展，为用户打造安全可靠高效的基础软件平台。</w:t>
            </w:r>
          </w:p>
          <w:p>
            <w:pPr>
              <w:pStyle w:val="14"/>
              <w:numPr>
                <w:ilvl w:val="255"/>
                <w:numId w:val="0"/>
              </w:num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从长期来看，信息技术创新应用作为国家战略不会改变，外部政策环境和下游行业客户需求仍然保持良好发展态势，公司将继续秉持“做好产品、做好服务、为用户创造价值”的理念，继续深耕国防、电力等公司传统优势行业客户需求，同时抓住行业信创和数字化转型的机遇，加强在金融、党政、能源、运营商、交通、教育等关键行业的业务拓展，继续完善全国区域营销及技术服务体系，推进省级分支机构的建设；优化公司渠道体系建设，完善渠道管理制度，开发渠道合作伙伴，扩大渠道销售能力；加强与行业上下游优秀企业的合作，共同构建生态圈和生态链。</w:t>
            </w:r>
          </w:p>
          <w:p>
            <w:pPr>
              <w:pStyle w:val="14"/>
              <w:numPr>
                <w:ilvl w:val="255"/>
                <w:numId w:val="0"/>
              </w:numP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snapToGrid w:val="0"/>
              <w:spacing w:before="156" w:beforeLines="50" w:after="156" w:afterLines="50" w:line="240" w:lineRule="atLeast"/>
              <w:jc w:val="center"/>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附件清单（如有）</w:t>
            </w:r>
          </w:p>
        </w:tc>
        <w:tc>
          <w:tcPr>
            <w:tcW w:w="5952" w:type="dxa"/>
            <w:vAlign w:val="center"/>
          </w:tcPr>
          <w:p>
            <w:pPr>
              <w:snapToGrid w:val="0"/>
              <w:spacing w:before="156" w:beforeLines="50" w:after="156" w:afterLines="50" w:line="240" w:lineRule="atLeast"/>
              <w:rPr>
                <w:rFonts w:ascii="宋体" w:hAnsi="宋体" w:eastAsia="宋体" w:cs="Times New Roman"/>
                <w:color w:val="000000"/>
                <w:kern w:val="0"/>
                <w:sz w:val="24"/>
                <w:szCs w:val="24"/>
              </w:rPr>
            </w:pPr>
            <w:r>
              <w:rPr>
                <w:rFonts w:hint="eastAsia" w:ascii="宋体" w:hAnsi="宋体" w:eastAsia="宋体" w:cs="Times New Roman"/>
                <w:color w:val="000000"/>
                <w:kern w:val="0"/>
                <w:sz w:val="24"/>
                <w:szCs w:val="24"/>
              </w:rPr>
              <w:t>无</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lMGZjMTE1OTA3MDIyYTJiMjA4Mzc2NWUwYjg5ZGYifQ=="/>
  </w:docVars>
  <w:rsids>
    <w:rsidRoot w:val="00172A27"/>
    <w:rsid w:val="000016C9"/>
    <w:rsid w:val="000723D8"/>
    <w:rsid w:val="0009041A"/>
    <w:rsid w:val="000F6E02"/>
    <w:rsid w:val="001074F9"/>
    <w:rsid w:val="00114C4D"/>
    <w:rsid w:val="00147006"/>
    <w:rsid w:val="00162DF9"/>
    <w:rsid w:val="00172A27"/>
    <w:rsid w:val="00175990"/>
    <w:rsid w:val="00195160"/>
    <w:rsid w:val="001C710A"/>
    <w:rsid w:val="001F1B93"/>
    <w:rsid w:val="002222C1"/>
    <w:rsid w:val="002969D4"/>
    <w:rsid w:val="002C2A25"/>
    <w:rsid w:val="002C486F"/>
    <w:rsid w:val="002C793F"/>
    <w:rsid w:val="003022F0"/>
    <w:rsid w:val="00320C24"/>
    <w:rsid w:val="0033797F"/>
    <w:rsid w:val="00355C25"/>
    <w:rsid w:val="004562A8"/>
    <w:rsid w:val="00460C0C"/>
    <w:rsid w:val="004636D2"/>
    <w:rsid w:val="00474C10"/>
    <w:rsid w:val="00494118"/>
    <w:rsid w:val="004A3A9E"/>
    <w:rsid w:val="004B2344"/>
    <w:rsid w:val="004F2D34"/>
    <w:rsid w:val="005067CB"/>
    <w:rsid w:val="005326E6"/>
    <w:rsid w:val="00576CC5"/>
    <w:rsid w:val="005A0064"/>
    <w:rsid w:val="005A22B9"/>
    <w:rsid w:val="005A5260"/>
    <w:rsid w:val="005E0BEA"/>
    <w:rsid w:val="005E2A08"/>
    <w:rsid w:val="005E5D21"/>
    <w:rsid w:val="00652D0F"/>
    <w:rsid w:val="006B0139"/>
    <w:rsid w:val="006F66E7"/>
    <w:rsid w:val="007035F6"/>
    <w:rsid w:val="00742157"/>
    <w:rsid w:val="00794108"/>
    <w:rsid w:val="007F5392"/>
    <w:rsid w:val="008049B0"/>
    <w:rsid w:val="0080620F"/>
    <w:rsid w:val="008162D1"/>
    <w:rsid w:val="00833CF3"/>
    <w:rsid w:val="00853082"/>
    <w:rsid w:val="008715F0"/>
    <w:rsid w:val="00873A5E"/>
    <w:rsid w:val="008910E9"/>
    <w:rsid w:val="008C119E"/>
    <w:rsid w:val="008E7D32"/>
    <w:rsid w:val="008F530F"/>
    <w:rsid w:val="00901B4B"/>
    <w:rsid w:val="00914A7C"/>
    <w:rsid w:val="00933004"/>
    <w:rsid w:val="00940B61"/>
    <w:rsid w:val="009416E2"/>
    <w:rsid w:val="00965661"/>
    <w:rsid w:val="0098512F"/>
    <w:rsid w:val="009A3241"/>
    <w:rsid w:val="009B0D98"/>
    <w:rsid w:val="009C3A27"/>
    <w:rsid w:val="009E27E7"/>
    <w:rsid w:val="00AA1DFD"/>
    <w:rsid w:val="00AB431F"/>
    <w:rsid w:val="00B12279"/>
    <w:rsid w:val="00B53289"/>
    <w:rsid w:val="00B537F8"/>
    <w:rsid w:val="00B577D1"/>
    <w:rsid w:val="00B64CCC"/>
    <w:rsid w:val="00B718E2"/>
    <w:rsid w:val="00BF12A1"/>
    <w:rsid w:val="00C05695"/>
    <w:rsid w:val="00CA3E0E"/>
    <w:rsid w:val="00CB2C48"/>
    <w:rsid w:val="00CC7F67"/>
    <w:rsid w:val="00D57DA6"/>
    <w:rsid w:val="00DB05D0"/>
    <w:rsid w:val="00DC3A7B"/>
    <w:rsid w:val="00DF418F"/>
    <w:rsid w:val="00DF66CA"/>
    <w:rsid w:val="00E871AF"/>
    <w:rsid w:val="00EA7EA7"/>
    <w:rsid w:val="00EC2EED"/>
    <w:rsid w:val="00EC48C6"/>
    <w:rsid w:val="00EE6CDD"/>
    <w:rsid w:val="00EF42A5"/>
    <w:rsid w:val="00EF7689"/>
    <w:rsid w:val="00F1018E"/>
    <w:rsid w:val="00F10A5C"/>
    <w:rsid w:val="00F15ED4"/>
    <w:rsid w:val="00F17779"/>
    <w:rsid w:val="00F448D5"/>
    <w:rsid w:val="00F566CA"/>
    <w:rsid w:val="00F66A7F"/>
    <w:rsid w:val="00F72A3B"/>
    <w:rsid w:val="00F829A8"/>
    <w:rsid w:val="00FC553C"/>
    <w:rsid w:val="00FE6192"/>
    <w:rsid w:val="00FF502C"/>
    <w:rsid w:val="01695955"/>
    <w:rsid w:val="0256342F"/>
    <w:rsid w:val="0482288A"/>
    <w:rsid w:val="05B230A6"/>
    <w:rsid w:val="06543306"/>
    <w:rsid w:val="084A1910"/>
    <w:rsid w:val="0921263A"/>
    <w:rsid w:val="0ADE04E8"/>
    <w:rsid w:val="0B387630"/>
    <w:rsid w:val="0CCD245A"/>
    <w:rsid w:val="0D98311E"/>
    <w:rsid w:val="0EA10B77"/>
    <w:rsid w:val="11C6025A"/>
    <w:rsid w:val="125F3BB4"/>
    <w:rsid w:val="12CC1EE6"/>
    <w:rsid w:val="15A20FDE"/>
    <w:rsid w:val="15B64A89"/>
    <w:rsid w:val="16266A01"/>
    <w:rsid w:val="169048D7"/>
    <w:rsid w:val="172F4121"/>
    <w:rsid w:val="17373294"/>
    <w:rsid w:val="185B0DAA"/>
    <w:rsid w:val="185F66A9"/>
    <w:rsid w:val="190242A9"/>
    <w:rsid w:val="1AC07580"/>
    <w:rsid w:val="1D1771A1"/>
    <w:rsid w:val="1D2C7E6D"/>
    <w:rsid w:val="1D41422C"/>
    <w:rsid w:val="1F7C00FA"/>
    <w:rsid w:val="209854B7"/>
    <w:rsid w:val="217E041E"/>
    <w:rsid w:val="22E53AB1"/>
    <w:rsid w:val="247E2C16"/>
    <w:rsid w:val="250F5786"/>
    <w:rsid w:val="2940493E"/>
    <w:rsid w:val="2B69017C"/>
    <w:rsid w:val="2C723C57"/>
    <w:rsid w:val="2DC96BBE"/>
    <w:rsid w:val="2E8A1C8F"/>
    <w:rsid w:val="2F25085E"/>
    <w:rsid w:val="2FA96D6E"/>
    <w:rsid w:val="334455D4"/>
    <w:rsid w:val="33B10912"/>
    <w:rsid w:val="36D54CB2"/>
    <w:rsid w:val="37427AD3"/>
    <w:rsid w:val="38D77ED5"/>
    <w:rsid w:val="3E7E5271"/>
    <w:rsid w:val="3F7E18C4"/>
    <w:rsid w:val="3F942AA9"/>
    <w:rsid w:val="41A27AEC"/>
    <w:rsid w:val="41F7408F"/>
    <w:rsid w:val="424F2536"/>
    <w:rsid w:val="427C19C4"/>
    <w:rsid w:val="48A04659"/>
    <w:rsid w:val="4CC56D84"/>
    <w:rsid w:val="4DE1199C"/>
    <w:rsid w:val="4E092CA1"/>
    <w:rsid w:val="4E6D76D3"/>
    <w:rsid w:val="4FFF574B"/>
    <w:rsid w:val="500B71A4"/>
    <w:rsid w:val="50884351"/>
    <w:rsid w:val="50BC03FE"/>
    <w:rsid w:val="528A7B0A"/>
    <w:rsid w:val="52FB49B4"/>
    <w:rsid w:val="530A54F1"/>
    <w:rsid w:val="53C05B30"/>
    <w:rsid w:val="54005F00"/>
    <w:rsid w:val="547F4953"/>
    <w:rsid w:val="55A8546F"/>
    <w:rsid w:val="568F774F"/>
    <w:rsid w:val="56E434D5"/>
    <w:rsid w:val="58BE696E"/>
    <w:rsid w:val="58BF6D7E"/>
    <w:rsid w:val="5B1C32AC"/>
    <w:rsid w:val="5B2F1F99"/>
    <w:rsid w:val="5BDE751B"/>
    <w:rsid w:val="5C2E4241"/>
    <w:rsid w:val="5EEA42A4"/>
    <w:rsid w:val="619B0772"/>
    <w:rsid w:val="643E1F5C"/>
    <w:rsid w:val="662A1308"/>
    <w:rsid w:val="66D15EF7"/>
    <w:rsid w:val="670C5884"/>
    <w:rsid w:val="69916FBD"/>
    <w:rsid w:val="6AA32E58"/>
    <w:rsid w:val="6C4B4758"/>
    <w:rsid w:val="6F26325B"/>
    <w:rsid w:val="6F532692"/>
    <w:rsid w:val="732963E9"/>
    <w:rsid w:val="75411434"/>
    <w:rsid w:val="758C2DC8"/>
    <w:rsid w:val="76B12A76"/>
    <w:rsid w:val="76DC29F7"/>
    <w:rsid w:val="788212D8"/>
    <w:rsid w:val="78A52D7A"/>
    <w:rsid w:val="7935373D"/>
    <w:rsid w:val="7AC724FF"/>
    <w:rsid w:val="7C0E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unhideWhenUsed/>
    <w:qFormat/>
    <w:uiPriority w:val="0"/>
    <w:pPr>
      <w:keepNext/>
      <w:keepLines/>
      <w:spacing w:before="40" w:after="40" w:line="360" w:lineRule="auto"/>
      <w:outlineLvl w:val="2"/>
    </w:pPr>
    <w:rPr>
      <w:b/>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2"/>
    <w:link w:val="4"/>
    <w:qFormat/>
    <w:uiPriority w:val="99"/>
  </w:style>
  <w:style w:type="character" w:customStyle="1" w:styleId="19">
    <w:name w:val="批注主题 字符"/>
    <w:basedOn w:val="18"/>
    <w:link w:val="9"/>
    <w:semiHidden/>
    <w:qFormat/>
    <w:uiPriority w:val="99"/>
    <w:rPr>
      <w:b/>
      <w:bCs/>
    </w:rPr>
  </w:style>
  <w:style w:type="paragraph" w:customStyle="1" w:styleId="2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371</Words>
  <Characters>2118</Characters>
  <Lines>17</Lines>
  <Paragraphs>4</Paragraphs>
  <TotalTime>9</TotalTime>
  <ScaleCrop>false</ScaleCrop>
  <LinksUpToDate>false</LinksUpToDate>
  <CharactersWithSpaces>2485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2024-02-05T07:10:00Z</dcterms:created>
  <dc:creator>WL</dc:creator>
  <cp:lastModifiedBy>wl</cp:lastModifiedBy>
  <cp:lastPrinted>2022-11-28T09:19:00Z</cp:lastPrinted>
  <dcterms:modified xsi:type="dcterms:W3CDTF">2024-02-05T09:12:53Z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CA599898550442E2A6660C76AB2123FB_13</vt:lpwstr>
  </property>
</Properties>
</file>