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7284" w14:textId="6FFE9263" w:rsidR="00300FEB" w:rsidRPr="006F7A87" w:rsidRDefault="00300FEB" w:rsidP="00950355">
      <w:pPr>
        <w:pStyle w:val="a7"/>
        <w:spacing w:before="41"/>
        <w:ind w:left="0"/>
        <w:jc w:val="both"/>
        <w:rPr>
          <w:rFonts w:asciiTheme="minorEastAsia" w:eastAsiaTheme="minorEastAsia" w:hAnsiTheme="minorEastAsia"/>
          <w:sz w:val="24"/>
          <w:szCs w:val="24"/>
        </w:rPr>
      </w:pPr>
      <w:bookmarkStart w:id="0" w:name="_Hlk114058811"/>
      <w:r w:rsidRPr="008E2A47">
        <w:rPr>
          <w:rFonts w:hint="eastAsia"/>
          <w:sz w:val="24"/>
          <w:szCs w:val="24"/>
        </w:rPr>
        <w:t>证券代码：</w:t>
      </w:r>
      <w:r w:rsidRPr="008E2A47">
        <w:rPr>
          <w:sz w:val="24"/>
          <w:szCs w:val="24"/>
        </w:rPr>
        <w:t xml:space="preserve">600821  </w:t>
      </w:r>
      <w:r w:rsidRPr="008E2A47">
        <w:rPr>
          <w:sz w:val="24"/>
        </w:rPr>
        <w:t xml:space="preserve"> </w:t>
      </w:r>
      <w:r w:rsidRPr="008E2A47">
        <w:rPr>
          <w:sz w:val="24"/>
          <w:szCs w:val="24"/>
        </w:rPr>
        <w:t xml:space="preserve"> </w:t>
      </w:r>
      <w:r w:rsidRPr="008E2A47">
        <w:rPr>
          <w:sz w:val="24"/>
        </w:rPr>
        <w:t xml:space="preserve">    </w:t>
      </w:r>
      <w:r w:rsidR="003E0083">
        <w:rPr>
          <w:sz w:val="24"/>
        </w:rPr>
        <w:t xml:space="preserve">                           </w:t>
      </w:r>
      <w:r w:rsidRPr="008E2A47">
        <w:rPr>
          <w:rFonts w:hint="eastAsia"/>
          <w:sz w:val="24"/>
          <w:szCs w:val="24"/>
        </w:rPr>
        <w:t>证券简称：金开新能</w:t>
      </w:r>
      <w:r w:rsidRPr="008E2A47">
        <w:rPr>
          <w:sz w:val="24"/>
        </w:rPr>
        <w:t xml:space="preserve"> </w:t>
      </w:r>
    </w:p>
    <w:bookmarkEnd w:id="0"/>
    <w:p w14:paraId="15BFFBAF" w14:textId="77777777" w:rsidR="00300FEB" w:rsidRPr="00F22946" w:rsidRDefault="00300FEB" w:rsidP="00300FEB">
      <w:pPr>
        <w:spacing w:before="94" w:line="555" w:lineRule="exact"/>
        <w:jc w:val="center"/>
        <w:rPr>
          <w:b/>
          <w:color w:val="FF0000"/>
          <w:sz w:val="32"/>
          <w:szCs w:val="32"/>
        </w:rPr>
      </w:pPr>
      <w:r w:rsidRPr="00F22946">
        <w:rPr>
          <w:b/>
          <w:color w:val="FF0000"/>
          <w:sz w:val="32"/>
          <w:szCs w:val="32"/>
        </w:rPr>
        <w:t>金开新能源股份有限公司</w:t>
      </w:r>
    </w:p>
    <w:p w14:paraId="58A4BFC4" w14:textId="2908D89C" w:rsidR="00300FEB" w:rsidRPr="00F22946" w:rsidRDefault="003E0083" w:rsidP="00F179C9">
      <w:pPr>
        <w:pStyle w:val="a7"/>
        <w:ind w:left="0"/>
        <w:jc w:val="center"/>
        <w:rPr>
          <w:b/>
          <w:sz w:val="24"/>
          <w:szCs w:val="24"/>
        </w:rPr>
      </w:pPr>
      <w:r w:rsidRPr="003E0083">
        <w:rPr>
          <w:b/>
          <w:color w:val="FF0000"/>
          <w:sz w:val="32"/>
          <w:szCs w:val="32"/>
        </w:rPr>
        <w:t>202</w:t>
      </w:r>
      <w:r w:rsidR="00D4659C">
        <w:rPr>
          <w:b/>
          <w:color w:val="FF0000"/>
          <w:sz w:val="32"/>
          <w:szCs w:val="32"/>
        </w:rPr>
        <w:t>4</w:t>
      </w:r>
      <w:r w:rsidRPr="003E0083">
        <w:rPr>
          <w:b/>
          <w:color w:val="FF0000"/>
          <w:sz w:val="32"/>
          <w:szCs w:val="32"/>
        </w:rPr>
        <w:t>年</w:t>
      </w:r>
      <w:r w:rsidR="00D4659C">
        <w:rPr>
          <w:b/>
          <w:color w:val="FF0000"/>
          <w:sz w:val="32"/>
          <w:szCs w:val="32"/>
        </w:rPr>
        <w:t>2</w:t>
      </w:r>
      <w:r w:rsidRPr="003E0083">
        <w:rPr>
          <w:b/>
          <w:color w:val="FF0000"/>
          <w:sz w:val="32"/>
          <w:szCs w:val="32"/>
        </w:rPr>
        <w:t>月投资者关系活动记录表</w:t>
      </w:r>
    </w:p>
    <w:tbl>
      <w:tblPr>
        <w:tblStyle w:val="af2"/>
        <w:tblW w:w="0" w:type="auto"/>
        <w:tblLook w:val="04A0" w:firstRow="1" w:lastRow="0" w:firstColumn="1" w:lastColumn="0" w:noHBand="0" w:noVBand="1"/>
      </w:tblPr>
      <w:tblGrid>
        <w:gridCol w:w="2518"/>
        <w:gridCol w:w="6004"/>
      </w:tblGrid>
      <w:tr w:rsidR="003E0083" w14:paraId="31E047AD" w14:textId="77777777" w:rsidTr="00945B6F">
        <w:tc>
          <w:tcPr>
            <w:tcW w:w="2518" w:type="dxa"/>
          </w:tcPr>
          <w:p w14:paraId="43AEDBA6" w14:textId="02B2AF08" w:rsidR="003E0083" w:rsidRPr="004C1999" w:rsidRDefault="003E0083" w:rsidP="002A225E">
            <w:pPr>
              <w:pStyle w:val="a7"/>
              <w:spacing w:before="14"/>
              <w:ind w:left="0"/>
              <w:contextualSpacing/>
              <w:jc w:val="both"/>
              <w:rPr>
                <w:rFonts w:cs="黑体-WinCharSetFFFF-H"/>
                <w:b/>
                <w:bCs/>
                <w:sz w:val="24"/>
                <w:szCs w:val="24"/>
              </w:rPr>
            </w:pPr>
            <w:r w:rsidRPr="004C1999">
              <w:rPr>
                <w:rFonts w:cs="黑体-WinCharSetFFFF-H" w:hint="eastAsia"/>
                <w:b/>
                <w:bCs/>
                <w:sz w:val="24"/>
                <w:szCs w:val="24"/>
              </w:rPr>
              <w:t>投资者关系活动类别</w:t>
            </w:r>
          </w:p>
        </w:tc>
        <w:tc>
          <w:tcPr>
            <w:tcW w:w="6004" w:type="dxa"/>
          </w:tcPr>
          <w:p w14:paraId="48AB265D" w14:textId="18F6220C" w:rsidR="003E0083" w:rsidRDefault="00D76031" w:rsidP="002A225E">
            <w:pPr>
              <w:pStyle w:val="a7"/>
              <w:spacing w:before="14"/>
              <w:ind w:left="0"/>
              <w:contextualSpacing/>
              <w:jc w:val="both"/>
              <w:rPr>
                <w:rFonts w:cs="黑体-WinCharSetFFFF-H"/>
                <w:sz w:val="24"/>
                <w:szCs w:val="24"/>
              </w:rPr>
            </w:pPr>
            <w:r w:rsidRPr="004C1999">
              <w:rPr>
                <w:rFonts w:cs="黑体-WinCharSetFFFF-H" w:hint="eastAsia"/>
                <w:sz w:val="24"/>
                <w:szCs w:val="24"/>
              </w:rPr>
              <w:t>■</w:t>
            </w:r>
            <w:r w:rsidR="003E0083" w:rsidRPr="003E0083">
              <w:rPr>
                <w:rFonts w:cs="黑体-WinCharSetFFFF-H"/>
                <w:sz w:val="24"/>
                <w:szCs w:val="24"/>
              </w:rPr>
              <w:t xml:space="preserve">特定对象调研 </w:t>
            </w:r>
            <w:r w:rsidR="003E0083">
              <w:rPr>
                <w:rFonts w:cs="黑体-WinCharSetFFFF-H"/>
                <w:sz w:val="24"/>
                <w:szCs w:val="24"/>
              </w:rPr>
              <w:t xml:space="preserve">  </w:t>
            </w:r>
            <w:r w:rsidR="003E0083" w:rsidRPr="003E0083">
              <w:rPr>
                <w:rFonts w:cs="黑体-WinCharSetFFFF-H"/>
                <w:sz w:val="24"/>
                <w:szCs w:val="24"/>
              </w:rPr>
              <w:t>□分析师会议</w:t>
            </w:r>
          </w:p>
          <w:p w14:paraId="123753C7" w14:textId="512B6CF4" w:rsidR="003E0083" w:rsidRDefault="003E0083" w:rsidP="002A225E">
            <w:pPr>
              <w:pStyle w:val="a7"/>
              <w:spacing w:before="14"/>
              <w:ind w:left="0"/>
              <w:contextualSpacing/>
              <w:jc w:val="both"/>
              <w:rPr>
                <w:rFonts w:cs="黑体-WinCharSetFFFF-H"/>
                <w:sz w:val="24"/>
                <w:szCs w:val="24"/>
              </w:rPr>
            </w:pPr>
            <w:r w:rsidRPr="003E0083">
              <w:rPr>
                <w:rFonts w:cs="黑体-WinCharSetFFFF-H"/>
                <w:sz w:val="24"/>
                <w:szCs w:val="24"/>
              </w:rPr>
              <w:t xml:space="preserve">□媒体采访 </w:t>
            </w:r>
            <w:r>
              <w:rPr>
                <w:rFonts w:cs="黑体-WinCharSetFFFF-H"/>
                <w:sz w:val="24"/>
                <w:szCs w:val="24"/>
              </w:rPr>
              <w:t xml:space="preserve">      </w:t>
            </w:r>
            <w:r w:rsidRPr="003E0083">
              <w:rPr>
                <w:rFonts w:cs="黑体-WinCharSetFFFF-H"/>
                <w:sz w:val="24"/>
                <w:szCs w:val="24"/>
              </w:rPr>
              <w:t>□业绩说明会</w:t>
            </w:r>
          </w:p>
          <w:p w14:paraId="3CA5EAC5" w14:textId="77777777" w:rsidR="003E0083" w:rsidRDefault="003E0083" w:rsidP="002A225E">
            <w:pPr>
              <w:pStyle w:val="a7"/>
              <w:spacing w:before="14"/>
              <w:ind w:left="0"/>
              <w:contextualSpacing/>
              <w:jc w:val="both"/>
              <w:rPr>
                <w:rFonts w:cs="黑体-WinCharSetFFFF-H"/>
                <w:sz w:val="24"/>
                <w:szCs w:val="24"/>
              </w:rPr>
            </w:pPr>
            <w:r w:rsidRPr="003E0083">
              <w:rPr>
                <w:rFonts w:cs="黑体-WinCharSetFFFF-H"/>
                <w:sz w:val="24"/>
                <w:szCs w:val="24"/>
              </w:rPr>
              <w:t xml:space="preserve">□新闻发布会 </w:t>
            </w:r>
            <w:r>
              <w:rPr>
                <w:rFonts w:cs="黑体-WinCharSetFFFF-H"/>
                <w:sz w:val="24"/>
                <w:szCs w:val="24"/>
              </w:rPr>
              <w:t xml:space="preserve">    </w:t>
            </w:r>
            <w:r w:rsidRPr="003E0083">
              <w:rPr>
                <w:rFonts w:cs="黑体-WinCharSetFFFF-H"/>
                <w:sz w:val="24"/>
                <w:szCs w:val="24"/>
              </w:rPr>
              <w:t>□路演活动</w:t>
            </w:r>
          </w:p>
          <w:p w14:paraId="262D45EC" w14:textId="075463DC" w:rsidR="003E0083" w:rsidRPr="003E0083" w:rsidRDefault="003E0083" w:rsidP="002A225E">
            <w:pPr>
              <w:pStyle w:val="a7"/>
              <w:spacing w:before="14"/>
              <w:ind w:left="0"/>
              <w:contextualSpacing/>
              <w:jc w:val="both"/>
              <w:rPr>
                <w:rFonts w:cs="黑体-WinCharSetFFFF-H"/>
                <w:sz w:val="24"/>
                <w:szCs w:val="24"/>
              </w:rPr>
            </w:pPr>
            <w:r w:rsidRPr="003E0083">
              <w:rPr>
                <w:rFonts w:cs="黑体-WinCharSetFFFF-H"/>
                <w:sz w:val="24"/>
                <w:szCs w:val="24"/>
              </w:rPr>
              <w:t>□现场参观</w:t>
            </w:r>
            <w:r>
              <w:rPr>
                <w:rFonts w:cs="黑体-WinCharSetFFFF-H" w:hint="eastAsia"/>
                <w:sz w:val="24"/>
                <w:szCs w:val="24"/>
              </w:rPr>
              <w:t xml:space="preserve"> </w:t>
            </w:r>
            <w:r>
              <w:rPr>
                <w:rFonts w:cs="黑体-WinCharSetFFFF-H"/>
                <w:sz w:val="24"/>
                <w:szCs w:val="24"/>
              </w:rPr>
              <w:t xml:space="preserve">      </w:t>
            </w:r>
            <w:r w:rsidR="00CF0E2E" w:rsidRPr="004C1999">
              <w:rPr>
                <w:rFonts w:cs="黑体-WinCharSetFFFF-H" w:hint="eastAsia"/>
                <w:sz w:val="24"/>
                <w:szCs w:val="24"/>
              </w:rPr>
              <w:t>■</w:t>
            </w:r>
            <w:r w:rsidRPr="003E0083">
              <w:rPr>
                <w:rFonts w:cs="黑体-WinCharSetFFFF-H"/>
                <w:sz w:val="24"/>
                <w:szCs w:val="24"/>
              </w:rPr>
              <w:t>其他</w:t>
            </w:r>
            <w:r w:rsidR="004C1999">
              <w:rPr>
                <w:rFonts w:cs="黑体-WinCharSetFFFF-H" w:hint="eastAsia"/>
                <w:sz w:val="24"/>
                <w:szCs w:val="24"/>
              </w:rPr>
              <w:t>（券商策略会）</w:t>
            </w:r>
          </w:p>
        </w:tc>
      </w:tr>
      <w:tr w:rsidR="00945B6F" w14:paraId="4D1941FD" w14:textId="77777777" w:rsidTr="00945B6F">
        <w:tc>
          <w:tcPr>
            <w:tcW w:w="2518" w:type="dxa"/>
          </w:tcPr>
          <w:p w14:paraId="46FDFBF2" w14:textId="74DD5C24" w:rsidR="00945B6F" w:rsidRPr="004C1999" w:rsidRDefault="00945B6F" w:rsidP="002A225E">
            <w:pPr>
              <w:pStyle w:val="a7"/>
              <w:spacing w:before="14"/>
              <w:ind w:left="0"/>
              <w:contextualSpacing/>
              <w:jc w:val="both"/>
              <w:rPr>
                <w:rFonts w:cs="黑体-WinCharSetFFFF-H"/>
                <w:b/>
                <w:bCs/>
                <w:sz w:val="24"/>
                <w:szCs w:val="24"/>
              </w:rPr>
            </w:pPr>
            <w:r w:rsidRPr="00945B6F">
              <w:rPr>
                <w:rFonts w:cs="黑体-WinCharSetFFFF-H" w:hint="eastAsia"/>
                <w:b/>
                <w:bCs/>
                <w:sz w:val="24"/>
                <w:szCs w:val="24"/>
              </w:rPr>
              <w:t>参与单位名称</w:t>
            </w:r>
          </w:p>
        </w:tc>
        <w:tc>
          <w:tcPr>
            <w:tcW w:w="6004" w:type="dxa"/>
          </w:tcPr>
          <w:p w14:paraId="18B75A8B" w14:textId="3803886B" w:rsidR="00945B6F" w:rsidRPr="004C1999" w:rsidRDefault="008C5D39" w:rsidP="002A225E">
            <w:pPr>
              <w:pStyle w:val="a7"/>
              <w:spacing w:before="14"/>
              <w:ind w:left="0"/>
              <w:contextualSpacing/>
              <w:jc w:val="both"/>
              <w:rPr>
                <w:rFonts w:cs="黑体-WinCharSetFFFF-H"/>
                <w:sz w:val="24"/>
                <w:szCs w:val="24"/>
              </w:rPr>
            </w:pPr>
            <w:r w:rsidRPr="006222FB">
              <w:rPr>
                <w:rFonts w:cs="黑体-WinCharSetFFFF-H" w:hint="eastAsia"/>
                <w:sz w:val="24"/>
                <w:szCs w:val="24"/>
              </w:rPr>
              <w:t>国寿资产</w:t>
            </w:r>
            <w:r>
              <w:rPr>
                <w:rFonts w:cs="黑体-WinCharSetFFFF-H" w:hint="eastAsia"/>
                <w:sz w:val="24"/>
                <w:szCs w:val="24"/>
              </w:rPr>
              <w:t>、</w:t>
            </w:r>
            <w:r w:rsidRPr="006222FB">
              <w:rPr>
                <w:rFonts w:cs="黑体-WinCharSetFFFF-H" w:hint="eastAsia"/>
                <w:sz w:val="24"/>
                <w:szCs w:val="24"/>
              </w:rPr>
              <w:t>工银瑞信</w:t>
            </w:r>
            <w:r>
              <w:rPr>
                <w:rFonts w:cs="黑体-WinCharSetFFFF-H" w:hint="eastAsia"/>
                <w:sz w:val="24"/>
                <w:szCs w:val="24"/>
              </w:rPr>
              <w:t>、</w:t>
            </w:r>
            <w:r w:rsidRPr="006222FB">
              <w:rPr>
                <w:rFonts w:cs="黑体-WinCharSetFFFF-H" w:hint="eastAsia"/>
                <w:sz w:val="24"/>
                <w:szCs w:val="24"/>
              </w:rPr>
              <w:t>银华基金</w:t>
            </w:r>
            <w:r>
              <w:rPr>
                <w:rFonts w:cs="黑体-WinCharSetFFFF-H" w:hint="eastAsia"/>
                <w:sz w:val="24"/>
                <w:szCs w:val="24"/>
              </w:rPr>
              <w:t>、</w:t>
            </w:r>
            <w:r w:rsidRPr="006222FB">
              <w:rPr>
                <w:rFonts w:cs="黑体-WinCharSetFFFF-H" w:hint="eastAsia"/>
                <w:sz w:val="24"/>
                <w:szCs w:val="24"/>
              </w:rPr>
              <w:t>景林资产</w:t>
            </w:r>
            <w:r>
              <w:rPr>
                <w:rFonts w:cs="黑体-WinCharSetFFFF-H" w:hint="eastAsia"/>
                <w:sz w:val="24"/>
                <w:szCs w:val="24"/>
              </w:rPr>
              <w:t>、</w:t>
            </w:r>
            <w:r w:rsidRPr="006222FB">
              <w:rPr>
                <w:rFonts w:cs="黑体-WinCharSetFFFF-H" w:hint="eastAsia"/>
                <w:sz w:val="24"/>
                <w:szCs w:val="24"/>
              </w:rPr>
              <w:t>新华资产</w:t>
            </w:r>
            <w:r>
              <w:rPr>
                <w:rFonts w:cs="黑体-WinCharSetFFFF-H" w:hint="eastAsia"/>
                <w:sz w:val="24"/>
                <w:szCs w:val="24"/>
              </w:rPr>
              <w:t>、</w:t>
            </w:r>
            <w:r w:rsidRPr="00DA7779">
              <w:rPr>
                <w:rFonts w:cs="黑体-WinCharSetFFFF-H" w:hint="eastAsia"/>
                <w:sz w:val="24"/>
                <w:szCs w:val="24"/>
              </w:rPr>
              <w:t>正富邦基金</w:t>
            </w:r>
            <w:r>
              <w:rPr>
                <w:rFonts w:cs="黑体-WinCharSetFFFF-H" w:hint="eastAsia"/>
                <w:sz w:val="24"/>
                <w:szCs w:val="24"/>
              </w:rPr>
              <w:t>、</w:t>
            </w:r>
            <w:r w:rsidR="009D6740" w:rsidRPr="009D6740">
              <w:rPr>
                <w:rFonts w:cs="黑体-WinCharSetFFFF-H" w:hint="eastAsia"/>
                <w:sz w:val="24"/>
                <w:szCs w:val="24"/>
              </w:rPr>
              <w:t>华源证券</w:t>
            </w:r>
            <w:r w:rsidR="009D6740">
              <w:rPr>
                <w:rFonts w:cs="黑体-WinCharSetFFFF-H" w:hint="eastAsia"/>
                <w:sz w:val="24"/>
                <w:szCs w:val="24"/>
              </w:rPr>
              <w:t>、</w:t>
            </w:r>
            <w:r w:rsidRPr="006222FB">
              <w:rPr>
                <w:rFonts w:cs="黑体-WinCharSetFFFF-H" w:hint="eastAsia"/>
                <w:sz w:val="24"/>
                <w:szCs w:val="24"/>
              </w:rPr>
              <w:t>中信建投</w:t>
            </w:r>
            <w:r w:rsidR="009D6740">
              <w:rPr>
                <w:rFonts w:cs="黑体-WinCharSetFFFF-H" w:hint="eastAsia"/>
                <w:sz w:val="24"/>
                <w:szCs w:val="24"/>
              </w:rPr>
              <w:t>证券</w:t>
            </w:r>
            <w:r>
              <w:rPr>
                <w:rFonts w:cs="黑体-WinCharSetFFFF-H" w:hint="eastAsia"/>
                <w:sz w:val="24"/>
                <w:szCs w:val="24"/>
              </w:rPr>
              <w:t>、</w:t>
            </w:r>
            <w:r w:rsidRPr="006222FB">
              <w:rPr>
                <w:rFonts w:cs="黑体-WinCharSetFFFF-H" w:hint="eastAsia"/>
                <w:sz w:val="24"/>
                <w:szCs w:val="24"/>
              </w:rPr>
              <w:t>山西证券资管</w:t>
            </w:r>
            <w:r>
              <w:rPr>
                <w:rFonts w:cs="黑体-WinCharSetFFFF-H" w:hint="eastAsia"/>
                <w:sz w:val="24"/>
                <w:szCs w:val="24"/>
              </w:rPr>
              <w:t>、</w:t>
            </w:r>
            <w:r w:rsidR="00D4659C" w:rsidRPr="00D4659C">
              <w:rPr>
                <w:rFonts w:cs="黑体-WinCharSetFFFF-H"/>
                <w:sz w:val="24"/>
                <w:szCs w:val="24"/>
              </w:rPr>
              <w:t>津投资本</w:t>
            </w:r>
            <w:r>
              <w:rPr>
                <w:rFonts w:cs="黑体-WinCharSetFFFF-H" w:hint="eastAsia"/>
                <w:sz w:val="24"/>
                <w:szCs w:val="24"/>
              </w:rPr>
              <w:t>等</w:t>
            </w:r>
          </w:p>
        </w:tc>
      </w:tr>
      <w:tr w:rsidR="00945B6F" w14:paraId="23FC778F" w14:textId="77777777" w:rsidTr="00945B6F">
        <w:tc>
          <w:tcPr>
            <w:tcW w:w="2518" w:type="dxa"/>
          </w:tcPr>
          <w:p w14:paraId="5F6EE1CE" w14:textId="27837AEC" w:rsidR="00945B6F" w:rsidRPr="00945B6F" w:rsidRDefault="00945B6F" w:rsidP="002A225E">
            <w:pPr>
              <w:pStyle w:val="a7"/>
              <w:spacing w:before="14"/>
              <w:ind w:left="0"/>
              <w:contextualSpacing/>
              <w:jc w:val="both"/>
              <w:rPr>
                <w:rFonts w:cs="黑体-WinCharSetFFFF-H"/>
                <w:b/>
                <w:bCs/>
                <w:sz w:val="24"/>
                <w:szCs w:val="24"/>
              </w:rPr>
            </w:pPr>
            <w:r>
              <w:rPr>
                <w:rFonts w:cs="黑体-WinCharSetFFFF-H" w:hint="eastAsia"/>
                <w:b/>
                <w:bCs/>
                <w:sz w:val="24"/>
                <w:szCs w:val="24"/>
              </w:rPr>
              <w:t>时间</w:t>
            </w:r>
          </w:p>
        </w:tc>
        <w:tc>
          <w:tcPr>
            <w:tcW w:w="6004" w:type="dxa"/>
          </w:tcPr>
          <w:p w14:paraId="3BD98CD4" w14:textId="459E032F" w:rsidR="00945B6F" w:rsidRPr="00945B6F" w:rsidRDefault="00945B6F" w:rsidP="002A225E">
            <w:pPr>
              <w:pStyle w:val="a7"/>
              <w:spacing w:before="14"/>
              <w:ind w:left="0"/>
              <w:contextualSpacing/>
              <w:jc w:val="both"/>
              <w:rPr>
                <w:rFonts w:cs="黑体-WinCharSetFFFF-H"/>
                <w:sz w:val="24"/>
                <w:szCs w:val="24"/>
              </w:rPr>
            </w:pPr>
            <w:r>
              <w:rPr>
                <w:rFonts w:cs="黑体-WinCharSetFFFF-H" w:hint="eastAsia"/>
                <w:sz w:val="24"/>
                <w:szCs w:val="24"/>
              </w:rPr>
              <w:t>2</w:t>
            </w:r>
            <w:r>
              <w:rPr>
                <w:rFonts w:cs="黑体-WinCharSetFFFF-H"/>
                <w:sz w:val="24"/>
                <w:szCs w:val="24"/>
              </w:rPr>
              <w:t>02</w:t>
            </w:r>
            <w:r w:rsidR="00D4659C">
              <w:rPr>
                <w:rFonts w:cs="黑体-WinCharSetFFFF-H"/>
                <w:sz w:val="24"/>
                <w:szCs w:val="24"/>
              </w:rPr>
              <w:t>4</w:t>
            </w:r>
            <w:r>
              <w:rPr>
                <w:rFonts w:cs="黑体-WinCharSetFFFF-H" w:hint="eastAsia"/>
                <w:sz w:val="24"/>
                <w:szCs w:val="24"/>
              </w:rPr>
              <w:t>年</w:t>
            </w:r>
            <w:r w:rsidR="00D4659C">
              <w:rPr>
                <w:rFonts w:cs="黑体-WinCharSetFFFF-H"/>
                <w:sz w:val="24"/>
                <w:szCs w:val="24"/>
              </w:rPr>
              <w:t>2</w:t>
            </w:r>
            <w:r>
              <w:rPr>
                <w:rFonts w:cs="黑体-WinCharSetFFFF-H" w:hint="eastAsia"/>
                <w:sz w:val="24"/>
                <w:szCs w:val="24"/>
              </w:rPr>
              <w:t>月</w:t>
            </w:r>
          </w:p>
        </w:tc>
      </w:tr>
      <w:tr w:rsidR="00945B6F" w14:paraId="3B0D4927" w14:textId="77777777" w:rsidTr="00945B6F">
        <w:tc>
          <w:tcPr>
            <w:tcW w:w="2518" w:type="dxa"/>
          </w:tcPr>
          <w:p w14:paraId="45A65C21" w14:textId="07BC331D" w:rsidR="00945B6F" w:rsidRDefault="00945B6F" w:rsidP="002A225E">
            <w:pPr>
              <w:pStyle w:val="a7"/>
              <w:spacing w:before="14"/>
              <w:ind w:left="0"/>
              <w:contextualSpacing/>
              <w:jc w:val="both"/>
              <w:rPr>
                <w:rFonts w:cs="黑体-WinCharSetFFFF-H"/>
                <w:b/>
                <w:bCs/>
                <w:sz w:val="24"/>
                <w:szCs w:val="24"/>
              </w:rPr>
            </w:pPr>
            <w:r>
              <w:rPr>
                <w:rFonts w:cs="黑体-WinCharSetFFFF-H" w:hint="eastAsia"/>
                <w:b/>
                <w:bCs/>
                <w:sz w:val="24"/>
                <w:szCs w:val="24"/>
              </w:rPr>
              <w:t>地点</w:t>
            </w:r>
          </w:p>
        </w:tc>
        <w:tc>
          <w:tcPr>
            <w:tcW w:w="6004" w:type="dxa"/>
          </w:tcPr>
          <w:p w14:paraId="1A293CC6" w14:textId="46082B56" w:rsidR="00945B6F" w:rsidRDefault="00945B6F" w:rsidP="002A225E">
            <w:pPr>
              <w:pStyle w:val="a7"/>
              <w:spacing w:before="14"/>
              <w:ind w:left="0"/>
              <w:contextualSpacing/>
              <w:jc w:val="both"/>
              <w:rPr>
                <w:rFonts w:cs="黑体-WinCharSetFFFF-H"/>
                <w:sz w:val="24"/>
                <w:szCs w:val="24"/>
              </w:rPr>
            </w:pPr>
            <w:r>
              <w:rPr>
                <w:rFonts w:cs="黑体-WinCharSetFFFF-H" w:hint="eastAsia"/>
                <w:sz w:val="24"/>
                <w:szCs w:val="24"/>
              </w:rPr>
              <w:t>北京</w:t>
            </w:r>
          </w:p>
        </w:tc>
      </w:tr>
      <w:tr w:rsidR="003E0083" w14:paraId="71545F2D" w14:textId="77777777" w:rsidTr="00E24574">
        <w:trPr>
          <w:trHeight w:val="371"/>
        </w:trPr>
        <w:tc>
          <w:tcPr>
            <w:tcW w:w="2518" w:type="dxa"/>
          </w:tcPr>
          <w:p w14:paraId="0E1AA2C9" w14:textId="0B815E8E" w:rsidR="003E0083" w:rsidRPr="00E24574" w:rsidRDefault="003E0083" w:rsidP="002A225E">
            <w:pPr>
              <w:pStyle w:val="a7"/>
              <w:spacing w:before="14"/>
              <w:ind w:left="0"/>
              <w:contextualSpacing/>
              <w:jc w:val="both"/>
              <w:rPr>
                <w:rFonts w:cs="黑体-WinCharSetFFFF-H"/>
                <w:b/>
                <w:bCs/>
                <w:sz w:val="24"/>
                <w:szCs w:val="24"/>
              </w:rPr>
            </w:pPr>
            <w:r w:rsidRPr="00E24574">
              <w:rPr>
                <w:rFonts w:cs="黑体-WinCharSetFFFF-H" w:hint="eastAsia"/>
                <w:b/>
                <w:bCs/>
                <w:sz w:val="24"/>
                <w:szCs w:val="24"/>
              </w:rPr>
              <w:t>公司接待人员</w:t>
            </w:r>
          </w:p>
        </w:tc>
        <w:tc>
          <w:tcPr>
            <w:tcW w:w="6004" w:type="dxa"/>
          </w:tcPr>
          <w:p w14:paraId="2EE3B99C" w14:textId="42735689" w:rsidR="003E0083" w:rsidRPr="003E0083" w:rsidRDefault="00A33E64" w:rsidP="002A225E">
            <w:pPr>
              <w:pStyle w:val="a7"/>
              <w:spacing w:before="14"/>
              <w:ind w:left="0"/>
              <w:contextualSpacing/>
              <w:jc w:val="both"/>
              <w:rPr>
                <w:rFonts w:cs="黑体-WinCharSetFFFF-H"/>
                <w:sz w:val="24"/>
                <w:szCs w:val="24"/>
              </w:rPr>
            </w:pPr>
            <w:r w:rsidRPr="00A33E64">
              <w:rPr>
                <w:rFonts w:cs="黑体-WinCharSetFFFF-H" w:hint="eastAsia"/>
                <w:sz w:val="24"/>
                <w:szCs w:val="24"/>
              </w:rPr>
              <w:t>董事会秘书范晓波</w:t>
            </w:r>
            <w:r>
              <w:rPr>
                <w:rFonts w:cs="黑体-WinCharSetFFFF-H" w:hint="eastAsia"/>
                <w:sz w:val="24"/>
                <w:szCs w:val="24"/>
              </w:rPr>
              <w:t>等</w:t>
            </w:r>
          </w:p>
        </w:tc>
      </w:tr>
      <w:tr w:rsidR="003E0083" w14:paraId="33707EF7" w14:textId="77777777" w:rsidTr="003E0083">
        <w:trPr>
          <w:trHeight w:val="361"/>
        </w:trPr>
        <w:tc>
          <w:tcPr>
            <w:tcW w:w="8522" w:type="dxa"/>
            <w:gridSpan w:val="2"/>
          </w:tcPr>
          <w:p w14:paraId="33EA028C" w14:textId="7D1533DE" w:rsidR="003E0083" w:rsidRPr="004C1999" w:rsidRDefault="003E0083" w:rsidP="004C1999">
            <w:pPr>
              <w:pStyle w:val="a7"/>
              <w:spacing w:before="14"/>
              <w:ind w:left="0"/>
              <w:contextualSpacing/>
              <w:jc w:val="center"/>
              <w:rPr>
                <w:rFonts w:cs="黑体-WinCharSetFFFF-H"/>
                <w:b/>
                <w:bCs/>
                <w:sz w:val="24"/>
                <w:szCs w:val="24"/>
              </w:rPr>
            </w:pPr>
            <w:r w:rsidRPr="004C1999">
              <w:rPr>
                <w:rFonts w:cs="黑体-WinCharSetFFFF-H" w:hint="eastAsia"/>
                <w:b/>
                <w:bCs/>
                <w:sz w:val="24"/>
                <w:szCs w:val="24"/>
              </w:rPr>
              <w:t>投资者关系活动主要内容</w:t>
            </w:r>
          </w:p>
        </w:tc>
      </w:tr>
      <w:tr w:rsidR="003E0083" w14:paraId="0570E3AE" w14:textId="77777777" w:rsidTr="003E0083">
        <w:trPr>
          <w:trHeight w:val="361"/>
        </w:trPr>
        <w:tc>
          <w:tcPr>
            <w:tcW w:w="8522" w:type="dxa"/>
            <w:gridSpan w:val="2"/>
          </w:tcPr>
          <w:p w14:paraId="3F53CCF9" w14:textId="187982DD" w:rsidR="00321A95" w:rsidRPr="00260E59" w:rsidRDefault="00321A95" w:rsidP="00321A95">
            <w:pPr>
              <w:pStyle w:val="a7"/>
              <w:spacing w:before="14"/>
              <w:ind w:left="0"/>
              <w:contextualSpacing/>
              <w:jc w:val="both"/>
              <w:rPr>
                <w:rFonts w:cs="黑体-WinCharSetFFFF-H"/>
                <w:sz w:val="24"/>
                <w:szCs w:val="24"/>
                <w:lang w:val="en-US"/>
              </w:rPr>
            </w:pPr>
            <w:r w:rsidRPr="00260E59">
              <w:rPr>
                <w:rFonts w:cs="黑体-WinCharSetFFFF-H" w:hint="eastAsia"/>
                <w:b/>
                <w:bCs/>
                <w:sz w:val="24"/>
                <w:szCs w:val="24"/>
              </w:rPr>
              <w:t>问题</w:t>
            </w:r>
            <w:r w:rsidR="006800DF" w:rsidRPr="00260E59">
              <w:rPr>
                <w:rFonts w:cs="黑体-WinCharSetFFFF-H" w:hint="eastAsia"/>
                <w:b/>
                <w:bCs/>
                <w:sz w:val="24"/>
                <w:szCs w:val="24"/>
              </w:rPr>
              <w:t>一</w:t>
            </w:r>
            <w:r w:rsidRPr="00260E59">
              <w:rPr>
                <w:rFonts w:cs="黑体-WinCharSetFFFF-H" w:hint="eastAsia"/>
                <w:b/>
                <w:bCs/>
                <w:sz w:val="24"/>
                <w:szCs w:val="24"/>
              </w:rPr>
              <w:t>：</w:t>
            </w:r>
            <w:r w:rsidR="009725E6" w:rsidRPr="00260E59">
              <w:rPr>
                <w:rFonts w:cs="黑体-WinCharSetFFFF-H" w:hint="eastAsia"/>
                <w:b/>
                <w:bCs/>
                <w:sz w:val="24"/>
                <w:szCs w:val="24"/>
              </w:rPr>
              <w:t>目前市场担心新能源电价问题，</w:t>
            </w:r>
            <w:r w:rsidRPr="00260E59">
              <w:rPr>
                <w:rFonts w:cs="黑体-WinCharSetFFFF-H" w:hint="eastAsia"/>
                <w:b/>
                <w:bCs/>
                <w:sz w:val="24"/>
                <w:szCs w:val="24"/>
              </w:rPr>
              <w:t>请问公司对于电力交易市场的看法？</w:t>
            </w:r>
            <w:r w:rsidR="006800DF" w:rsidRPr="00260E59">
              <w:rPr>
                <w:rFonts w:cs="黑体-WinCharSetFFFF-H"/>
                <w:sz w:val="24"/>
                <w:szCs w:val="24"/>
                <w:lang w:val="en-US"/>
              </w:rPr>
              <w:t xml:space="preserve"> </w:t>
            </w:r>
          </w:p>
          <w:p w14:paraId="05115F8D" w14:textId="4F140326" w:rsidR="00F17113" w:rsidRPr="00260E59" w:rsidRDefault="00321A95" w:rsidP="00F17113">
            <w:pPr>
              <w:pStyle w:val="a7"/>
              <w:spacing w:before="14"/>
              <w:ind w:left="0" w:firstLineChars="200" w:firstLine="482"/>
              <w:contextualSpacing/>
              <w:jc w:val="both"/>
              <w:rPr>
                <w:rFonts w:cs="黑体-WinCharSetFFFF-H"/>
                <w:sz w:val="24"/>
                <w:szCs w:val="24"/>
              </w:rPr>
            </w:pPr>
            <w:r w:rsidRPr="00260E59">
              <w:rPr>
                <w:rFonts w:cs="黑体-WinCharSetFFFF-H" w:hint="eastAsia"/>
                <w:b/>
                <w:bCs/>
                <w:sz w:val="24"/>
                <w:szCs w:val="24"/>
              </w:rPr>
              <w:t>答：</w:t>
            </w:r>
            <w:r w:rsidR="00F17113" w:rsidRPr="00260E59">
              <w:rPr>
                <w:rFonts w:cs="黑体-WinCharSetFFFF-H" w:hint="eastAsia"/>
                <w:sz w:val="24"/>
                <w:szCs w:val="24"/>
              </w:rPr>
              <w:t>我们认为从整个行业或者至少对公司来讲，</w:t>
            </w:r>
            <w:r w:rsidR="006800DF" w:rsidRPr="00260E59">
              <w:rPr>
                <w:rFonts w:cs="黑体-WinCharSetFFFF-H" w:hint="eastAsia"/>
                <w:sz w:val="24"/>
                <w:szCs w:val="24"/>
              </w:rPr>
              <w:t>电价的影响已经处于底部</w:t>
            </w:r>
            <w:r w:rsidR="00F17113" w:rsidRPr="00260E59">
              <w:rPr>
                <w:rFonts w:cs="黑体-WinCharSetFFFF-H" w:hint="eastAsia"/>
                <w:sz w:val="24"/>
                <w:szCs w:val="24"/>
              </w:rPr>
              <w:t>。截至目前，我国多数省份已开展中长期电量市场化交易，同时电力现货市场建设进展较快，其中，山西、广东已于</w:t>
            </w:r>
            <w:r w:rsidR="00F17113" w:rsidRPr="00260E59">
              <w:rPr>
                <w:rFonts w:cs="黑体-WinCharSetFFFF-H"/>
                <w:sz w:val="24"/>
                <w:szCs w:val="24"/>
              </w:rPr>
              <w:t>2023年底转入正式运行，山东、蒙西、甘肃已进入长周期结算试运行阶段。</w:t>
            </w:r>
          </w:p>
          <w:p w14:paraId="4CDE7530" w14:textId="77777777" w:rsidR="006800DF" w:rsidRPr="00260E59" w:rsidRDefault="00F17113" w:rsidP="00F17113">
            <w:pPr>
              <w:pStyle w:val="a7"/>
              <w:spacing w:before="14"/>
              <w:ind w:left="0" w:firstLineChars="200" w:firstLine="480"/>
              <w:contextualSpacing/>
              <w:jc w:val="both"/>
              <w:rPr>
                <w:rFonts w:cs="黑体-WinCharSetFFFF-H"/>
                <w:sz w:val="24"/>
                <w:szCs w:val="24"/>
              </w:rPr>
            </w:pPr>
            <w:r w:rsidRPr="00260E59">
              <w:rPr>
                <w:rFonts w:cs="黑体-WinCharSetFFFF-H" w:hint="eastAsia"/>
                <w:sz w:val="24"/>
                <w:szCs w:val="24"/>
              </w:rPr>
              <w:t>从公司角度来讲，项目分为存量项目和增量项目。</w:t>
            </w:r>
          </w:p>
          <w:p w14:paraId="2AC5377F" w14:textId="5E36DD16" w:rsidR="009725E6" w:rsidRPr="00260E59" w:rsidRDefault="00F17113" w:rsidP="00F17113">
            <w:pPr>
              <w:pStyle w:val="a7"/>
              <w:spacing w:before="14"/>
              <w:ind w:left="0" w:firstLineChars="200" w:firstLine="480"/>
              <w:contextualSpacing/>
              <w:jc w:val="both"/>
              <w:rPr>
                <w:rFonts w:cs="黑体-WinCharSetFFFF-H"/>
                <w:sz w:val="24"/>
                <w:szCs w:val="24"/>
              </w:rPr>
            </w:pPr>
            <w:r w:rsidRPr="00260E59">
              <w:rPr>
                <w:rFonts w:cs="黑体-WinCharSetFFFF-H" w:hint="eastAsia"/>
                <w:sz w:val="24"/>
                <w:szCs w:val="24"/>
              </w:rPr>
              <w:t>其中存量项目中新疆区域占</w:t>
            </w:r>
            <w:r w:rsidR="00260E59">
              <w:rPr>
                <w:rFonts w:cs="黑体-WinCharSetFFFF-H" w:hint="eastAsia"/>
                <w:sz w:val="24"/>
                <w:szCs w:val="24"/>
              </w:rPr>
              <w:t>公司</w:t>
            </w:r>
            <w:r w:rsidRPr="00260E59">
              <w:rPr>
                <w:rFonts w:cs="黑体-WinCharSetFFFF-H" w:hint="eastAsia"/>
                <w:sz w:val="24"/>
                <w:szCs w:val="24"/>
              </w:rPr>
              <w:t>总发电量</w:t>
            </w:r>
            <w:r w:rsidR="006800DF" w:rsidRPr="00260E59">
              <w:rPr>
                <w:rFonts w:cs="黑体-WinCharSetFFFF-H" w:hint="eastAsia"/>
                <w:sz w:val="24"/>
                <w:szCs w:val="24"/>
              </w:rPr>
              <w:t>超</w:t>
            </w:r>
            <w:r w:rsidRPr="00260E59">
              <w:rPr>
                <w:rFonts w:cs="黑体-WinCharSetFFFF-H"/>
                <w:sz w:val="24"/>
                <w:szCs w:val="24"/>
              </w:rPr>
              <w:t>1/3，且几乎全部为国家规划西电东送大通道准皖直流项目，</w:t>
            </w:r>
            <w:r w:rsidR="009725E6" w:rsidRPr="00260E59">
              <w:rPr>
                <w:rFonts w:cs="黑体-WinCharSetFFFF-H" w:hint="eastAsia"/>
                <w:sz w:val="24"/>
                <w:szCs w:val="24"/>
              </w:rPr>
              <w:t>受端为华东电网，</w:t>
            </w:r>
            <w:r w:rsidRPr="00260E59">
              <w:rPr>
                <w:rFonts w:cs="黑体-WinCharSetFFFF-H"/>
                <w:sz w:val="24"/>
                <w:szCs w:val="24"/>
              </w:rPr>
              <w:t>电价</w:t>
            </w:r>
            <w:r w:rsidR="009725E6" w:rsidRPr="00260E59">
              <w:rPr>
                <w:rFonts w:cs="黑体-WinCharSetFFFF-H" w:hint="eastAsia"/>
                <w:sz w:val="24"/>
                <w:szCs w:val="24"/>
              </w:rPr>
              <w:t>极</w:t>
            </w:r>
            <w:r w:rsidRPr="00260E59">
              <w:rPr>
                <w:rFonts w:cs="黑体-WinCharSetFFFF-H"/>
                <w:sz w:val="24"/>
                <w:szCs w:val="24"/>
              </w:rPr>
              <w:t>具竞争力，属于优质资产；宁夏区域主要为光伏资产，2023年中长期交易政策对本区域内电价影响较大，但我们判断电价已</w:t>
            </w:r>
            <w:r w:rsidR="009725E6" w:rsidRPr="00260E59">
              <w:rPr>
                <w:rFonts w:cs="黑体-WinCharSetFFFF-H" w:hint="eastAsia"/>
                <w:sz w:val="24"/>
                <w:szCs w:val="24"/>
              </w:rPr>
              <w:t>处于</w:t>
            </w:r>
            <w:r w:rsidRPr="00260E59">
              <w:rPr>
                <w:rFonts w:cs="黑体-WinCharSetFFFF-H"/>
                <w:sz w:val="24"/>
                <w:szCs w:val="24"/>
              </w:rPr>
              <w:t>底</w:t>
            </w:r>
            <w:r w:rsidR="009725E6" w:rsidRPr="00260E59">
              <w:rPr>
                <w:rFonts w:cs="黑体-WinCharSetFFFF-H" w:hint="eastAsia"/>
                <w:sz w:val="24"/>
                <w:szCs w:val="24"/>
              </w:rPr>
              <w:t>部</w:t>
            </w:r>
            <w:r w:rsidRPr="00260E59">
              <w:rPr>
                <w:rFonts w:cs="黑体-WinCharSetFFFF-H"/>
                <w:sz w:val="24"/>
                <w:szCs w:val="24"/>
              </w:rPr>
              <w:t>；山西现货市场已试运行3年，从过去3年的交易情况来看，电价每年都在</w:t>
            </w:r>
            <w:r w:rsidR="00260E59">
              <w:rPr>
                <w:rFonts w:cs="黑体-WinCharSetFFFF-H" w:hint="eastAsia"/>
                <w:sz w:val="24"/>
                <w:szCs w:val="24"/>
              </w:rPr>
              <w:t>逐步</w:t>
            </w:r>
            <w:r w:rsidRPr="00260E59">
              <w:rPr>
                <w:rFonts w:cs="黑体-WinCharSetFFFF-H"/>
                <w:sz w:val="24"/>
                <w:szCs w:val="24"/>
              </w:rPr>
              <w:t>提升，且公司在山西区域均为光伏领跑者项目，未来可能会出台</w:t>
            </w:r>
            <w:r w:rsidR="009725E6" w:rsidRPr="00260E59">
              <w:rPr>
                <w:rFonts w:cs="黑体-WinCharSetFFFF-H" w:hint="eastAsia"/>
                <w:sz w:val="24"/>
                <w:szCs w:val="24"/>
              </w:rPr>
              <w:t>差异化</w:t>
            </w:r>
            <w:r w:rsidRPr="00260E59">
              <w:rPr>
                <w:rFonts w:cs="黑体-WinCharSetFFFF-H"/>
                <w:sz w:val="24"/>
                <w:szCs w:val="24"/>
              </w:rPr>
              <w:t>电价政策；山东现货市场运行2年，且风电资产比例较高，从交易结果上看，电价影响较</w:t>
            </w:r>
            <w:r w:rsidR="009725E6" w:rsidRPr="00260E59">
              <w:rPr>
                <w:rFonts w:cs="黑体-WinCharSetFFFF-H" w:hint="eastAsia"/>
                <w:sz w:val="24"/>
                <w:szCs w:val="24"/>
              </w:rPr>
              <w:t>小</w:t>
            </w:r>
            <w:r w:rsidRPr="00260E59">
              <w:rPr>
                <w:rFonts w:cs="黑体-WinCharSetFFFF-H"/>
                <w:sz w:val="24"/>
                <w:szCs w:val="24"/>
              </w:rPr>
              <w:t>。</w:t>
            </w:r>
          </w:p>
          <w:p w14:paraId="6FD252DA" w14:textId="43A69EF0" w:rsidR="00057350" w:rsidRDefault="00F17113" w:rsidP="00057350">
            <w:pPr>
              <w:pStyle w:val="a7"/>
              <w:spacing w:before="14"/>
              <w:ind w:left="0" w:firstLineChars="200" w:firstLine="480"/>
              <w:contextualSpacing/>
              <w:jc w:val="both"/>
              <w:rPr>
                <w:rFonts w:cs="黑体-WinCharSetFFFF-H"/>
                <w:sz w:val="24"/>
                <w:szCs w:val="24"/>
              </w:rPr>
            </w:pPr>
            <w:r w:rsidRPr="00260E59">
              <w:rPr>
                <w:rFonts w:cs="黑体-WinCharSetFFFF-H"/>
                <w:sz w:val="24"/>
                <w:szCs w:val="24"/>
              </w:rPr>
              <w:t>对于增量项目，公司在投资决策</w:t>
            </w:r>
            <w:r w:rsidR="009725E6" w:rsidRPr="00260E59">
              <w:rPr>
                <w:rFonts w:cs="黑体-WinCharSetFFFF-H" w:hint="eastAsia"/>
                <w:sz w:val="24"/>
                <w:szCs w:val="24"/>
              </w:rPr>
              <w:t>时，已结合项目所在区域的电源结构、网</w:t>
            </w:r>
            <w:r w:rsidR="00F3470F">
              <w:rPr>
                <w:rFonts w:cs="黑体-WinCharSetFFFF-H" w:hint="eastAsia"/>
                <w:sz w:val="24"/>
                <w:szCs w:val="24"/>
              </w:rPr>
              <w:t>架</w:t>
            </w:r>
            <w:r w:rsidR="009725E6" w:rsidRPr="00260E59">
              <w:rPr>
                <w:rFonts w:cs="黑体-WinCharSetFFFF-H" w:hint="eastAsia"/>
                <w:sz w:val="24"/>
                <w:szCs w:val="24"/>
              </w:rPr>
              <w:t>结构、电力供需发展趋势等，在电价</w:t>
            </w:r>
            <w:r w:rsidR="00F3470F">
              <w:rPr>
                <w:rFonts w:cs="黑体-WinCharSetFFFF-H" w:hint="eastAsia"/>
                <w:sz w:val="24"/>
                <w:szCs w:val="24"/>
              </w:rPr>
              <w:t>测算</w:t>
            </w:r>
            <w:r w:rsidR="009725E6" w:rsidRPr="00260E59">
              <w:rPr>
                <w:rFonts w:cs="黑体-WinCharSetFFFF-H" w:hint="eastAsia"/>
                <w:sz w:val="24"/>
                <w:szCs w:val="24"/>
              </w:rPr>
              <w:t>边界</w:t>
            </w:r>
            <w:r w:rsidR="009725E6">
              <w:rPr>
                <w:rFonts w:cs="黑体-WinCharSetFFFF-H" w:hint="eastAsia"/>
                <w:sz w:val="24"/>
                <w:szCs w:val="24"/>
              </w:rPr>
              <w:t>方面已充分考虑了未来开展现货交易后可能对电价的影响。</w:t>
            </w:r>
          </w:p>
          <w:p w14:paraId="1641437A" w14:textId="77777777" w:rsidR="00057350" w:rsidRPr="00260E59" w:rsidRDefault="00057350" w:rsidP="00057350">
            <w:pPr>
              <w:pStyle w:val="a7"/>
              <w:spacing w:before="14"/>
              <w:ind w:left="0" w:firstLineChars="200" w:firstLine="480"/>
              <w:contextualSpacing/>
              <w:jc w:val="both"/>
              <w:rPr>
                <w:rFonts w:cs="黑体-WinCharSetFFFF-H"/>
                <w:sz w:val="24"/>
                <w:szCs w:val="24"/>
              </w:rPr>
            </w:pPr>
            <w:r w:rsidRPr="00260E59">
              <w:rPr>
                <w:rFonts w:cs="黑体-WinCharSetFFFF-H" w:hint="eastAsia"/>
                <w:sz w:val="24"/>
                <w:szCs w:val="24"/>
              </w:rPr>
              <w:t>另一方面，公司不断创新项目开发模式，在部分项目中参考国际惯例，通过引入长期</w:t>
            </w:r>
            <w:r w:rsidRPr="00260E59">
              <w:rPr>
                <w:rFonts w:cs="黑体-WinCharSetFFFF-H"/>
                <w:sz w:val="24"/>
                <w:szCs w:val="24"/>
              </w:rPr>
              <w:t>PPA或照付不议协议等机制来对冲未来电力市场的电价波动风险。</w:t>
            </w:r>
          </w:p>
          <w:p w14:paraId="6E5B40F5" w14:textId="2CADC6EF" w:rsidR="00057350" w:rsidRPr="00057350" w:rsidRDefault="00057350" w:rsidP="00057350">
            <w:pPr>
              <w:pStyle w:val="a7"/>
              <w:spacing w:before="14"/>
              <w:ind w:left="0" w:firstLineChars="200" w:firstLine="480"/>
              <w:contextualSpacing/>
              <w:jc w:val="both"/>
              <w:rPr>
                <w:rFonts w:cs="黑体-WinCharSetFFFF-H"/>
                <w:sz w:val="24"/>
                <w:szCs w:val="24"/>
              </w:rPr>
            </w:pPr>
            <w:r w:rsidRPr="00260E59">
              <w:rPr>
                <w:rFonts w:cs="黑体-WinCharSetFFFF-H" w:hint="eastAsia"/>
                <w:sz w:val="24"/>
                <w:szCs w:val="24"/>
              </w:rPr>
              <w:t>另外，公司也积极响应国家推动绿色电力消费的号召，依托绿色电力交易机制，积极参与绿电及绿证交易，充分发挥绿色电力的环境价值，</w:t>
            </w:r>
            <w:r w:rsidRPr="00260E59">
              <w:rPr>
                <w:rFonts w:cs="黑体-WinCharSetFFFF-H"/>
                <w:sz w:val="24"/>
                <w:szCs w:val="24"/>
              </w:rPr>
              <w:t>2023年以来，公司跨省及区域内绿电交易合计</w:t>
            </w:r>
            <w:r w:rsidR="00260E59" w:rsidRPr="00260E59">
              <w:rPr>
                <w:rFonts w:cs="黑体-WinCharSetFFFF-H"/>
                <w:sz w:val="24"/>
                <w:szCs w:val="24"/>
              </w:rPr>
              <w:t>45,302.9万</w:t>
            </w:r>
            <w:r w:rsidRPr="00260E59">
              <w:rPr>
                <w:rFonts w:cs="黑体-WinCharSetFFFF-H"/>
                <w:sz w:val="24"/>
                <w:szCs w:val="24"/>
              </w:rPr>
              <w:t>千瓦时，绿证交易合计</w:t>
            </w:r>
            <w:r w:rsidR="00260E59" w:rsidRPr="00260E59">
              <w:rPr>
                <w:rFonts w:cs="黑体-WinCharSetFFFF-H"/>
                <w:sz w:val="24"/>
                <w:szCs w:val="24"/>
              </w:rPr>
              <w:t>64,288</w:t>
            </w:r>
            <w:r w:rsidRPr="00260E59">
              <w:rPr>
                <w:rFonts w:cs="黑体-WinCharSetFFFF-H"/>
                <w:sz w:val="24"/>
                <w:szCs w:val="24"/>
              </w:rPr>
              <w:t>张</w:t>
            </w:r>
            <w:r w:rsidR="00F3470F">
              <w:rPr>
                <w:rFonts w:cs="黑体-WinCharSetFFFF-H" w:hint="eastAsia"/>
                <w:sz w:val="24"/>
                <w:szCs w:val="24"/>
              </w:rPr>
              <w:t>，有效提升了相应项目的收益水平。</w:t>
            </w:r>
          </w:p>
          <w:p w14:paraId="188FC623" w14:textId="3DD7DA22" w:rsidR="006800DF" w:rsidRDefault="00057350" w:rsidP="00057350">
            <w:pPr>
              <w:pStyle w:val="a7"/>
              <w:spacing w:before="14"/>
              <w:ind w:left="0" w:firstLineChars="200" w:firstLine="480"/>
              <w:contextualSpacing/>
              <w:jc w:val="both"/>
              <w:rPr>
                <w:rFonts w:cs="黑体-WinCharSetFFFF-H"/>
                <w:sz w:val="24"/>
                <w:szCs w:val="24"/>
              </w:rPr>
            </w:pPr>
            <w:r w:rsidRPr="00057350">
              <w:rPr>
                <w:rFonts w:cs="黑体-WinCharSetFFFF-H" w:hint="eastAsia"/>
                <w:sz w:val="24"/>
                <w:szCs w:val="24"/>
              </w:rPr>
              <w:t>综合来讲，公司不断加大电力交易数字化技术研发及应用，在功率预测、电力供需和电价预测等方面对标业内先进水平，已建立起涵盖“预测、策略、交易、营销、风控”五位一体的交易体系，过去三年有效应对了电价波动带来的挑战，公司在目前资产结构及未来布局规划上，电力市场化的影响已经处于底部。</w:t>
            </w:r>
          </w:p>
          <w:p w14:paraId="32B64876" w14:textId="09540CEF" w:rsidR="006800DF" w:rsidRPr="00F737C1" w:rsidRDefault="006800DF" w:rsidP="006800DF">
            <w:pPr>
              <w:pStyle w:val="a7"/>
              <w:spacing w:before="14"/>
              <w:ind w:left="0"/>
              <w:contextualSpacing/>
              <w:jc w:val="both"/>
              <w:rPr>
                <w:rFonts w:cs="黑体-WinCharSetFFFF-H"/>
                <w:sz w:val="24"/>
                <w:szCs w:val="24"/>
                <w:lang w:val="en-US"/>
              </w:rPr>
            </w:pPr>
            <w:r w:rsidRPr="00945B6F">
              <w:rPr>
                <w:rFonts w:cs="黑体-WinCharSetFFFF-H" w:hint="eastAsia"/>
                <w:b/>
                <w:bCs/>
                <w:sz w:val="24"/>
                <w:szCs w:val="24"/>
              </w:rPr>
              <w:lastRenderedPageBreak/>
              <w:t>问题</w:t>
            </w:r>
            <w:r>
              <w:rPr>
                <w:rFonts w:cs="黑体-WinCharSetFFFF-H" w:hint="eastAsia"/>
                <w:b/>
                <w:bCs/>
                <w:sz w:val="24"/>
                <w:szCs w:val="24"/>
              </w:rPr>
              <w:t>二</w:t>
            </w:r>
            <w:r w:rsidRPr="00945B6F">
              <w:rPr>
                <w:rFonts w:cs="黑体-WinCharSetFFFF-H" w:hint="eastAsia"/>
                <w:b/>
                <w:bCs/>
                <w:sz w:val="24"/>
                <w:szCs w:val="24"/>
              </w:rPr>
              <w:t>：</w:t>
            </w:r>
            <w:r w:rsidRPr="004424A8">
              <w:rPr>
                <w:rFonts w:cs="黑体-WinCharSetFFFF-H" w:hint="eastAsia"/>
                <w:sz w:val="24"/>
                <w:szCs w:val="24"/>
              </w:rPr>
              <w:t>请问公司认为当前的绿电行业是处于加速进攻阶段还是风险控制偏保守追求高质量发展的阶段？</w:t>
            </w:r>
          </w:p>
          <w:p w14:paraId="5BD1CCE6" w14:textId="77777777" w:rsidR="00F3470F" w:rsidRDefault="006800DF" w:rsidP="006800DF">
            <w:pPr>
              <w:pStyle w:val="a7"/>
              <w:spacing w:before="14"/>
              <w:ind w:left="0" w:firstLineChars="200" w:firstLine="482"/>
              <w:contextualSpacing/>
              <w:jc w:val="both"/>
              <w:rPr>
                <w:rFonts w:cs="黑体-WinCharSetFFFF-H"/>
                <w:sz w:val="24"/>
                <w:szCs w:val="24"/>
              </w:rPr>
            </w:pPr>
            <w:r w:rsidRPr="00945B6F">
              <w:rPr>
                <w:rFonts w:cs="黑体-WinCharSetFFFF-H" w:hint="eastAsia"/>
                <w:b/>
                <w:bCs/>
                <w:sz w:val="24"/>
                <w:szCs w:val="24"/>
              </w:rPr>
              <w:t>答：</w:t>
            </w:r>
            <w:r w:rsidRPr="00896027">
              <w:rPr>
                <w:rFonts w:cs="黑体-WinCharSetFFFF-H" w:hint="eastAsia"/>
                <w:sz w:val="24"/>
                <w:szCs w:val="24"/>
              </w:rPr>
              <w:t>目前我国经济回升向好，高质量发展扎实推进</w:t>
            </w:r>
            <w:r>
              <w:rPr>
                <w:rFonts w:cs="黑体-WinCharSetFFFF-H" w:hint="eastAsia"/>
                <w:sz w:val="24"/>
                <w:szCs w:val="24"/>
              </w:rPr>
              <w:t>，</w:t>
            </w:r>
            <w:r w:rsidRPr="004E0531">
              <w:rPr>
                <w:rFonts w:cs="黑体-WinCharSetFFFF-H" w:hint="eastAsia"/>
                <w:sz w:val="24"/>
                <w:szCs w:val="24"/>
              </w:rPr>
              <w:t>拉动全社会用电量需求较快增长</w:t>
            </w:r>
            <w:r>
              <w:rPr>
                <w:rFonts w:cs="黑体-WinCharSetFFFF-H" w:hint="eastAsia"/>
                <w:sz w:val="24"/>
                <w:szCs w:val="24"/>
              </w:rPr>
              <w:t>，2</w:t>
            </w:r>
            <w:r>
              <w:rPr>
                <w:rFonts w:cs="黑体-WinCharSetFFFF-H"/>
                <w:sz w:val="24"/>
                <w:szCs w:val="24"/>
              </w:rPr>
              <w:t>023</w:t>
            </w:r>
            <w:r>
              <w:rPr>
                <w:rFonts w:cs="黑体-WinCharSetFFFF-H" w:hint="eastAsia"/>
                <w:sz w:val="24"/>
                <w:szCs w:val="24"/>
              </w:rPr>
              <w:t>年</w:t>
            </w:r>
            <w:r w:rsidRPr="00081834">
              <w:rPr>
                <w:rFonts w:cs="黑体-WinCharSetFFFF-H" w:hint="eastAsia"/>
                <w:sz w:val="24"/>
                <w:szCs w:val="24"/>
              </w:rPr>
              <w:t>全社会用电量累计</w:t>
            </w:r>
            <w:r w:rsidRPr="002C0A6F">
              <w:rPr>
                <w:rFonts w:cs="黑体-WinCharSetFFFF-H"/>
                <w:sz w:val="24"/>
                <w:szCs w:val="24"/>
              </w:rPr>
              <w:t>92</w:t>
            </w:r>
            <w:r>
              <w:rPr>
                <w:rFonts w:cs="黑体-WinCharSetFFFF-H"/>
                <w:sz w:val="24"/>
                <w:szCs w:val="24"/>
              </w:rPr>
              <w:t>,</w:t>
            </w:r>
            <w:r w:rsidRPr="002C0A6F">
              <w:rPr>
                <w:rFonts w:cs="黑体-WinCharSetFFFF-H"/>
                <w:sz w:val="24"/>
                <w:szCs w:val="24"/>
              </w:rPr>
              <w:t>241亿千瓦时</w:t>
            </w:r>
            <w:r w:rsidRPr="00081834">
              <w:rPr>
                <w:rFonts w:cs="黑体-WinCharSetFFFF-H"/>
                <w:sz w:val="24"/>
                <w:szCs w:val="24"/>
              </w:rPr>
              <w:t>，同比增长6.7%</w:t>
            </w:r>
            <w:r>
              <w:rPr>
                <w:rFonts w:cs="黑体-WinCharSetFFFF-H" w:hint="eastAsia"/>
                <w:sz w:val="24"/>
                <w:szCs w:val="24"/>
              </w:rPr>
              <w:t>。</w:t>
            </w:r>
            <w:r w:rsidR="00CC6CB8">
              <w:rPr>
                <w:rFonts w:cs="黑体-WinCharSetFFFF-H" w:hint="eastAsia"/>
                <w:sz w:val="24"/>
                <w:szCs w:val="24"/>
              </w:rPr>
              <w:t>根据</w:t>
            </w:r>
            <w:r w:rsidR="00CC6CB8" w:rsidRPr="00CC6CB8">
              <w:rPr>
                <w:rFonts w:cs="黑体-WinCharSetFFFF-H" w:hint="eastAsia"/>
                <w:sz w:val="24"/>
                <w:szCs w:val="24"/>
              </w:rPr>
              <w:t>电力规划设计总院发布《中国电力发展报告</w:t>
            </w:r>
            <w:r w:rsidR="00CC6CB8" w:rsidRPr="00CC6CB8">
              <w:rPr>
                <w:rFonts w:cs="黑体-WinCharSetFFFF-H"/>
                <w:sz w:val="24"/>
                <w:szCs w:val="24"/>
              </w:rPr>
              <w:t>2023》显示</w:t>
            </w:r>
            <w:r w:rsidR="00CC6CB8" w:rsidRPr="00CC6CB8">
              <w:rPr>
                <w:rFonts w:cs="黑体-WinCharSetFFFF-H" w:hint="eastAsia"/>
                <w:sz w:val="24"/>
                <w:szCs w:val="24"/>
              </w:rPr>
              <w:t>，未来</w:t>
            </w:r>
            <w:r w:rsidR="00CC6CB8" w:rsidRPr="00CC6CB8">
              <w:rPr>
                <w:rFonts w:cs="黑体-WinCharSetFFFF-H"/>
                <w:sz w:val="24"/>
                <w:szCs w:val="24"/>
              </w:rPr>
              <w:t>3年，全国电力需求仍将保持刚性增长，预计2025年全社会用电量将达到9.8万亿至10.2万亿千瓦时。</w:t>
            </w:r>
            <w:r w:rsidRPr="00CC6CB8">
              <w:rPr>
                <w:rFonts w:cs="黑体-WinCharSetFFFF-H" w:hint="eastAsia"/>
                <w:sz w:val="24"/>
                <w:szCs w:val="24"/>
              </w:rPr>
              <w:t>在</w:t>
            </w:r>
            <w:r>
              <w:rPr>
                <w:rFonts w:cs="黑体-WinCharSetFFFF-H" w:hint="eastAsia"/>
                <w:sz w:val="24"/>
                <w:szCs w:val="24"/>
              </w:rPr>
              <w:t>政策层面，国家</w:t>
            </w:r>
            <w:r w:rsidRPr="00896027">
              <w:rPr>
                <w:rFonts w:cs="黑体-WinCharSetFFFF-H" w:hint="eastAsia"/>
                <w:sz w:val="24"/>
                <w:szCs w:val="24"/>
              </w:rPr>
              <w:t>“双碳”</w:t>
            </w:r>
            <w:r>
              <w:rPr>
                <w:rFonts w:cs="黑体-WinCharSetFFFF-H" w:hint="eastAsia"/>
                <w:sz w:val="24"/>
                <w:szCs w:val="24"/>
              </w:rPr>
              <w:t>战略为</w:t>
            </w:r>
            <w:r w:rsidRPr="00896027">
              <w:rPr>
                <w:rFonts w:cs="黑体-WinCharSetFFFF-H" w:hint="eastAsia"/>
                <w:sz w:val="24"/>
                <w:szCs w:val="24"/>
              </w:rPr>
              <w:t>新能源</w:t>
            </w:r>
            <w:r>
              <w:rPr>
                <w:rFonts w:cs="黑体-WinCharSetFFFF-H" w:hint="eastAsia"/>
                <w:sz w:val="24"/>
                <w:szCs w:val="24"/>
              </w:rPr>
              <w:t>行业提供了</w:t>
            </w:r>
            <w:r w:rsidRPr="00896027">
              <w:rPr>
                <w:rFonts w:cs="黑体-WinCharSetFFFF-H" w:hint="eastAsia"/>
                <w:sz w:val="24"/>
                <w:szCs w:val="24"/>
              </w:rPr>
              <w:t>稳定有力</w:t>
            </w:r>
            <w:r>
              <w:rPr>
                <w:rFonts w:cs="黑体-WinCharSetFFFF-H" w:hint="eastAsia"/>
                <w:sz w:val="24"/>
                <w:szCs w:val="24"/>
              </w:rPr>
              <w:t>的</w:t>
            </w:r>
            <w:r w:rsidRPr="00896027">
              <w:rPr>
                <w:rFonts w:cs="黑体-WinCharSetFFFF-H" w:hint="eastAsia"/>
                <w:sz w:val="24"/>
                <w:szCs w:val="24"/>
              </w:rPr>
              <w:t>增长</w:t>
            </w:r>
            <w:r>
              <w:rPr>
                <w:rFonts w:cs="黑体-WinCharSetFFFF-H" w:hint="eastAsia"/>
                <w:sz w:val="24"/>
                <w:szCs w:val="24"/>
              </w:rPr>
              <w:t>，2</w:t>
            </w:r>
            <w:r>
              <w:rPr>
                <w:rFonts w:cs="黑体-WinCharSetFFFF-H"/>
                <w:sz w:val="24"/>
                <w:szCs w:val="24"/>
              </w:rPr>
              <w:t>023</w:t>
            </w:r>
            <w:r>
              <w:rPr>
                <w:rFonts w:cs="黑体-WinCharSetFFFF-H" w:hint="eastAsia"/>
                <w:sz w:val="24"/>
                <w:szCs w:val="24"/>
              </w:rPr>
              <w:t>年国家能源局发布的</w:t>
            </w:r>
            <w:r w:rsidRPr="00463FDA">
              <w:rPr>
                <w:rFonts w:cs="黑体-WinCharSetFFFF-H" w:hint="eastAsia"/>
                <w:sz w:val="24"/>
                <w:szCs w:val="24"/>
              </w:rPr>
              <w:t>《新型电力系统发展蓝皮书》</w:t>
            </w:r>
            <w:r>
              <w:rPr>
                <w:rFonts w:cs="黑体-WinCharSetFFFF-H" w:hint="eastAsia"/>
                <w:sz w:val="24"/>
                <w:szCs w:val="24"/>
              </w:rPr>
              <w:t>指出，</w:t>
            </w:r>
            <w:r w:rsidRPr="00523B8B">
              <w:rPr>
                <w:rFonts w:cs="黑体-WinCharSetFFFF-H" w:hint="eastAsia"/>
                <w:sz w:val="24"/>
                <w:szCs w:val="24"/>
              </w:rPr>
              <w:t>锚定</w:t>
            </w:r>
            <w:r w:rsidRPr="00523B8B">
              <w:rPr>
                <w:rFonts w:cs="黑体-WinCharSetFFFF-H"/>
                <w:sz w:val="24"/>
                <w:szCs w:val="24"/>
              </w:rPr>
              <w:t>2030年前实现碳达峰、2060 年前实现碳中和的战略</w:t>
            </w:r>
            <w:r>
              <w:rPr>
                <w:rFonts w:cs="黑体-WinCharSetFFFF-H" w:hint="eastAsia"/>
                <w:sz w:val="24"/>
                <w:szCs w:val="24"/>
              </w:rPr>
              <w:t>，</w:t>
            </w:r>
            <w:r w:rsidRPr="00523B8B">
              <w:rPr>
                <w:rFonts w:cs="黑体-WinCharSetFFFF-H" w:hint="eastAsia"/>
                <w:sz w:val="24"/>
                <w:szCs w:val="24"/>
              </w:rPr>
              <w:t>目标</w:t>
            </w:r>
            <w:r w:rsidRPr="00463FDA">
              <w:rPr>
                <w:rFonts w:cs="黑体-WinCharSetFFFF-H"/>
                <w:sz w:val="24"/>
                <w:szCs w:val="24"/>
              </w:rPr>
              <w:t>2030年新能源逐步成为发电量增量主体，20</w:t>
            </w:r>
            <w:r>
              <w:rPr>
                <w:rFonts w:cs="黑体-WinCharSetFFFF-H"/>
                <w:sz w:val="24"/>
                <w:szCs w:val="24"/>
              </w:rPr>
              <w:t>45</w:t>
            </w:r>
            <w:r w:rsidRPr="00463FDA">
              <w:rPr>
                <w:rFonts w:cs="黑体-WinCharSetFFFF-H"/>
                <w:sz w:val="24"/>
                <w:szCs w:val="24"/>
              </w:rPr>
              <w:t>年新能源逐步成为装机主体电源，2060年新能源逐步成为发电量结构主体电源</w:t>
            </w:r>
            <w:r w:rsidRPr="00896027">
              <w:rPr>
                <w:rFonts w:cs="黑体-WinCharSetFFFF-H" w:hint="eastAsia"/>
                <w:sz w:val="24"/>
                <w:szCs w:val="24"/>
              </w:rPr>
              <w:t>。</w:t>
            </w:r>
          </w:p>
          <w:p w14:paraId="4402990C" w14:textId="602E037E" w:rsidR="006800DF" w:rsidRDefault="00931414" w:rsidP="006800DF">
            <w:pPr>
              <w:pStyle w:val="a7"/>
              <w:spacing w:before="14"/>
              <w:ind w:left="0" w:firstLineChars="200" w:firstLine="480"/>
              <w:contextualSpacing/>
              <w:jc w:val="both"/>
              <w:rPr>
                <w:rFonts w:cs="黑体-WinCharSetFFFF-H"/>
                <w:sz w:val="24"/>
                <w:szCs w:val="24"/>
              </w:rPr>
            </w:pPr>
            <w:r w:rsidRPr="00931414">
              <w:rPr>
                <w:rFonts w:cs="黑体-WinCharSetFFFF-H" w:hint="eastAsia"/>
                <w:sz w:val="24"/>
                <w:szCs w:val="24"/>
              </w:rPr>
              <w:t>电力行业是我国最大的碳排放部门，碳排放量占全国碳排放总量的</w:t>
            </w:r>
            <w:r w:rsidRPr="00931414">
              <w:rPr>
                <w:rFonts w:cs="黑体-WinCharSetFFFF-H"/>
                <w:sz w:val="24"/>
                <w:szCs w:val="24"/>
              </w:rPr>
              <w:t>40%以上</w:t>
            </w:r>
            <w:r w:rsidR="0093729D">
              <w:rPr>
                <w:rFonts w:cs="黑体-WinCharSetFFFF-H" w:hint="eastAsia"/>
                <w:sz w:val="24"/>
                <w:szCs w:val="24"/>
              </w:rPr>
              <w:t>，实现“双碳”目标，能源是主战场，电力是主力军，首先在能源生产侧主要通过建立以新能源电力为供应主题的新型电力系统，大力发展非化石能源，实现源端减碳；其次在能源消费侧，主要通过提升电气化水平，实现电能对化石能源的深度替代，实现中端脱碳。因此</w:t>
            </w:r>
            <w:r w:rsidR="00CC6CB8" w:rsidRPr="00CC6CB8">
              <w:rPr>
                <w:rFonts w:cs="黑体-WinCharSetFFFF-H" w:hint="eastAsia"/>
                <w:sz w:val="24"/>
                <w:szCs w:val="24"/>
              </w:rPr>
              <w:t>电力绿色低碳转型步伐</w:t>
            </w:r>
            <w:r w:rsidR="0093729D">
              <w:rPr>
                <w:rFonts w:cs="黑体-WinCharSetFFFF-H" w:hint="eastAsia"/>
                <w:sz w:val="24"/>
                <w:szCs w:val="24"/>
              </w:rPr>
              <w:t>将逐步</w:t>
            </w:r>
            <w:r w:rsidR="00CC6CB8" w:rsidRPr="00CC6CB8">
              <w:rPr>
                <w:rFonts w:cs="黑体-WinCharSetFFFF-H" w:hint="eastAsia"/>
                <w:sz w:val="24"/>
                <w:szCs w:val="24"/>
              </w:rPr>
              <w:t>加快</w:t>
            </w:r>
            <w:r w:rsidR="006800DF">
              <w:rPr>
                <w:rFonts w:cs="黑体-WinCharSetFFFF-H" w:hint="eastAsia"/>
                <w:sz w:val="24"/>
                <w:szCs w:val="24"/>
              </w:rPr>
              <w:t>，新能源电力行业的发展前景更加广阔，</w:t>
            </w:r>
            <w:r w:rsidR="00CC6CB8">
              <w:rPr>
                <w:rFonts w:cs="黑体-WinCharSetFFFF-H" w:hint="eastAsia"/>
                <w:sz w:val="24"/>
                <w:szCs w:val="24"/>
              </w:rPr>
              <w:t>虽然</w:t>
            </w:r>
            <w:r w:rsidR="006800DF">
              <w:rPr>
                <w:rFonts w:cs="黑体-WinCharSetFFFF-H" w:hint="eastAsia"/>
                <w:sz w:val="24"/>
                <w:szCs w:val="24"/>
              </w:rPr>
              <w:t>目前仍然面临着在风光渗透率大幅提升的情况下电力消纳及其安全保障等问题，</w:t>
            </w:r>
            <w:r w:rsidR="00CC6CB8">
              <w:rPr>
                <w:rFonts w:cs="黑体-WinCharSetFFFF-H" w:hint="eastAsia"/>
                <w:sz w:val="24"/>
                <w:szCs w:val="24"/>
              </w:rPr>
              <w:t>但</w:t>
            </w:r>
            <w:r w:rsidR="006800DF">
              <w:rPr>
                <w:rFonts w:cs="黑体-WinCharSetFFFF-H" w:hint="eastAsia"/>
                <w:sz w:val="24"/>
                <w:szCs w:val="24"/>
              </w:rPr>
              <w:t>随着</w:t>
            </w:r>
            <w:r w:rsidR="006800DF" w:rsidRPr="00785EDF">
              <w:rPr>
                <w:rFonts w:cs="黑体-WinCharSetFFFF-H" w:hint="eastAsia"/>
                <w:sz w:val="24"/>
                <w:szCs w:val="24"/>
              </w:rPr>
              <w:t>抽水蓄能</w:t>
            </w:r>
            <w:r w:rsidR="006800DF">
              <w:rPr>
                <w:rFonts w:cs="黑体-WinCharSetFFFF-H" w:hint="eastAsia"/>
                <w:sz w:val="24"/>
                <w:szCs w:val="24"/>
              </w:rPr>
              <w:t>、</w:t>
            </w:r>
            <w:r w:rsidR="006800DF" w:rsidRPr="00785EDF">
              <w:rPr>
                <w:rFonts w:cs="黑体-WinCharSetFFFF-H" w:hint="eastAsia"/>
                <w:sz w:val="24"/>
                <w:szCs w:val="24"/>
              </w:rPr>
              <w:t>新型电化学储能</w:t>
            </w:r>
            <w:r w:rsidR="006800DF">
              <w:rPr>
                <w:rFonts w:cs="黑体-WinCharSetFFFF-H" w:hint="eastAsia"/>
                <w:sz w:val="24"/>
                <w:szCs w:val="24"/>
              </w:rPr>
              <w:t>等储能方式的</w:t>
            </w:r>
            <w:r w:rsidR="005E0C39" w:rsidRPr="005E0C39">
              <w:rPr>
                <w:rFonts w:cs="黑体-WinCharSetFFFF-H" w:hint="eastAsia"/>
                <w:sz w:val="24"/>
                <w:szCs w:val="24"/>
              </w:rPr>
              <w:t>规模逐步提升</w:t>
            </w:r>
            <w:r w:rsidR="006800DF">
              <w:rPr>
                <w:rFonts w:cs="黑体-WinCharSetFFFF-H" w:hint="eastAsia"/>
                <w:sz w:val="24"/>
                <w:szCs w:val="24"/>
              </w:rPr>
              <w:t>，以及配合特高压</w:t>
            </w:r>
            <w:r w:rsidR="006800DF" w:rsidRPr="00785EDF">
              <w:rPr>
                <w:rFonts w:cs="黑体-WinCharSetFFFF-H" w:hint="eastAsia"/>
                <w:sz w:val="24"/>
                <w:szCs w:val="24"/>
              </w:rPr>
              <w:t>输电</w:t>
            </w:r>
            <w:r w:rsidR="006800DF">
              <w:rPr>
                <w:rFonts w:cs="黑体-WinCharSetFFFF-H" w:hint="eastAsia"/>
                <w:sz w:val="24"/>
                <w:szCs w:val="24"/>
              </w:rPr>
              <w:t>、火电调节、</w:t>
            </w:r>
            <w:r w:rsidR="0093729D">
              <w:rPr>
                <w:rFonts w:cs="黑体-WinCharSetFFFF-H" w:hint="eastAsia"/>
                <w:sz w:val="24"/>
                <w:szCs w:val="24"/>
              </w:rPr>
              <w:t>提高</w:t>
            </w:r>
            <w:r w:rsidR="0093729D" w:rsidRPr="0093729D">
              <w:rPr>
                <w:rFonts w:cs="黑体-WinCharSetFFFF-H" w:hint="eastAsia"/>
                <w:sz w:val="24"/>
                <w:szCs w:val="24"/>
              </w:rPr>
              <w:t>新能源电力的就地消纳能力</w:t>
            </w:r>
            <w:r w:rsidR="0093729D">
              <w:rPr>
                <w:rFonts w:cs="黑体-WinCharSetFFFF-H" w:hint="eastAsia"/>
                <w:sz w:val="24"/>
                <w:szCs w:val="24"/>
              </w:rPr>
              <w:t>、</w:t>
            </w:r>
            <w:r w:rsidR="0093729D" w:rsidRPr="0093729D">
              <w:rPr>
                <w:rFonts w:cs="黑体-WinCharSetFFFF-H" w:hint="eastAsia"/>
                <w:sz w:val="24"/>
                <w:szCs w:val="24"/>
              </w:rPr>
              <w:t>利用新能源电力制备绿氢、绿色甲醇等，将新能源电力转化为更为稳定且容易储存运输的能源形态</w:t>
            </w:r>
            <w:r w:rsidR="006800DF" w:rsidRPr="0093729D">
              <w:rPr>
                <w:rFonts w:cs="黑体-WinCharSetFFFF-H" w:hint="eastAsia"/>
                <w:sz w:val="24"/>
                <w:szCs w:val="24"/>
              </w:rPr>
              <w:t>等方法，</w:t>
            </w:r>
            <w:r w:rsidR="00CC6CB8">
              <w:rPr>
                <w:rFonts w:cs="黑体-WinCharSetFFFF-H" w:hint="eastAsia"/>
                <w:sz w:val="24"/>
                <w:szCs w:val="24"/>
              </w:rPr>
              <w:t>预计</w:t>
            </w:r>
            <w:r w:rsidR="006800DF">
              <w:rPr>
                <w:rFonts w:cs="黑体-WinCharSetFFFF-H" w:hint="eastAsia"/>
                <w:sz w:val="24"/>
                <w:szCs w:val="24"/>
              </w:rPr>
              <w:t>能有效解决上述问题。</w:t>
            </w:r>
          </w:p>
          <w:p w14:paraId="00E53666" w14:textId="77777777" w:rsidR="00D81D27" w:rsidRPr="00F17113" w:rsidRDefault="00D81D27" w:rsidP="00F17113">
            <w:pPr>
              <w:pStyle w:val="a7"/>
              <w:spacing w:before="14"/>
              <w:ind w:left="0" w:firstLineChars="200" w:firstLine="480"/>
              <w:contextualSpacing/>
              <w:jc w:val="both"/>
              <w:rPr>
                <w:rFonts w:cs="黑体-WinCharSetFFFF-H"/>
                <w:sz w:val="24"/>
                <w:szCs w:val="24"/>
              </w:rPr>
            </w:pPr>
          </w:p>
          <w:p w14:paraId="19E89479" w14:textId="22CE6AF2" w:rsidR="003E0083" w:rsidRDefault="003E0083" w:rsidP="002A225E">
            <w:pPr>
              <w:pStyle w:val="a7"/>
              <w:spacing w:before="14"/>
              <w:ind w:left="0"/>
              <w:contextualSpacing/>
              <w:jc w:val="both"/>
              <w:rPr>
                <w:rFonts w:cs="黑体-WinCharSetFFFF-H"/>
                <w:sz w:val="24"/>
                <w:szCs w:val="24"/>
              </w:rPr>
            </w:pPr>
            <w:r w:rsidRPr="00945B6F">
              <w:rPr>
                <w:rFonts w:cs="黑体-WinCharSetFFFF-H" w:hint="eastAsia"/>
                <w:b/>
                <w:bCs/>
                <w:sz w:val="24"/>
                <w:szCs w:val="24"/>
              </w:rPr>
              <w:t>问题</w:t>
            </w:r>
            <w:r w:rsidR="00321A95">
              <w:rPr>
                <w:rFonts w:cs="黑体-WinCharSetFFFF-H" w:hint="eastAsia"/>
                <w:b/>
                <w:bCs/>
                <w:sz w:val="24"/>
                <w:szCs w:val="24"/>
              </w:rPr>
              <w:t>三</w:t>
            </w:r>
            <w:r w:rsidRPr="00945B6F">
              <w:rPr>
                <w:rFonts w:cs="黑体-WinCharSetFFFF-H" w:hint="eastAsia"/>
                <w:b/>
                <w:bCs/>
                <w:sz w:val="24"/>
                <w:szCs w:val="24"/>
              </w:rPr>
              <w:t>：</w:t>
            </w:r>
            <w:r w:rsidR="005D4F56" w:rsidRPr="005D4F56">
              <w:rPr>
                <w:rFonts w:cs="黑体-WinCharSetFFFF-H" w:hint="eastAsia"/>
                <w:sz w:val="24"/>
                <w:szCs w:val="24"/>
              </w:rPr>
              <w:t>请</w:t>
            </w:r>
            <w:r w:rsidR="005D4F56">
              <w:rPr>
                <w:rFonts w:cs="黑体-WinCharSetFFFF-H" w:hint="eastAsia"/>
                <w:sz w:val="24"/>
                <w:szCs w:val="24"/>
              </w:rPr>
              <w:t>介绍</w:t>
            </w:r>
            <w:r w:rsidR="005D4F56" w:rsidRPr="005D4F56">
              <w:rPr>
                <w:rFonts w:cs="黑体-WinCharSetFFFF-H" w:hint="eastAsia"/>
                <w:sz w:val="24"/>
                <w:szCs w:val="24"/>
              </w:rPr>
              <w:t>公司目前的装机情况和未来资产规划？</w:t>
            </w:r>
          </w:p>
          <w:p w14:paraId="37D3CE72" w14:textId="34EC9BB8" w:rsidR="00AA3F73" w:rsidRDefault="003E0083" w:rsidP="00AA3F73">
            <w:pPr>
              <w:pStyle w:val="a7"/>
              <w:spacing w:before="14"/>
              <w:ind w:left="0" w:firstLineChars="200" w:firstLine="482"/>
              <w:contextualSpacing/>
              <w:jc w:val="both"/>
              <w:rPr>
                <w:rFonts w:cs="黑体-WinCharSetFFFF-H"/>
                <w:sz w:val="24"/>
                <w:szCs w:val="24"/>
              </w:rPr>
            </w:pPr>
            <w:r w:rsidRPr="00945B6F">
              <w:rPr>
                <w:rFonts w:cs="黑体-WinCharSetFFFF-H" w:hint="eastAsia"/>
                <w:b/>
                <w:bCs/>
                <w:sz w:val="24"/>
                <w:szCs w:val="24"/>
              </w:rPr>
              <w:t>答：</w:t>
            </w:r>
            <w:r w:rsidR="005D4F56" w:rsidRPr="005D4F56">
              <w:rPr>
                <w:rFonts w:cs="黑体-WinCharSetFFFF-H" w:hint="eastAsia"/>
                <w:sz w:val="24"/>
                <w:szCs w:val="24"/>
              </w:rPr>
              <w:t>截至2</w:t>
            </w:r>
            <w:r w:rsidR="005D4F56" w:rsidRPr="005D4F56">
              <w:rPr>
                <w:rFonts w:cs="黑体-WinCharSetFFFF-H"/>
                <w:sz w:val="24"/>
                <w:szCs w:val="24"/>
              </w:rPr>
              <w:t>023</w:t>
            </w:r>
            <w:r w:rsidR="005D4F56" w:rsidRPr="005D4F56">
              <w:rPr>
                <w:rFonts w:cs="黑体-WinCharSetFFFF-H" w:hint="eastAsia"/>
                <w:sz w:val="24"/>
                <w:szCs w:val="24"/>
              </w:rPr>
              <w:t>年9月3</w:t>
            </w:r>
            <w:r w:rsidR="005D4F56" w:rsidRPr="005D4F56">
              <w:rPr>
                <w:rFonts w:cs="黑体-WinCharSetFFFF-H"/>
                <w:sz w:val="24"/>
                <w:szCs w:val="24"/>
              </w:rPr>
              <w:t>0</w:t>
            </w:r>
            <w:r w:rsidR="005D4F56" w:rsidRPr="005D4F56">
              <w:rPr>
                <w:rFonts w:cs="黑体-WinCharSetFFFF-H" w:hint="eastAsia"/>
                <w:sz w:val="24"/>
                <w:szCs w:val="24"/>
              </w:rPr>
              <w:t>日，</w:t>
            </w:r>
            <w:r w:rsidR="006A7C35">
              <w:rPr>
                <w:rFonts w:cs="黑体-WinCharSetFFFF-H" w:hint="eastAsia"/>
                <w:sz w:val="24"/>
                <w:szCs w:val="24"/>
              </w:rPr>
              <w:t>公司并网装机容量为</w:t>
            </w:r>
            <w:r w:rsidR="006A7C35" w:rsidRPr="006A7C35">
              <w:rPr>
                <w:rFonts w:cs="黑体-WinCharSetFFFF-H"/>
                <w:sz w:val="24"/>
                <w:szCs w:val="24"/>
              </w:rPr>
              <w:t>4,369</w:t>
            </w:r>
            <w:r w:rsidR="00B027D6">
              <w:rPr>
                <w:rFonts w:cs="黑体-WinCharSetFFFF-H" w:hint="eastAsia"/>
                <w:sz w:val="24"/>
                <w:szCs w:val="24"/>
              </w:rPr>
              <w:t>兆瓦</w:t>
            </w:r>
            <w:r w:rsidR="006A7C35">
              <w:rPr>
                <w:rFonts w:cs="黑体-WinCharSetFFFF-H" w:hint="eastAsia"/>
                <w:sz w:val="24"/>
                <w:szCs w:val="24"/>
              </w:rPr>
              <w:t>，</w:t>
            </w:r>
            <w:r w:rsidR="00183C6C" w:rsidRPr="00183C6C">
              <w:rPr>
                <w:rFonts w:cs="黑体-WinCharSetFFFF-H" w:hint="eastAsia"/>
                <w:sz w:val="24"/>
                <w:szCs w:val="24"/>
              </w:rPr>
              <w:t>同比增长</w:t>
            </w:r>
            <w:r w:rsidR="00183C6C" w:rsidRPr="00183C6C">
              <w:rPr>
                <w:rFonts w:cs="黑体-WinCharSetFFFF-H"/>
                <w:sz w:val="24"/>
                <w:szCs w:val="24"/>
              </w:rPr>
              <w:t>22.31%，</w:t>
            </w:r>
            <w:r w:rsidR="006A7C35">
              <w:rPr>
                <w:rFonts w:cs="黑体-WinCharSetFFFF-H" w:hint="eastAsia"/>
                <w:sz w:val="24"/>
                <w:szCs w:val="24"/>
              </w:rPr>
              <w:t>其中光伏</w:t>
            </w:r>
            <w:r w:rsidR="00B027D6" w:rsidRPr="00B027D6">
              <w:rPr>
                <w:rFonts w:cs="黑体-WinCharSetFFFF-H"/>
                <w:sz w:val="24"/>
                <w:szCs w:val="24"/>
              </w:rPr>
              <w:t>3,019</w:t>
            </w:r>
            <w:r w:rsidR="00B027D6">
              <w:rPr>
                <w:rFonts w:cs="黑体-WinCharSetFFFF-H" w:hint="eastAsia"/>
                <w:sz w:val="24"/>
                <w:szCs w:val="24"/>
              </w:rPr>
              <w:t>兆瓦，风电</w:t>
            </w:r>
            <w:r w:rsidR="00B027D6" w:rsidRPr="00B027D6">
              <w:rPr>
                <w:rFonts w:cs="黑体-WinCharSetFFFF-H"/>
                <w:sz w:val="24"/>
                <w:szCs w:val="24"/>
              </w:rPr>
              <w:t>1,226</w:t>
            </w:r>
            <w:r w:rsidR="00B027D6">
              <w:rPr>
                <w:rFonts w:cs="黑体-WinCharSetFFFF-H" w:hint="eastAsia"/>
                <w:sz w:val="24"/>
                <w:szCs w:val="24"/>
              </w:rPr>
              <w:t>兆瓦，生物质及储能1</w:t>
            </w:r>
            <w:r w:rsidR="00B027D6">
              <w:rPr>
                <w:rFonts w:cs="黑体-WinCharSetFFFF-H"/>
                <w:sz w:val="24"/>
                <w:szCs w:val="24"/>
              </w:rPr>
              <w:t>24</w:t>
            </w:r>
            <w:r w:rsidR="00B027D6">
              <w:rPr>
                <w:rFonts w:cs="黑体-WinCharSetFFFF-H" w:hint="eastAsia"/>
                <w:sz w:val="24"/>
                <w:szCs w:val="24"/>
              </w:rPr>
              <w:t>兆瓦。</w:t>
            </w:r>
          </w:p>
          <w:p w14:paraId="3583C23E" w14:textId="03F4469D" w:rsidR="005D4F56" w:rsidRPr="006A7C35" w:rsidRDefault="00AA3F73" w:rsidP="00AA3F73">
            <w:pPr>
              <w:pStyle w:val="a7"/>
              <w:spacing w:before="14"/>
              <w:ind w:left="0" w:firstLineChars="200" w:firstLine="480"/>
              <w:contextualSpacing/>
              <w:jc w:val="both"/>
              <w:rPr>
                <w:rFonts w:cs="黑体-WinCharSetFFFF-H"/>
                <w:sz w:val="24"/>
                <w:szCs w:val="24"/>
              </w:rPr>
            </w:pPr>
            <w:r w:rsidRPr="00AA3F73">
              <w:rPr>
                <w:rFonts w:cs="黑体-WinCharSetFFFF-H" w:hint="eastAsia"/>
                <w:sz w:val="24"/>
                <w:szCs w:val="24"/>
              </w:rPr>
              <w:t>公司秉承发展理念，围绕战略规划，积极响应市场变化，在风光资源丰富、消纳情况良好以及具备电价优势的地区开展布局，目前投资的在运新能源电站项目主要分布在</w:t>
            </w:r>
            <w:r w:rsidR="0004616A" w:rsidRPr="0004616A">
              <w:rPr>
                <w:rFonts w:cs="黑体-WinCharSetFFFF-H" w:hint="eastAsia"/>
                <w:sz w:val="24"/>
                <w:szCs w:val="24"/>
              </w:rPr>
              <w:t>新疆、</w:t>
            </w:r>
            <w:r w:rsidRPr="0004616A">
              <w:rPr>
                <w:rFonts w:cs="黑体-WinCharSetFFFF-H" w:hint="eastAsia"/>
                <w:sz w:val="24"/>
                <w:szCs w:val="24"/>
              </w:rPr>
              <w:t>山东、河北、山西、宁夏、</w:t>
            </w:r>
            <w:r w:rsidR="0004616A" w:rsidRPr="0004616A">
              <w:rPr>
                <w:rFonts w:cs="黑体-WinCharSetFFFF-H" w:hint="eastAsia"/>
                <w:sz w:val="24"/>
                <w:szCs w:val="24"/>
              </w:rPr>
              <w:t>湖北、广西</w:t>
            </w:r>
            <w:r w:rsidRPr="00AA3F73">
              <w:rPr>
                <w:rFonts w:cs="黑体-WinCharSetFFFF-H" w:hint="eastAsia"/>
                <w:sz w:val="24"/>
                <w:szCs w:val="24"/>
              </w:rPr>
              <w:t>等经济发达或风光资源优良的区域，并对具有</w:t>
            </w:r>
            <w:r w:rsidRPr="006A7C35">
              <w:rPr>
                <w:rFonts w:cs="黑体-WinCharSetFFFF-H" w:hint="eastAsia"/>
                <w:sz w:val="24"/>
                <w:szCs w:val="24"/>
              </w:rPr>
              <w:t>电力需求强劲</w:t>
            </w:r>
            <w:r w:rsidR="0004616A">
              <w:rPr>
                <w:rFonts w:cs="黑体-WinCharSetFFFF-H" w:hint="eastAsia"/>
                <w:sz w:val="24"/>
                <w:szCs w:val="24"/>
              </w:rPr>
              <w:t>、具备消纳优势、电价风险较低</w:t>
            </w:r>
            <w:r w:rsidRPr="006A7C35">
              <w:rPr>
                <w:rFonts w:cs="黑体-WinCharSetFFFF-H" w:hint="eastAsia"/>
                <w:sz w:val="24"/>
                <w:szCs w:val="24"/>
              </w:rPr>
              <w:t>的京津冀地区</w:t>
            </w:r>
            <w:r w:rsidR="0004616A">
              <w:rPr>
                <w:rFonts w:cs="黑体-WinCharSetFFFF-H" w:hint="eastAsia"/>
                <w:sz w:val="24"/>
                <w:szCs w:val="24"/>
              </w:rPr>
              <w:t>、</w:t>
            </w:r>
            <w:r w:rsidRPr="006A7C35">
              <w:rPr>
                <w:rFonts w:cs="黑体-WinCharSetFFFF-H" w:hint="eastAsia"/>
                <w:sz w:val="24"/>
                <w:szCs w:val="24"/>
              </w:rPr>
              <w:t>长三角、珠三角等中东南部</w:t>
            </w:r>
            <w:r w:rsidRPr="00AA3F73">
              <w:rPr>
                <w:rFonts w:cs="黑体-WinCharSetFFFF-H" w:hint="eastAsia"/>
                <w:sz w:val="24"/>
                <w:szCs w:val="24"/>
              </w:rPr>
              <w:t>地区加大开发投资力度</w:t>
            </w:r>
            <w:r>
              <w:rPr>
                <w:rFonts w:cs="黑体-WinCharSetFFFF-H" w:hint="eastAsia"/>
                <w:sz w:val="24"/>
                <w:szCs w:val="24"/>
              </w:rPr>
              <w:t>，</w:t>
            </w:r>
            <w:r w:rsidR="005D4F56" w:rsidRPr="006A7C35">
              <w:rPr>
                <w:rFonts w:cs="黑体-WinCharSetFFFF-H" w:hint="eastAsia"/>
                <w:sz w:val="24"/>
                <w:szCs w:val="24"/>
              </w:rPr>
              <w:t>有助于公司</w:t>
            </w:r>
            <w:r w:rsidR="0004616A">
              <w:rPr>
                <w:rFonts w:cs="黑体-WinCharSetFFFF-H" w:hint="eastAsia"/>
                <w:sz w:val="24"/>
                <w:szCs w:val="24"/>
              </w:rPr>
              <w:t>力争</w:t>
            </w:r>
            <w:r w:rsidR="005D4F56" w:rsidRPr="006A7C35">
              <w:rPr>
                <w:rFonts w:cs="黑体-WinCharSetFFFF-H" w:hint="eastAsia"/>
                <w:sz w:val="24"/>
                <w:szCs w:val="24"/>
              </w:rPr>
              <w:t>尽快在优势区域形成一定的规模优势，保障未来项目投资回报和经济效益。</w:t>
            </w:r>
          </w:p>
          <w:p w14:paraId="49F5144B" w14:textId="77777777" w:rsidR="00322B1F" w:rsidRDefault="00322B1F" w:rsidP="00945B6F">
            <w:pPr>
              <w:pStyle w:val="a7"/>
              <w:spacing w:before="14"/>
              <w:ind w:left="0"/>
              <w:contextualSpacing/>
              <w:jc w:val="both"/>
              <w:rPr>
                <w:rFonts w:cs="黑体-WinCharSetFFFF-H"/>
                <w:b/>
                <w:bCs/>
                <w:sz w:val="24"/>
                <w:szCs w:val="24"/>
              </w:rPr>
            </w:pPr>
          </w:p>
          <w:p w14:paraId="2D383D5B" w14:textId="1135C83C" w:rsidR="00945B6F" w:rsidRPr="00F737C1" w:rsidRDefault="00945B6F" w:rsidP="00945B6F">
            <w:pPr>
              <w:pStyle w:val="a7"/>
              <w:spacing w:before="14"/>
              <w:ind w:left="0"/>
              <w:contextualSpacing/>
              <w:jc w:val="both"/>
              <w:rPr>
                <w:rFonts w:cs="黑体-WinCharSetFFFF-H"/>
                <w:sz w:val="24"/>
                <w:szCs w:val="24"/>
              </w:rPr>
            </w:pPr>
            <w:r w:rsidRPr="00945B6F">
              <w:rPr>
                <w:rFonts w:cs="黑体-WinCharSetFFFF-H" w:hint="eastAsia"/>
                <w:b/>
                <w:bCs/>
                <w:sz w:val="24"/>
                <w:szCs w:val="24"/>
              </w:rPr>
              <w:t>问题</w:t>
            </w:r>
            <w:r w:rsidR="00321A95">
              <w:rPr>
                <w:rFonts w:cs="黑体-WinCharSetFFFF-H" w:hint="eastAsia"/>
                <w:b/>
                <w:bCs/>
                <w:sz w:val="24"/>
                <w:szCs w:val="24"/>
              </w:rPr>
              <w:t>四</w:t>
            </w:r>
            <w:r w:rsidRPr="00945B6F">
              <w:rPr>
                <w:rFonts w:cs="黑体-WinCharSetFFFF-H" w:hint="eastAsia"/>
                <w:b/>
                <w:bCs/>
                <w:sz w:val="24"/>
                <w:szCs w:val="24"/>
              </w:rPr>
              <w:t>：</w:t>
            </w:r>
            <w:r w:rsidR="005D4F56" w:rsidRPr="005D4F56">
              <w:rPr>
                <w:rFonts w:cs="黑体-WinCharSetFFFF-H" w:hint="eastAsia"/>
                <w:sz w:val="24"/>
                <w:szCs w:val="24"/>
              </w:rPr>
              <w:t>请</w:t>
            </w:r>
            <w:r w:rsidR="005D4F56">
              <w:rPr>
                <w:rFonts w:cs="黑体-WinCharSetFFFF-H" w:hint="eastAsia"/>
                <w:sz w:val="24"/>
                <w:szCs w:val="24"/>
              </w:rPr>
              <w:t>介绍</w:t>
            </w:r>
            <w:r w:rsidR="005D4F56" w:rsidRPr="005D4F56">
              <w:rPr>
                <w:rFonts w:cs="黑体-WinCharSetFFFF-H" w:hint="eastAsia"/>
                <w:sz w:val="24"/>
                <w:szCs w:val="24"/>
              </w:rPr>
              <w:t>公司目前的装机节奏？</w:t>
            </w:r>
          </w:p>
          <w:p w14:paraId="61968E85" w14:textId="0CD722A7" w:rsidR="00945B6F" w:rsidRDefault="00945B6F" w:rsidP="00322B1F">
            <w:pPr>
              <w:pStyle w:val="a7"/>
              <w:spacing w:before="14"/>
              <w:ind w:left="0" w:firstLineChars="200" w:firstLine="482"/>
              <w:contextualSpacing/>
              <w:jc w:val="both"/>
              <w:rPr>
                <w:rFonts w:cs="黑体-WinCharSetFFFF-H"/>
                <w:sz w:val="24"/>
                <w:szCs w:val="24"/>
              </w:rPr>
            </w:pPr>
            <w:r w:rsidRPr="00945B6F">
              <w:rPr>
                <w:rFonts w:cs="黑体-WinCharSetFFFF-H" w:hint="eastAsia"/>
                <w:b/>
                <w:bCs/>
                <w:sz w:val="24"/>
                <w:szCs w:val="24"/>
              </w:rPr>
              <w:t>答：</w:t>
            </w:r>
            <w:r w:rsidR="00183C6C" w:rsidRPr="00183C6C">
              <w:rPr>
                <w:rFonts w:cs="黑体-WinCharSetFFFF-H"/>
                <w:sz w:val="24"/>
                <w:szCs w:val="24"/>
              </w:rPr>
              <w:t>根据公司</w:t>
            </w:r>
            <w:r w:rsidR="00A2619E">
              <w:rPr>
                <w:rFonts w:cs="黑体-WinCharSetFFFF-H" w:hint="eastAsia"/>
                <w:sz w:val="24"/>
                <w:szCs w:val="24"/>
              </w:rPr>
              <w:t>“</w:t>
            </w:r>
            <w:r w:rsidR="00183C6C" w:rsidRPr="00183C6C">
              <w:rPr>
                <w:rFonts w:cs="黑体-WinCharSetFFFF-H"/>
                <w:sz w:val="24"/>
                <w:szCs w:val="24"/>
              </w:rPr>
              <w:t>三步走”战略安排，到 2025 年，公司新能源发电</w:t>
            </w:r>
            <w:r w:rsidR="0004616A">
              <w:rPr>
                <w:rFonts w:cs="黑体-WinCharSetFFFF-H" w:hint="eastAsia"/>
                <w:sz w:val="24"/>
                <w:szCs w:val="24"/>
              </w:rPr>
              <w:t>核准</w:t>
            </w:r>
            <w:r w:rsidR="00183C6C" w:rsidRPr="00183C6C">
              <w:rPr>
                <w:rFonts w:cs="黑体-WinCharSetFFFF-H"/>
                <w:sz w:val="24"/>
                <w:szCs w:val="24"/>
              </w:rPr>
              <w:t>装机规模预计突破 13GW。以上规划是公司基于当前能够掌握的信息与数据对未来所做出的估计或预测，不构成公司对投资者的实质承诺，敬请投资者注意投资风险。</w:t>
            </w:r>
          </w:p>
          <w:p w14:paraId="2F0B1DA0" w14:textId="77777777" w:rsidR="00EF71CA" w:rsidRDefault="00EF71CA" w:rsidP="00322B1F">
            <w:pPr>
              <w:pStyle w:val="a7"/>
              <w:spacing w:before="14"/>
              <w:ind w:left="0" w:firstLineChars="200" w:firstLine="480"/>
              <w:contextualSpacing/>
              <w:jc w:val="both"/>
              <w:rPr>
                <w:rFonts w:cs="黑体-WinCharSetFFFF-H"/>
                <w:sz w:val="24"/>
                <w:szCs w:val="24"/>
              </w:rPr>
            </w:pPr>
          </w:p>
          <w:p w14:paraId="37B44374" w14:textId="18B39487" w:rsidR="00EF71CA" w:rsidRPr="00F737C1" w:rsidRDefault="00EF71CA" w:rsidP="00EF71CA">
            <w:pPr>
              <w:pStyle w:val="a7"/>
              <w:spacing w:before="14"/>
              <w:ind w:left="0"/>
              <w:contextualSpacing/>
              <w:jc w:val="both"/>
              <w:rPr>
                <w:rFonts w:cs="黑体-WinCharSetFFFF-H"/>
                <w:sz w:val="24"/>
                <w:szCs w:val="24"/>
              </w:rPr>
            </w:pPr>
            <w:r w:rsidRPr="00945B6F">
              <w:rPr>
                <w:rFonts w:cs="黑体-WinCharSetFFFF-H" w:hint="eastAsia"/>
                <w:b/>
                <w:bCs/>
                <w:sz w:val="24"/>
                <w:szCs w:val="24"/>
              </w:rPr>
              <w:t>问题</w:t>
            </w:r>
            <w:r w:rsidR="00321A95">
              <w:rPr>
                <w:rFonts w:cs="黑体-WinCharSetFFFF-H" w:hint="eastAsia"/>
                <w:b/>
                <w:bCs/>
                <w:sz w:val="24"/>
                <w:szCs w:val="24"/>
              </w:rPr>
              <w:t>五</w:t>
            </w:r>
            <w:r w:rsidRPr="00945B6F">
              <w:rPr>
                <w:rFonts w:cs="黑体-WinCharSetFFFF-H" w:hint="eastAsia"/>
                <w:b/>
                <w:bCs/>
                <w:sz w:val="24"/>
                <w:szCs w:val="24"/>
              </w:rPr>
              <w:t>：</w:t>
            </w:r>
            <w:r w:rsidRPr="005D4F56">
              <w:rPr>
                <w:rFonts w:cs="黑体-WinCharSetFFFF-H" w:hint="eastAsia"/>
                <w:sz w:val="24"/>
                <w:szCs w:val="24"/>
              </w:rPr>
              <w:t>请</w:t>
            </w:r>
            <w:r>
              <w:rPr>
                <w:rFonts w:cs="黑体-WinCharSetFFFF-H" w:hint="eastAsia"/>
                <w:sz w:val="24"/>
                <w:szCs w:val="24"/>
              </w:rPr>
              <w:t>问按照</w:t>
            </w:r>
            <w:r w:rsidRPr="005D4F56">
              <w:rPr>
                <w:rFonts w:cs="黑体-WinCharSetFFFF-H" w:hint="eastAsia"/>
                <w:sz w:val="24"/>
                <w:szCs w:val="24"/>
              </w:rPr>
              <w:t>公司目前的装机节奏</w:t>
            </w:r>
            <w:r w:rsidR="00AC598A">
              <w:rPr>
                <w:rFonts w:cs="黑体-WinCharSetFFFF-H" w:hint="eastAsia"/>
                <w:sz w:val="24"/>
                <w:szCs w:val="24"/>
              </w:rPr>
              <w:t>，如何匹配资金使用？</w:t>
            </w:r>
          </w:p>
          <w:p w14:paraId="323E8CFC" w14:textId="1B7D2E39" w:rsidR="00EF71CA" w:rsidRDefault="00EF71CA" w:rsidP="00EF71CA">
            <w:pPr>
              <w:pStyle w:val="a7"/>
              <w:spacing w:before="14"/>
              <w:ind w:left="0" w:firstLineChars="200" w:firstLine="482"/>
              <w:contextualSpacing/>
              <w:jc w:val="both"/>
              <w:rPr>
                <w:rFonts w:cs="黑体-WinCharSetFFFF-H"/>
                <w:sz w:val="24"/>
                <w:szCs w:val="24"/>
              </w:rPr>
            </w:pPr>
            <w:r w:rsidRPr="00945B6F">
              <w:rPr>
                <w:rFonts w:cs="黑体-WinCharSetFFFF-H" w:hint="eastAsia"/>
                <w:b/>
                <w:bCs/>
                <w:sz w:val="24"/>
                <w:szCs w:val="24"/>
              </w:rPr>
              <w:t>答：</w:t>
            </w:r>
            <w:r w:rsidR="00245E3F" w:rsidRPr="00245E3F">
              <w:rPr>
                <w:rFonts w:cs="黑体-WinCharSetFFFF-H" w:hint="eastAsia"/>
                <w:sz w:val="24"/>
                <w:szCs w:val="24"/>
              </w:rPr>
              <w:t>根据</w:t>
            </w:r>
            <w:r w:rsidR="0004616A">
              <w:rPr>
                <w:rFonts w:cs="黑体-WinCharSetFFFF-H" w:hint="eastAsia"/>
                <w:sz w:val="24"/>
                <w:szCs w:val="24"/>
              </w:rPr>
              <w:t>公司</w:t>
            </w:r>
            <w:r w:rsidR="00245E3F" w:rsidRPr="00245E3F">
              <w:rPr>
                <w:rFonts w:cs="黑体-WinCharSetFFFF-H" w:hint="eastAsia"/>
                <w:sz w:val="24"/>
                <w:szCs w:val="24"/>
              </w:rPr>
              <w:t>规划，公司</w:t>
            </w:r>
            <w:r w:rsidR="0004616A">
              <w:rPr>
                <w:rFonts w:cs="黑体-WinCharSetFFFF-H" w:hint="eastAsia"/>
                <w:sz w:val="24"/>
                <w:szCs w:val="24"/>
              </w:rPr>
              <w:t>现有资金储备</w:t>
            </w:r>
            <w:r w:rsidR="00245E3F" w:rsidRPr="00245E3F">
              <w:rPr>
                <w:rFonts w:cs="黑体-WinCharSetFFFF-H" w:hint="eastAsia"/>
                <w:sz w:val="24"/>
                <w:szCs w:val="24"/>
              </w:rPr>
              <w:t>基本可以支撑</w:t>
            </w:r>
            <w:r w:rsidR="0004616A">
              <w:rPr>
                <w:rFonts w:cs="黑体-WinCharSetFFFF-H" w:hint="eastAsia"/>
                <w:sz w:val="24"/>
                <w:szCs w:val="24"/>
              </w:rPr>
              <w:t>中期</w:t>
            </w:r>
            <w:r w:rsidR="00DC61F2">
              <w:rPr>
                <w:rFonts w:cs="黑体-WinCharSetFFFF-H" w:hint="eastAsia"/>
                <w:sz w:val="24"/>
                <w:szCs w:val="24"/>
              </w:rPr>
              <w:t>业务发展需求</w:t>
            </w:r>
            <w:r w:rsidR="00245E3F" w:rsidRPr="00245E3F">
              <w:rPr>
                <w:rFonts w:cs="黑体-WinCharSetFFFF-H" w:hint="eastAsia"/>
                <w:sz w:val="24"/>
                <w:szCs w:val="24"/>
              </w:rPr>
              <w:t>。</w:t>
            </w:r>
            <w:r w:rsidR="00204D62">
              <w:rPr>
                <w:rFonts w:cs="黑体-WinCharSetFFFF-H" w:hint="eastAsia"/>
                <w:sz w:val="24"/>
                <w:szCs w:val="24"/>
              </w:rPr>
              <w:t>除了每年的利润留存之外，</w:t>
            </w:r>
            <w:r w:rsidR="00DC61F2">
              <w:rPr>
                <w:rFonts w:cs="黑体-WinCharSetFFFF-H" w:hint="eastAsia"/>
                <w:sz w:val="24"/>
                <w:szCs w:val="24"/>
              </w:rPr>
              <w:t>从资本结构看，公司所有项目都匹配了长期借款，自有资金比例在2</w:t>
            </w:r>
            <w:r w:rsidR="00DC61F2">
              <w:rPr>
                <w:rFonts w:cs="黑体-WinCharSetFFFF-H"/>
                <w:sz w:val="24"/>
                <w:szCs w:val="24"/>
              </w:rPr>
              <w:t>0%-30%</w:t>
            </w:r>
            <w:r w:rsidR="00DC61F2">
              <w:rPr>
                <w:rFonts w:cs="黑体-WinCharSetFFFF-H" w:hint="eastAsia"/>
                <w:sz w:val="24"/>
                <w:szCs w:val="24"/>
              </w:rPr>
              <w:t>之间；在项目投资决策时，会测算未来的现金流情况，</w:t>
            </w:r>
            <w:r w:rsidR="00DC61F2">
              <w:rPr>
                <w:rFonts w:cs="黑体-WinCharSetFFFF-H" w:hint="eastAsia"/>
                <w:sz w:val="24"/>
                <w:szCs w:val="24"/>
              </w:rPr>
              <w:lastRenderedPageBreak/>
              <w:t>保障</w:t>
            </w:r>
            <w:r w:rsidR="00DC61F2" w:rsidRPr="00AC598A">
              <w:rPr>
                <w:rFonts w:cs="黑体-WinCharSetFFFF-H"/>
                <w:sz w:val="24"/>
                <w:szCs w:val="24"/>
              </w:rPr>
              <w:t>项目的长期借款规模及还本付息安排与项目建设支出及后续电费回收情况相匹配</w:t>
            </w:r>
            <w:r w:rsidR="00DC61F2">
              <w:rPr>
                <w:rFonts w:cs="黑体-WinCharSetFFFF-H" w:hint="eastAsia"/>
                <w:sz w:val="24"/>
                <w:szCs w:val="24"/>
              </w:rPr>
              <w:t>。</w:t>
            </w:r>
            <w:r w:rsidR="00AC598A" w:rsidRPr="00AC598A">
              <w:rPr>
                <w:rFonts w:cs="黑体-WinCharSetFFFF-H"/>
                <w:sz w:val="24"/>
                <w:szCs w:val="24"/>
              </w:rPr>
              <w:t>2023年</w:t>
            </w:r>
            <w:r w:rsidR="0004616A">
              <w:rPr>
                <w:rFonts w:cs="黑体-WinCharSetFFFF-H" w:hint="eastAsia"/>
                <w:sz w:val="24"/>
                <w:szCs w:val="24"/>
              </w:rPr>
              <w:t>以来</w:t>
            </w:r>
            <w:r w:rsidR="00AC598A" w:rsidRPr="00AC598A">
              <w:rPr>
                <w:rFonts w:cs="黑体-WinCharSetFFFF-H"/>
                <w:sz w:val="24"/>
                <w:szCs w:val="24"/>
              </w:rPr>
              <w:t>，公司新增项目融资</w:t>
            </w:r>
            <w:r w:rsidR="006800DF">
              <w:rPr>
                <w:rFonts w:cs="黑体-WinCharSetFFFF-H" w:hint="eastAsia"/>
                <w:sz w:val="24"/>
                <w:szCs w:val="24"/>
              </w:rPr>
              <w:t>成本逐渐降低，截至目前，最低成本已降至2</w:t>
            </w:r>
            <w:r w:rsidR="006800DF">
              <w:rPr>
                <w:rFonts w:cs="黑体-WinCharSetFFFF-H"/>
                <w:sz w:val="24"/>
                <w:szCs w:val="24"/>
              </w:rPr>
              <w:t>.5%</w:t>
            </w:r>
            <w:r w:rsidR="006800DF">
              <w:rPr>
                <w:rFonts w:cs="黑体-WinCharSetFFFF-H" w:hint="eastAsia"/>
                <w:sz w:val="24"/>
                <w:szCs w:val="24"/>
              </w:rPr>
              <w:t>以下</w:t>
            </w:r>
            <w:r w:rsidR="00AC598A" w:rsidRPr="00AC598A">
              <w:rPr>
                <w:rFonts w:cs="黑体-WinCharSetFFFF-H"/>
                <w:sz w:val="24"/>
                <w:szCs w:val="24"/>
              </w:rPr>
              <w:t>，</w:t>
            </w:r>
            <w:r w:rsidR="006800DF">
              <w:rPr>
                <w:rFonts w:cs="黑体-WinCharSetFFFF-H" w:hint="eastAsia"/>
                <w:sz w:val="24"/>
                <w:szCs w:val="24"/>
              </w:rPr>
              <w:t>另外</w:t>
            </w:r>
            <w:r w:rsidR="00AC598A" w:rsidRPr="00AC598A">
              <w:rPr>
                <w:rFonts w:cs="黑体-WinCharSetFFFF-H"/>
                <w:sz w:val="24"/>
                <w:szCs w:val="24"/>
              </w:rPr>
              <w:t>通</w:t>
            </w:r>
            <w:r w:rsidR="00AC598A" w:rsidRPr="00AC598A">
              <w:rPr>
                <w:rFonts w:cs="黑体-WinCharSetFFFF-H" w:hint="eastAsia"/>
                <w:sz w:val="24"/>
                <w:szCs w:val="24"/>
              </w:rPr>
              <w:t>过置换低成本融资、下调项目融资利率等措施，公司财务费用占营收比持续下降。后续，公司将继续通过提升电站资产的盈利能力、提前偿还部分项目借款等措施控制资产负债率水平，不断提升资本实力，为业务发展提供有力保障。</w:t>
            </w:r>
          </w:p>
          <w:p w14:paraId="5F7A5635" w14:textId="77777777" w:rsidR="00057350" w:rsidRDefault="00057350" w:rsidP="00057350">
            <w:pPr>
              <w:pStyle w:val="a7"/>
              <w:spacing w:before="14"/>
              <w:ind w:left="0"/>
              <w:contextualSpacing/>
              <w:jc w:val="both"/>
              <w:rPr>
                <w:rFonts w:cs="黑体-WinCharSetFFFF-H"/>
                <w:sz w:val="24"/>
                <w:szCs w:val="24"/>
              </w:rPr>
            </w:pPr>
          </w:p>
          <w:p w14:paraId="5DE52CB5" w14:textId="6226E112" w:rsidR="00057350" w:rsidRPr="00057350" w:rsidRDefault="00057350" w:rsidP="00057350">
            <w:pPr>
              <w:pStyle w:val="a7"/>
              <w:spacing w:before="14"/>
              <w:ind w:left="0"/>
              <w:contextualSpacing/>
              <w:jc w:val="both"/>
              <w:rPr>
                <w:rFonts w:cs="黑体-WinCharSetFFFF-H"/>
                <w:b/>
                <w:bCs/>
                <w:sz w:val="24"/>
                <w:szCs w:val="24"/>
              </w:rPr>
            </w:pPr>
            <w:r w:rsidRPr="00057350">
              <w:rPr>
                <w:rFonts w:cs="黑体-WinCharSetFFFF-H" w:hint="eastAsia"/>
                <w:b/>
                <w:bCs/>
                <w:sz w:val="24"/>
                <w:szCs w:val="24"/>
              </w:rPr>
              <w:t>问题</w:t>
            </w:r>
            <w:r>
              <w:rPr>
                <w:rFonts w:cs="黑体-WinCharSetFFFF-H" w:hint="eastAsia"/>
                <w:b/>
                <w:bCs/>
                <w:sz w:val="24"/>
                <w:szCs w:val="24"/>
              </w:rPr>
              <w:t>六</w:t>
            </w:r>
            <w:r w:rsidRPr="00057350">
              <w:rPr>
                <w:rFonts w:cs="黑体-WinCharSetFFFF-H" w:hint="eastAsia"/>
                <w:b/>
                <w:bCs/>
                <w:sz w:val="24"/>
                <w:szCs w:val="24"/>
              </w:rPr>
              <w:t>：公司是否有分红的长效机制？</w:t>
            </w:r>
          </w:p>
          <w:p w14:paraId="7829F703" w14:textId="77777777" w:rsidR="00057350" w:rsidRDefault="00057350" w:rsidP="00057350">
            <w:pPr>
              <w:pStyle w:val="a7"/>
              <w:spacing w:before="14"/>
              <w:ind w:left="0" w:firstLineChars="200" w:firstLine="482"/>
              <w:contextualSpacing/>
              <w:jc w:val="both"/>
              <w:rPr>
                <w:rFonts w:cs="黑体-WinCharSetFFFF-H"/>
                <w:sz w:val="24"/>
                <w:szCs w:val="24"/>
              </w:rPr>
            </w:pPr>
            <w:r w:rsidRPr="00057350">
              <w:rPr>
                <w:rFonts w:cs="黑体-WinCharSetFFFF-H" w:hint="eastAsia"/>
                <w:b/>
                <w:bCs/>
                <w:sz w:val="24"/>
                <w:szCs w:val="24"/>
              </w:rPr>
              <w:t>答</w:t>
            </w:r>
            <w:r w:rsidRPr="00057350">
              <w:rPr>
                <w:rFonts w:cs="黑体-WinCharSetFFFF-H" w:hint="eastAsia"/>
                <w:sz w:val="24"/>
                <w:szCs w:val="24"/>
              </w:rPr>
              <w:t>：公司已建立起常态化的现金分红机制</w:t>
            </w:r>
            <w:r>
              <w:rPr>
                <w:rFonts w:cs="黑体-WinCharSetFFFF-H" w:hint="eastAsia"/>
                <w:sz w:val="24"/>
                <w:szCs w:val="24"/>
              </w:rPr>
              <w:t>。</w:t>
            </w:r>
            <w:r w:rsidRPr="00057350">
              <w:rPr>
                <w:rFonts w:cs="黑体-WinCharSetFFFF-H"/>
                <w:sz w:val="24"/>
                <w:szCs w:val="24"/>
              </w:rPr>
              <w:t>2023年9月，公司在半年报弥补了重组前遗留近8亿元亏损、首次具备分红条件后，立即派发现金股利2亿元，占2023上半年归母净利润近40%，折合年化股息率3.3%（半年股息率1.63%），在“Wind-新能源电力”行业中位列头部水平。</w:t>
            </w:r>
          </w:p>
          <w:p w14:paraId="7DAAA730" w14:textId="77777777" w:rsidR="003E0083" w:rsidRDefault="00057350" w:rsidP="00057350">
            <w:pPr>
              <w:pStyle w:val="a7"/>
              <w:spacing w:before="14"/>
              <w:ind w:left="0" w:firstLineChars="200" w:firstLine="480"/>
              <w:contextualSpacing/>
              <w:jc w:val="both"/>
              <w:rPr>
                <w:rFonts w:cs="黑体-WinCharSetFFFF-H"/>
                <w:sz w:val="24"/>
                <w:szCs w:val="24"/>
              </w:rPr>
            </w:pPr>
            <w:r>
              <w:rPr>
                <w:rFonts w:cs="黑体-WinCharSetFFFF-H" w:hint="eastAsia"/>
                <w:sz w:val="24"/>
                <w:szCs w:val="24"/>
              </w:rPr>
              <w:t>另外，</w:t>
            </w:r>
            <w:r w:rsidRPr="00057350">
              <w:rPr>
                <w:rFonts w:cs="黑体-WinCharSetFFFF-H"/>
                <w:sz w:val="24"/>
                <w:szCs w:val="24"/>
              </w:rPr>
              <w:t>截至2024年1月31日，公司总计回购1.49亿元，根据《上海证券交易所上市公司自律监管指引第7号——回购股份》第八条</w:t>
            </w:r>
            <w:r>
              <w:rPr>
                <w:rFonts w:cs="黑体-WinCharSetFFFF-H" w:hint="eastAsia"/>
                <w:sz w:val="24"/>
                <w:szCs w:val="24"/>
              </w:rPr>
              <w:t>，</w:t>
            </w:r>
            <w:r w:rsidRPr="00057350">
              <w:rPr>
                <w:rFonts w:cs="黑体-WinCharSetFFFF-H"/>
                <w:sz w:val="24"/>
                <w:szCs w:val="24"/>
              </w:rPr>
              <w:t>视同现金分红1.49亿元。</w:t>
            </w:r>
          </w:p>
          <w:p w14:paraId="3ECE2511" w14:textId="68742D17" w:rsidR="00F3470F" w:rsidRPr="003E0083" w:rsidRDefault="00660CC4" w:rsidP="008C213C">
            <w:pPr>
              <w:pStyle w:val="a7"/>
              <w:spacing w:before="14"/>
              <w:ind w:left="0" w:firstLineChars="200" w:firstLine="480"/>
              <w:contextualSpacing/>
              <w:jc w:val="both"/>
              <w:rPr>
                <w:rFonts w:cs="黑体-WinCharSetFFFF-H"/>
                <w:sz w:val="24"/>
                <w:szCs w:val="24"/>
              </w:rPr>
            </w:pPr>
            <w:r>
              <w:rPr>
                <w:rFonts w:cs="黑体-WinCharSetFFFF-H" w:hint="eastAsia"/>
                <w:sz w:val="24"/>
                <w:szCs w:val="24"/>
              </w:rPr>
              <w:t>公司</w:t>
            </w:r>
            <w:r w:rsidR="00852DC1" w:rsidRPr="00852DC1">
              <w:rPr>
                <w:rFonts w:cs="黑体-WinCharSetFFFF-H" w:hint="eastAsia"/>
                <w:sz w:val="24"/>
                <w:szCs w:val="24"/>
              </w:rPr>
              <w:t>重视投资者利益，未来仍将努力提升业绩并实施持续、稳定的现金分红，逐步提升分红比例</w:t>
            </w:r>
            <w:r w:rsidR="00852DC1" w:rsidRPr="00852DC1">
              <w:rPr>
                <w:rFonts w:cs="黑体-WinCharSetFFFF-H"/>
                <w:sz w:val="24"/>
                <w:szCs w:val="24"/>
              </w:rPr>
              <w:t>，切实回报</w:t>
            </w:r>
            <w:r w:rsidR="008055E9">
              <w:rPr>
                <w:rFonts w:cs="黑体-WinCharSetFFFF-H" w:hint="eastAsia"/>
                <w:sz w:val="24"/>
                <w:szCs w:val="24"/>
              </w:rPr>
              <w:t>广大投资者</w:t>
            </w:r>
            <w:r w:rsidR="00852DC1">
              <w:rPr>
                <w:rFonts w:cs="黑体-WinCharSetFFFF-H" w:hint="eastAsia"/>
                <w:sz w:val="24"/>
                <w:szCs w:val="24"/>
              </w:rPr>
              <w:t>。</w:t>
            </w:r>
          </w:p>
        </w:tc>
      </w:tr>
      <w:tr w:rsidR="004C1999" w14:paraId="03CE7560" w14:textId="77777777" w:rsidTr="00945B6F">
        <w:trPr>
          <w:trHeight w:val="361"/>
        </w:trPr>
        <w:tc>
          <w:tcPr>
            <w:tcW w:w="2518" w:type="dxa"/>
          </w:tcPr>
          <w:p w14:paraId="24B1BE8D" w14:textId="64B6BE1A" w:rsidR="004C1999" w:rsidRPr="003E0083" w:rsidRDefault="004C1999" w:rsidP="002A225E">
            <w:pPr>
              <w:pStyle w:val="a7"/>
              <w:spacing w:before="14"/>
              <w:ind w:left="0"/>
              <w:contextualSpacing/>
              <w:jc w:val="both"/>
              <w:rPr>
                <w:rFonts w:cs="黑体-WinCharSetFFFF-H"/>
                <w:sz w:val="24"/>
                <w:szCs w:val="24"/>
              </w:rPr>
            </w:pPr>
            <w:r w:rsidRPr="004C1999">
              <w:rPr>
                <w:rFonts w:cs="黑体-WinCharSetFFFF-H" w:hint="eastAsia"/>
                <w:sz w:val="24"/>
                <w:szCs w:val="24"/>
              </w:rPr>
              <w:lastRenderedPageBreak/>
              <w:t>附件清单</w:t>
            </w:r>
          </w:p>
        </w:tc>
        <w:tc>
          <w:tcPr>
            <w:tcW w:w="6004" w:type="dxa"/>
          </w:tcPr>
          <w:p w14:paraId="61CCAB24" w14:textId="2495D778" w:rsidR="004C1999" w:rsidRPr="003E0083" w:rsidRDefault="004C1999" w:rsidP="002A225E">
            <w:pPr>
              <w:pStyle w:val="a7"/>
              <w:spacing w:before="14"/>
              <w:ind w:left="0"/>
              <w:contextualSpacing/>
              <w:jc w:val="both"/>
              <w:rPr>
                <w:rFonts w:cs="黑体-WinCharSetFFFF-H"/>
                <w:sz w:val="24"/>
                <w:szCs w:val="24"/>
              </w:rPr>
            </w:pPr>
            <w:r>
              <w:rPr>
                <w:rFonts w:cs="黑体-WinCharSetFFFF-H" w:hint="eastAsia"/>
                <w:sz w:val="24"/>
                <w:szCs w:val="24"/>
              </w:rPr>
              <w:t>无</w:t>
            </w:r>
          </w:p>
        </w:tc>
      </w:tr>
    </w:tbl>
    <w:p w14:paraId="072DEE2A" w14:textId="1C7B78F5" w:rsidR="00300FEB" w:rsidRPr="000418D4" w:rsidRDefault="00E24574">
      <w:pPr>
        <w:rPr>
          <w:sz w:val="24"/>
          <w:szCs w:val="24"/>
        </w:rPr>
      </w:pPr>
      <w:r w:rsidRPr="00E24574">
        <w:rPr>
          <w:rFonts w:hint="eastAsia"/>
          <w:sz w:val="24"/>
          <w:szCs w:val="24"/>
        </w:rPr>
        <w:t>注：公司严格遵守信息披露相关规则与投资者进行交流，</w:t>
      </w:r>
      <w:r w:rsidRPr="00E24574">
        <w:rPr>
          <w:sz w:val="24"/>
          <w:szCs w:val="24"/>
        </w:rPr>
        <w:t>如涉及战略划等意向性目标</w:t>
      </w:r>
      <w:r>
        <w:rPr>
          <w:rFonts w:hint="eastAsia"/>
          <w:sz w:val="24"/>
          <w:szCs w:val="24"/>
        </w:rPr>
        <w:t>，</w:t>
      </w:r>
      <w:r w:rsidRPr="00E24574">
        <w:rPr>
          <w:sz w:val="24"/>
          <w:szCs w:val="24"/>
        </w:rPr>
        <w:t>如涉及战略划等意向性目标</w:t>
      </w:r>
      <w:r>
        <w:rPr>
          <w:rFonts w:hint="eastAsia"/>
          <w:sz w:val="24"/>
          <w:szCs w:val="24"/>
        </w:rPr>
        <w:t>，</w:t>
      </w:r>
      <w:r w:rsidRPr="00E24574">
        <w:rPr>
          <w:sz w:val="24"/>
          <w:szCs w:val="24"/>
        </w:rPr>
        <w:t>不视为公司或管理</w:t>
      </w:r>
      <w:r w:rsidRPr="00E24574">
        <w:rPr>
          <w:rFonts w:hint="eastAsia"/>
          <w:sz w:val="24"/>
          <w:szCs w:val="24"/>
        </w:rPr>
        <w:t>层对业绩的保证承诺，敬请广大投资者注意风险</w:t>
      </w:r>
      <w:r>
        <w:rPr>
          <w:rFonts w:hint="eastAsia"/>
          <w:sz w:val="24"/>
          <w:szCs w:val="24"/>
        </w:rPr>
        <w:t>。</w:t>
      </w:r>
    </w:p>
    <w:sectPr w:rsidR="00300FEB" w:rsidRPr="00041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B641" w14:textId="77777777" w:rsidR="00822D15" w:rsidRDefault="00822D15" w:rsidP="00300FEB">
      <w:r>
        <w:separator/>
      </w:r>
    </w:p>
  </w:endnote>
  <w:endnote w:type="continuationSeparator" w:id="0">
    <w:p w14:paraId="2CCEEA78" w14:textId="77777777" w:rsidR="00822D15" w:rsidRDefault="00822D15" w:rsidP="0030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WinCharSetFFFF-H">
    <w:altName w:val="等线"/>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F7B4" w14:textId="77777777" w:rsidR="00822D15" w:rsidRDefault="00822D15" w:rsidP="00300FEB">
      <w:r>
        <w:separator/>
      </w:r>
    </w:p>
  </w:footnote>
  <w:footnote w:type="continuationSeparator" w:id="0">
    <w:p w14:paraId="4C50D662" w14:textId="77777777" w:rsidR="00822D15" w:rsidRDefault="00822D15" w:rsidP="00300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16cid:durableId="5971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20E9"/>
    <w:rsid w:val="000056AD"/>
    <w:rsid w:val="00015272"/>
    <w:rsid w:val="000311E1"/>
    <w:rsid w:val="000335AA"/>
    <w:rsid w:val="00033845"/>
    <w:rsid w:val="00036AA8"/>
    <w:rsid w:val="000418D4"/>
    <w:rsid w:val="0004616A"/>
    <w:rsid w:val="00046745"/>
    <w:rsid w:val="00057350"/>
    <w:rsid w:val="00066AEC"/>
    <w:rsid w:val="0007287B"/>
    <w:rsid w:val="00074283"/>
    <w:rsid w:val="00074B33"/>
    <w:rsid w:val="00081834"/>
    <w:rsid w:val="00086960"/>
    <w:rsid w:val="00087C30"/>
    <w:rsid w:val="000B61AA"/>
    <w:rsid w:val="000C1919"/>
    <w:rsid w:val="000C194B"/>
    <w:rsid w:val="000E1662"/>
    <w:rsid w:val="000E4D85"/>
    <w:rsid w:val="000E7868"/>
    <w:rsid w:val="000E7DFD"/>
    <w:rsid w:val="000F44B5"/>
    <w:rsid w:val="00100B26"/>
    <w:rsid w:val="00107B0F"/>
    <w:rsid w:val="0012017B"/>
    <w:rsid w:val="001216B8"/>
    <w:rsid w:val="00121C20"/>
    <w:rsid w:val="00127F5E"/>
    <w:rsid w:val="00130E7B"/>
    <w:rsid w:val="001312A5"/>
    <w:rsid w:val="0013298C"/>
    <w:rsid w:val="001345F1"/>
    <w:rsid w:val="00134AEC"/>
    <w:rsid w:val="00142D6A"/>
    <w:rsid w:val="00143D36"/>
    <w:rsid w:val="001445AA"/>
    <w:rsid w:val="001457EB"/>
    <w:rsid w:val="00157026"/>
    <w:rsid w:val="001670C4"/>
    <w:rsid w:val="00175774"/>
    <w:rsid w:val="00182DCE"/>
    <w:rsid w:val="00183986"/>
    <w:rsid w:val="00183C6C"/>
    <w:rsid w:val="00185A89"/>
    <w:rsid w:val="001874C1"/>
    <w:rsid w:val="00195D11"/>
    <w:rsid w:val="001960C6"/>
    <w:rsid w:val="001B2156"/>
    <w:rsid w:val="001B691D"/>
    <w:rsid w:val="001B7B25"/>
    <w:rsid w:val="001C1173"/>
    <w:rsid w:val="001E0A52"/>
    <w:rsid w:val="001F1C77"/>
    <w:rsid w:val="001F2D65"/>
    <w:rsid w:val="00202E1C"/>
    <w:rsid w:val="00204D62"/>
    <w:rsid w:val="00205DAE"/>
    <w:rsid w:val="00211C52"/>
    <w:rsid w:val="00215115"/>
    <w:rsid w:val="00216E60"/>
    <w:rsid w:val="0022263A"/>
    <w:rsid w:val="00230F85"/>
    <w:rsid w:val="00231475"/>
    <w:rsid w:val="0023237E"/>
    <w:rsid w:val="00233808"/>
    <w:rsid w:val="00236D99"/>
    <w:rsid w:val="002459B4"/>
    <w:rsid w:val="00245E3F"/>
    <w:rsid w:val="002507BF"/>
    <w:rsid w:val="00251EA1"/>
    <w:rsid w:val="002548A8"/>
    <w:rsid w:val="002560F2"/>
    <w:rsid w:val="00260E59"/>
    <w:rsid w:val="00272CB6"/>
    <w:rsid w:val="0027580A"/>
    <w:rsid w:val="002803A2"/>
    <w:rsid w:val="00295456"/>
    <w:rsid w:val="002A225E"/>
    <w:rsid w:val="002B5E1A"/>
    <w:rsid w:val="002C0A6F"/>
    <w:rsid w:val="002C1A0C"/>
    <w:rsid w:val="002C3268"/>
    <w:rsid w:val="002D1FC8"/>
    <w:rsid w:val="00300FEB"/>
    <w:rsid w:val="003012AD"/>
    <w:rsid w:val="0030291B"/>
    <w:rsid w:val="00310DFA"/>
    <w:rsid w:val="003169CA"/>
    <w:rsid w:val="00321A95"/>
    <w:rsid w:val="00322B1F"/>
    <w:rsid w:val="0033555F"/>
    <w:rsid w:val="0034104C"/>
    <w:rsid w:val="00352FC5"/>
    <w:rsid w:val="00353D88"/>
    <w:rsid w:val="00364518"/>
    <w:rsid w:val="00367400"/>
    <w:rsid w:val="0037512B"/>
    <w:rsid w:val="00391F09"/>
    <w:rsid w:val="00396B53"/>
    <w:rsid w:val="00397855"/>
    <w:rsid w:val="003A297F"/>
    <w:rsid w:val="003A4BAB"/>
    <w:rsid w:val="003B7D5F"/>
    <w:rsid w:val="003D2162"/>
    <w:rsid w:val="003D2C03"/>
    <w:rsid w:val="003D395C"/>
    <w:rsid w:val="003E0083"/>
    <w:rsid w:val="003F1ADC"/>
    <w:rsid w:val="00402231"/>
    <w:rsid w:val="004022B1"/>
    <w:rsid w:val="00405504"/>
    <w:rsid w:val="0041370A"/>
    <w:rsid w:val="00416401"/>
    <w:rsid w:val="00423E11"/>
    <w:rsid w:val="0042589B"/>
    <w:rsid w:val="004262C2"/>
    <w:rsid w:val="0043586E"/>
    <w:rsid w:val="00436362"/>
    <w:rsid w:val="0043747B"/>
    <w:rsid w:val="004424A8"/>
    <w:rsid w:val="004636E6"/>
    <w:rsid w:val="00463C3F"/>
    <w:rsid w:val="00463FDA"/>
    <w:rsid w:val="00475F06"/>
    <w:rsid w:val="00481EC2"/>
    <w:rsid w:val="00485393"/>
    <w:rsid w:val="00485B64"/>
    <w:rsid w:val="004B7DE7"/>
    <w:rsid w:val="004C1999"/>
    <w:rsid w:val="004C3B03"/>
    <w:rsid w:val="004C3B44"/>
    <w:rsid w:val="004C49D3"/>
    <w:rsid w:val="004D3E8C"/>
    <w:rsid w:val="004D598C"/>
    <w:rsid w:val="004E0531"/>
    <w:rsid w:val="004F1E1B"/>
    <w:rsid w:val="005003C3"/>
    <w:rsid w:val="00500759"/>
    <w:rsid w:val="00502175"/>
    <w:rsid w:val="005056B2"/>
    <w:rsid w:val="005143C7"/>
    <w:rsid w:val="00520ADE"/>
    <w:rsid w:val="00523B8B"/>
    <w:rsid w:val="00543CFD"/>
    <w:rsid w:val="005573F3"/>
    <w:rsid w:val="00573DF9"/>
    <w:rsid w:val="0057521C"/>
    <w:rsid w:val="00580D95"/>
    <w:rsid w:val="0058682A"/>
    <w:rsid w:val="00586F7A"/>
    <w:rsid w:val="00590524"/>
    <w:rsid w:val="0059697A"/>
    <w:rsid w:val="005B6253"/>
    <w:rsid w:val="005C5741"/>
    <w:rsid w:val="005D1BF1"/>
    <w:rsid w:val="005D46DD"/>
    <w:rsid w:val="005D4F56"/>
    <w:rsid w:val="005E0C39"/>
    <w:rsid w:val="005E1BD6"/>
    <w:rsid w:val="005F5344"/>
    <w:rsid w:val="005F77B4"/>
    <w:rsid w:val="006028A3"/>
    <w:rsid w:val="00604DD4"/>
    <w:rsid w:val="00605C95"/>
    <w:rsid w:val="00606894"/>
    <w:rsid w:val="0061191B"/>
    <w:rsid w:val="006222FB"/>
    <w:rsid w:val="00633D52"/>
    <w:rsid w:val="00650B3E"/>
    <w:rsid w:val="00653AE6"/>
    <w:rsid w:val="0065680D"/>
    <w:rsid w:val="00660CC4"/>
    <w:rsid w:val="00662EC2"/>
    <w:rsid w:val="006800DF"/>
    <w:rsid w:val="00685267"/>
    <w:rsid w:val="006868E3"/>
    <w:rsid w:val="00687A28"/>
    <w:rsid w:val="006911BB"/>
    <w:rsid w:val="00691C7D"/>
    <w:rsid w:val="006A7606"/>
    <w:rsid w:val="006A7C35"/>
    <w:rsid w:val="006B044C"/>
    <w:rsid w:val="006B36AB"/>
    <w:rsid w:val="006E31E4"/>
    <w:rsid w:val="006E77EF"/>
    <w:rsid w:val="006F2241"/>
    <w:rsid w:val="00703641"/>
    <w:rsid w:val="00733453"/>
    <w:rsid w:val="00737903"/>
    <w:rsid w:val="00741100"/>
    <w:rsid w:val="00747037"/>
    <w:rsid w:val="00751819"/>
    <w:rsid w:val="00751DFB"/>
    <w:rsid w:val="00760CBE"/>
    <w:rsid w:val="007717CC"/>
    <w:rsid w:val="00782908"/>
    <w:rsid w:val="00782FE9"/>
    <w:rsid w:val="00785EDF"/>
    <w:rsid w:val="0079163D"/>
    <w:rsid w:val="00791BCB"/>
    <w:rsid w:val="00794E64"/>
    <w:rsid w:val="007B20E9"/>
    <w:rsid w:val="007C0452"/>
    <w:rsid w:val="007D6305"/>
    <w:rsid w:val="007E05E4"/>
    <w:rsid w:val="007F3D03"/>
    <w:rsid w:val="007F6625"/>
    <w:rsid w:val="008020B6"/>
    <w:rsid w:val="00803E7F"/>
    <w:rsid w:val="008055E9"/>
    <w:rsid w:val="0081045D"/>
    <w:rsid w:val="008120BD"/>
    <w:rsid w:val="0081243B"/>
    <w:rsid w:val="00817642"/>
    <w:rsid w:val="00820139"/>
    <w:rsid w:val="00822D15"/>
    <w:rsid w:val="00833539"/>
    <w:rsid w:val="008354BB"/>
    <w:rsid w:val="0084439B"/>
    <w:rsid w:val="00847149"/>
    <w:rsid w:val="008505A1"/>
    <w:rsid w:val="00852DC1"/>
    <w:rsid w:val="008642A4"/>
    <w:rsid w:val="008744CA"/>
    <w:rsid w:val="00877FA6"/>
    <w:rsid w:val="0088378B"/>
    <w:rsid w:val="008877DC"/>
    <w:rsid w:val="00896027"/>
    <w:rsid w:val="008B1F57"/>
    <w:rsid w:val="008B272B"/>
    <w:rsid w:val="008C0715"/>
    <w:rsid w:val="008C213C"/>
    <w:rsid w:val="008C2155"/>
    <w:rsid w:val="008C5D39"/>
    <w:rsid w:val="008E0EF3"/>
    <w:rsid w:val="008E24BB"/>
    <w:rsid w:val="009012B7"/>
    <w:rsid w:val="00901CA4"/>
    <w:rsid w:val="009048CA"/>
    <w:rsid w:val="00911B5A"/>
    <w:rsid w:val="00917085"/>
    <w:rsid w:val="009204A6"/>
    <w:rsid w:val="00925B42"/>
    <w:rsid w:val="00931414"/>
    <w:rsid w:val="009315F6"/>
    <w:rsid w:val="00931B3D"/>
    <w:rsid w:val="00931B44"/>
    <w:rsid w:val="0093729D"/>
    <w:rsid w:val="00937324"/>
    <w:rsid w:val="00944926"/>
    <w:rsid w:val="00945733"/>
    <w:rsid w:val="00945B6F"/>
    <w:rsid w:val="00947073"/>
    <w:rsid w:val="0094721C"/>
    <w:rsid w:val="00950355"/>
    <w:rsid w:val="00954466"/>
    <w:rsid w:val="0096677A"/>
    <w:rsid w:val="009725E6"/>
    <w:rsid w:val="009846CC"/>
    <w:rsid w:val="0098711C"/>
    <w:rsid w:val="00996517"/>
    <w:rsid w:val="009C7995"/>
    <w:rsid w:val="009D04F0"/>
    <w:rsid w:val="009D66F7"/>
    <w:rsid w:val="009D6740"/>
    <w:rsid w:val="009E360C"/>
    <w:rsid w:val="009F7BA1"/>
    <w:rsid w:val="00A2619E"/>
    <w:rsid w:val="00A33E64"/>
    <w:rsid w:val="00A4688A"/>
    <w:rsid w:val="00A6781B"/>
    <w:rsid w:val="00A81E20"/>
    <w:rsid w:val="00A81E43"/>
    <w:rsid w:val="00A82FA1"/>
    <w:rsid w:val="00A85122"/>
    <w:rsid w:val="00A8533E"/>
    <w:rsid w:val="00A874E8"/>
    <w:rsid w:val="00A903A5"/>
    <w:rsid w:val="00AA3E81"/>
    <w:rsid w:val="00AA3F73"/>
    <w:rsid w:val="00AA722A"/>
    <w:rsid w:val="00AB3B4E"/>
    <w:rsid w:val="00AB4028"/>
    <w:rsid w:val="00AC0934"/>
    <w:rsid w:val="00AC598A"/>
    <w:rsid w:val="00AC744E"/>
    <w:rsid w:val="00AE2E6D"/>
    <w:rsid w:val="00AE5C1C"/>
    <w:rsid w:val="00AF3833"/>
    <w:rsid w:val="00B027D6"/>
    <w:rsid w:val="00B4003E"/>
    <w:rsid w:val="00B457FA"/>
    <w:rsid w:val="00B51169"/>
    <w:rsid w:val="00B576D7"/>
    <w:rsid w:val="00B67142"/>
    <w:rsid w:val="00B73E19"/>
    <w:rsid w:val="00B7644A"/>
    <w:rsid w:val="00B80816"/>
    <w:rsid w:val="00B965CB"/>
    <w:rsid w:val="00B97E14"/>
    <w:rsid w:val="00BA390E"/>
    <w:rsid w:val="00BA4B85"/>
    <w:rsid w:val="00BD747A"/>
    <w:rsid w:val="00BF32A1"/>
    <w:rsid w:val="00BF4EFA"/>
    <w:rsid w:val="00BF6F9C"/>
    <w:rsid w:val="00C00DAD"/>
    <w:rsid w:val="00C06E6B"/>
    <w:rsid w:val="00C237CC"/>
    <w:rsid w:val="00C30134"/>
    <w:rsid w:val="00C32C40"/>
    <w:rsid w:val="00C53152"/>
    <w:rsid w:val="00C610B8"/>
    <w:rsid w:val="00C61E80"/>
    <w:rsid w:val="00C72DD5"/>
    <w:rsid w:val="00C739B1"/>
    <w:rsid w:val="00C82CCB"/>
    <w:rsid w:val="00C86FEE"/>
    <w:rsid w:val="00C94BD2"/>
    <w:rsid w:val="00CA6B41"/>
    <w:rsid w:val="00CB167E"/>
    <w:rsid w:val="00CB193B"/>
    <w:rsid w:val="00CB3F8B"/>
    <w:rsid w:val="00CB41F2"/>
    <w:rsid w:val="00CC2398"/>
    <w:rsid w:val="00CC3A1E"/>
    <w:rsid w:val="00CC46CA"/>
    <w:rsid w:val="00CC6CB8"/>
    <w:rsid w:val="00CE4C2D"/>
    <w:rsid w:val="00CE6E26"/>
    <w:rsid w:val="00CF0E2E"/>
    <w:rsid w:val="00CF530D"/>
    <w:rsid w:val="00CF54F3"/>
    <w:rsid w:val="00CF5A8B"/>
    <w:rsid w:val="00D00B1D"/>
    <w:rsid w:val="00D02C06"/>
    <w:rsid w:val="00D02DD3"/>
    <w:rsid w:val="00D1640F"/>
    <w:rsid w:val="00D350D4"/>
    <w:rsid w:val="00D452D4"/>
    <w:rsid w:val="00D4659C"/>
    <w:rsid w:val="00D47F44"/>
    <w:rsid w:val="00D5598F"/>
    <w:rsid w:val="00D63E4D"/>
    <w:rsid w:val="00D76031"/>
    <w:rsid w:val="00D76AE3"/>
    <w:rsid w:val="00D81D27"/>
    <w:rsid w:val="00D93990"/>
    <w:rsid w:val="00D953D3"/>
    <w:rsid w:val="00D97E5A"/>
    <w:rsid w:val="00DA7779"/>
    <w:rsid w:val="00DA78B9"/>
    <w:rsid w:val="00DC0837"/>
    <w:rsid w:val="00DC08E4"/>
    <w:rsid w:val="00DC0CB3"/>
    <w:rsid w:val="00DC277E"/>
    <w:rsid w:val="00DC2DA8"/>
    <w:rsid w:val="00DC512F"/>
    <w:rsid w:val="00DC61F2"/>
    <w:rsid w:val="00DC62D0"/>
    <w:rsid w:val="00DC7408"/>
    <w:rsid w:val="00DD5133"/>
    <w:rsid w:val="00DD75FB"/>
    <w:rsid w:val="00DF4B0C"/>
    <w:rsid w:val="00DF4C2A"/>
    <w:rsid w:val="00E0523A"/>
    <w:rsid w:val="00E058CB"/>
    <w:rsid w:val="00E1791D"/>
    <w:rsid w:val="00E24574"/>
    <w:rsid w:val="00E25871"/>
    <w:rsid w:val="00E310B9"/>
    <w:rsid w:val="00E359CD"/>
    <w:rsid w:val="00E3683F"/>
    <w:rsid w:val="00E50130"/>
    <w:rsid w:val="00E50529"/>
    <w:rsid w:val="00E51686"/>
    <w:rsid w:val="00E54DD8"/>
    <w:rsid w:val="00E55CB7"/>
    <w:rsid w:val="00E644C0"/>
    <w:rsid w:val="00E702DE"/>
    <w:rsid w:val="00E71EDC"/>
    <w:rsid w:val="00E83F6F"/>
    <w:rsid w:val="00E86A77"/>
    <w:rsid w:val="00E86C15"/>
    <w:rsid w:val="00EA6DA4"/>
    <w:rsid w:val="00EB0030"/>
    <w:rsid w:val="00EB429A"/>
    <w:rsid w:val="00ED56CF"/>
    <w:rsid w:val="00EE1D81"/>
    <w:rsid w:val="00EF304A"/>
    <w:rsid w:val="00EF71CA"/>
    <w:rsid w:val="00F0091F"/>
    <w:rsid w:val="00F17113"/>
    <w:rsid w:val="00F179C9"/>
    <w:rsid w:val="00F22946"/>
    <w:rsid w:val="00F257F0"/>
    <w:rsid w:val="00F3470F"/>
    <w:rsid w:val="00F41561"/>
    <w:rsid w:val="00F52CAE"/>
    <w:rsid w:val="00F561C3"/>
    <w:rsid w:val="00F56AAF"/>
    <w:rsid w:val="00F605E1"/>
    <w:rsid w:val="00F71727"/>
    <w:rsid w:val="00F737C1"/>
    <w:rsid w:val="00F76C18"/>
    <w:rsid w:val="00F83E3E"/>
    <w:rsid w:val="00F92504"/>
    <w:rsid w:val="00F9293D"/>
    <w:rsid w:val="00F94392"/>
    <w:rsid w:val="00FA0359"/>
    <w:rsid w:val="00FA170E"/>
    <w:rsid w:val="00FA4E59"/>
    <w:rsid w:val="00FA7174"/>
    <w:rsid w:val="00FB6985"/>
    <w:rsid w:val="00FC4D5D"/>
    <w:rsid w:val="00FD200B"/>
    <w:rsid w:val="00FD3EEC"/>
    <w:rsid w:val="00FE538A"/>
    <w:rsid w:val="00FF0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9BAA2"/>
  <w15:chartTrackingRefBased/>
  <w15:docId w15:val="{D76A6EF3-FAB6-4AF0-B8ED-E339E497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00FEB"/>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F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FEB"/>
    <w:rPr>
      <w:sz w:val="18"/>
      <w:szCs w:val="18"/>
    </w:rPr>
  </w:style>
  <w:style w:type="paragraph" w:styleId="a5">
    <w:name w:val="footer"/>
    <w:basedOn w:val="a"/>
    <w:link w:val="a6"/>
    <w:uiPriority w:val="99"/>
    <w:unhideWhenUsed/>
    <w:rsid w:val="00300FEB"/>
    <w:pPr>
      <w:tabs>
        <w:tab w:val="center" w:pos="4153"/>
        <w:tab w:val="right" w:pos="8306"/>
      </w:tabs>
      <w:snapToGrid w:val="0"/>
    </w:pPr>
    <w:rPr>
      <w:sz w:val="18"/>
      <w:szCs w:val="18"/>
    </w:rPr>
  </w:style>
  <w:style w:type="character" w:customStyle="1" w:styleId="a6">
    <w:name w:val="页脚 字符"/>
    <w:basedOn w:val="a0"/>
    <w:link w:val="a5"/>
    <w:uiPriority w:val="99"/>
    <w:rsid w:val="00300FEB"/>
    <w:rPr>
      <w:sz w:val="18"/>
      <w:szCs w:val="18"/>
    </w:rPr>
  </w:style>
  <w:style w:type="paragraph" w:styleId="a7">
    <w:name w:val="Body Text"/>
    <w:basedOn w:val="a"/>
    <w:link w:val="a8"/>
    <w:uiPriority w:val="1"/>
    <w:qFormat/>
    <w:rsid w:val="00300FEB"/>
    <w:pPr>
      <w:ind w:left="1140"/>
    </w:pPr>
    <w:rPr>
      <w:sz w:val="30"/>
      <w:szCs w:val="30"/>
    </w:rPr>
  </w:style>
  <w:style w:type="character" w:customStyle="1" w:styleId="a8">
    <w:name w:val="正文文本 字符"/>
    <w:basedOn w:val="a0"/>
    <w:link w:val="a7"/>
    <w:uiPriority w:val="1"/>
    <w:rsid w:val="00300FEB"/>
    <w:rPr>
      <w:rFonts w:ascii="宋体" w:eastAsia="宋体" w:hAnsi="宋体" w:cs="宋体"/>
      <w:kern w:val="0"/>
      <w:sz w:val="30"/>
      <w:szCs w:val="30"/>
      <w:lang w:val="zh-CN" w:bidi="zh-CN"/>
    </w:rPr>
  </w:style>
  <w:style w:type="paragraph" w:styleId="a9">
    <w:name w:val="List Paragraph"/>
    <w:basedOn w:val="a"/>
    <w:uiPriority w:val="34"/>
    <w:qFormat/>
    <w:rsid w:val="00950355"/>
    <w:pPr>
      <w:autoSpaceDE/>
      <w:autoSpaceDN/>
      <w:ind w:firstLineChars="200" w:firstLine="420"/>
      <w:jc w:val="both"/>
    </w:pPr>
    <w:rPr>
      <w:rFonts w:ascii="Calibri" w:hAnsi="Calibri" w:cs="Times New Roman"/>
      <w:kern w:val="2"/>
      <w:sz w:val="21"/>
      <w:lang w:val="en-US" w:bidi="ar-SA"/>
    </w:rPr>
  </w:style>
  <w:style w:type="character" w:styleId="aa">
    <w:name w:val="annotation reference"/>
    <w:basedOn w:val="a0"/>
    <w:uiPriority w:val="99"/>
    <w:semiHidden/>
    <w:unhideWhenUsed/>
    <w:rsid w:val="00950355"/>
    <w:rPr>
      <w:sz w:val="21"/>
      <w:szCs w:val="21"/>
    </w:rPr>
  </w:style>
  <w:style w:type="paragraph" w:styleId="ab">
    <w:name w:val="annotation text"/>
    <w:basedOn w:val="a"/>
    <w:link w:val="ac"/>
    <w:uiPriority w:val="99"/>
    <w:unhideWhenUsed/>
    <w:rsid w:val="00950355"/>
    <w:pPr>
      <w:autoSpaceDE/>
      <w:autoSpaceDN/>
    </w:pPr>
    <w:rPr>
      <w:rFonts w:ascii="Calibri" w:hAnsi="Calibri" w:cs="Times New Roman"/>
      <w:kern w:val="2"/>
      <w:sz w:val="21"/>
      <w:lang w:val="en-US" w:bidi="ar-SA"/>
    </w:rPr>
  </w:style>
  <w:style w:type="character" w:customStyle="1" w:styleId="ac">
    <w:name w:val="批注文字 字符"/>
    <w:basedOn w:val="a0"/>
    <w:link w:val="ab"/>
    <w:uiPriority w:val="99"/>
    <w:rsid w:val="00950355"/>
    <w:rPr>
      <w:rFonts w:ascii="Calibri" w:eastAsia="宋体" w:hAnsi="Calibri" w:cs="Times New Roman"/>
    </w:rPr>
  </w:style>
  <w:style w:type="paragraph" w:styleId="ad">
    <w:name w:val="Balloon Text"/>
    <w:basedOn w:val="a"/>
    <w:link w:val="ae"/>
    <w:uiPriority w:val="99"/>
    <w:semiHidden/>
    <w:unhideWhenUsed/>
    <w:rsid w:val="00FA0359"/>
    <w:rPr>
      <w:sz w:val="18"/>
      <w:szCs w:val="18"/>
    </w:rPr>
  </w:style>
  <w:style w:type="character" w:customStyle="1" w:styleId="ae">
    <w:name w:val="批注框文本 字符"/>
    <w:basedOn w:val="a0"/>
    <w:link w:val="ad"/>
    <w:uiPriority w:val="99"/>
    <w:semiHidden/>
    <w:rsid w:val="00FA0359"/>
    <w:rPr>
      <w:rFonts w:ascii="宋体" w:eastAsia="宋体" w:hAnsi="宋体" w:cs="宋体"/>
      <w:kern w:val="0"/>
      <w:sz w:val="18"/>
      <w:szCs w:val="18"/>
      <w:lang w:val="zh-CN" w:bidi="zh-CN"/>
    </w:rPr>
  </w:style>
  <w:style w:type="paragraph" w:styleId="af">
    <w:name w:val="annotation subject"/>
    <w:basedOn w:val="ab"/>
    <w:next w:val="ab"/>
    <w:link w:val="af0"/>
    <w:uiPriority w:val="99"/>
    <w:semiHidden/>
    <w:unhideWhenUsed/>
    <w:rsid w:val="000418D4"/>
    <w:pPr>
      <w:autoSpaceDE w:val="0"/>
      <w:autoSpaceDN w:val="0"/>
    </w:pPr>
    <w:rPr>
      <w:rFonts w:ascii="宋体" w:hAnsi="宋体" w:cs="宋体"/>
      <w:b/>
      <w:bCs/>
      <w:kern w:val="0"/>
      <w:sz w:val="22"/>
      <w:lang w:val="zh-CN" w:bidi="zh-CN"/>
    </w:rPr>
  </w:style>
  <w:style w:type="character" w:customStyle="1" w:styleId="af0">
    <w:name w:val="批注主题 字符"/>
    <w:basedOn w:val="ac"/>
    <w:link w:val="af"/>
    <w:uiPriority w:val="99"/>
    <w:semiHidden/>
    <w:rsid w:val="000418D4"/>
    <w:rPr>
      <w:rFonts w:ascii="宋体" w:eastAsia="宋体" w:hAnsi="宋体" w:cs="宋体"/>
      <w:b/>
      <w:bCs/>
      <w:kern w:val="0"/>
      <w:sz w:val="22"/>
      <w:lang w:val="zh-CN" w:bidi="zh-CN"/>
    </w:rPr>
  </w:style>
  <w:style w:type="character" w:styleId="af1">
    <w:name w:val="Hyperlink"/>
    <w:basedOn w:val="a0"/>
    <w:uiPriority w:val="99"/>
    <w:unhideWhenUsed/>
    <w:rsid w:val="00121C20"/>
    <w:rPr>
      <w:color w:val="0563C1" w:themeColor="hyperlink"/>
      <w:u w:val="single"/>
    </w:rPr>
  </w:style>
  <w:style w:type="table" w:styleId="af2">
    <w:name w:val="Table Grid"/>
    <w:basedOn w:val="a1"/>
    <w:uiPriority w:val="39"/>
    <w:rsid w:val="003E0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3E0083"/>
  </w:style>
  <w:style w:type="paragraph" w:styleId="af3">
    <w:name w:val="Revision"/>
    <w:hidden/>
    <w:uiPriority w:val="99"/>
    <w:semiHidden/>
    <w:rsid w:val="00E86C15"/>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85771">
      <w:bodyDiv w:val="1"/>
      <w:marLeft w:val="0"/>
      <w:marRight w:val="0"/>
      <w:marTop w:val="0"/>
      <w:marBottom w:val="0"/>
      <w:divBdr>
        <w:top w:val="none" w:sz="0" w:space="0" w:color="auto"/>
        <w:left w:val="none" w:sz="0" w:space="0" w:color="auto"/>
        <w:bottom w:val="none" w:sz="0" w:space="0" w:color="auto"/>
        <w:right w:val="none" w:sz="0" w:space="0" w:color="auto"/>
      </w:divBdr>
      <w:divsChild>
        <w:div w:id="1444038961">
          <w:marLeft w:val="0"/>
          <w:marRight w:val="0"/>
          <w:marTop w:val="0"/>
          <w:marBottom w:val="0"/>
          <w:divBdr>
            <w:top w:val="none" w:sz="0" w:space="0" w:color="auto"/>
            <w:left w:val="none" w:sz="0" w:space="0" w:color="auto"/>
            <w:bottom w:val="none" w:sz="0" w:space="0" w:color="auto"/>
            <w:right w:val="none" w:sz="0" w:space="0" w:color="auto"/>
          </w:divBdr>
          <w:divsChild>
            <w:div w:id="1876576290">
              <w:marLeft w:val="0"/>
              <w:marRight w:val="0"/>
              <w:marTop w:val="0"/>
              <w:marBottom w:val="0"/>
              <w:divBdr>
                <w:top w:val="none" w:sz="0" w:space="0" w:color="auto"/>
                <w:left w:val="none" w:sz="0" w:space="0" w:color="auto"/>
                <w:bottom w:val="none" w:sz="0" w:space="0" w:color="auto"/>
                <w:right w:val="none" w:sz="0" w:space="0" w:color="auto"/>
              </w:divBdr>
              <w:divsChild>
                <w:div w:id="6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3</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dc:creator>
  <cp:keywords/>
  <dc:description/>
  <cp:lastModifiedBy>刘洋</cp:lastModifiedBy>
  <cp:revision>167</cp:revision>
  <cp:lastPrinted>2023-06-30T10:42:00Z</cp:lastPrinted>
  <dcterms:created xsi:type="dcterms:W3CDTF">2022-06-08T08:48:00Z</dcterms:created>
  <dcterms:modified xsi:type="dcterms:W3CDTF">2024-02-23T11:10:00Z</dcterms:modified>
</cp:coreProperties>
</file>