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F271" w14:textId="77777777" w:rsidR="001447AB" w:rsidRPr="001447AB" w:rsidRDefault="001447AB" w:rsidP="001447AB">
      <w:pPr>
        <w:pStyle w:val="a3"/>
        <w:tabs>
          <w:tab w:val="left" w:pos="6071"/>
        </w:tabs>
        <w:spacing w:line="360" w:lineRule="auto"/>
        <w:ind w:left="0" w:right="222"/>
        <w:jc w:val="right"/>
        <w:rPr>
          <w:lang w:eastAsia="zh-CN"/>
        </w:rPr>
      </w:pPr>
      <w:r>
        <w:rPr>
          <w:rFonts w:hint="eastAsia"/>
          <w:lang w:eastAsia="zh-CN"/>
        </w:rPr>
        <w:t>证券代码</w:t>
      </w:r>
      <w:r>
        <w:rPr>
          <w:rFonts w:hint="eastAsia"/>
          <w:spacing w:val="-48"/>
          <w:lang w:eastAsia="zh-CN"/>
        </w:rPr>
        <w:t>：</w:t>
      </w:r>
      <w:r>
        <w:rPr>
          <w:rFonts w:cs="宋体" w:hint="eastAsia"/>
          <w:lang w:eastAsia="zh-CN"/>
        </w:rPr>
        <w:t>600061</w:t>
      </w:r>
      <w:r>
        <w:rPr>
          <w:rFonts w:cs="宋体"/>
          <w:lang w:eastAsia="zh-CN"/>
        </w:rPr>
        <w:t xml:space="preserve">                                  </w:t>
      </w:r>
      <w:r>
        <w:rPr>
          <w:rFonts w:hint="eastAsia"/>
          <w:lang w:eastAsia="zh-CN"/>
        </w:rPr>
        <w:t>证券简称</w:t>
      </w:r>
      <w:r>
        <w:rPr>
          <w:rFonts w:hint="eastAsia"/>
          <w:spacing w:val="-48"/>
          <w:lang w:eastAsia="zh-CN"/>
        </w:rPr>
        <w:t>：</w:t>
      </w:r>
      <w:r>
        <w:rPr>
          <w:rFonts w:hint="eastAsia"/>
          <w:lang w:eastAsia="zh-CN"/>
        </w:rPr>
        <w:t>国投资本</w:t>
      </w:r>
    </w:p>
    <w:p w14:paraId="207690CD" w14:textId="77777777" w:rsidR="001447AB" w:rsidRDefault="001447AB" w:rsidP="001447AB">
      <w:pPr>
        <w:spacing w:line="360" w:lineRule="auto"/>
        <w:rPr>
          <w:sz w:val="20"/>
          <w:szCs w:val="20"/>
          <w:lang w:eastAsia="zh-CN"/>
        </w:rPr>
      </w:pPr>
    </w:p>
    <w:p w14:paraId="7F9DC157" w14:textId="77777777" w:rsidR="001447AB" w:rsidRDefault="001447AB" w:rsidP="001447AB">
      <w:pPr>
        <w:spacing w:line="360" w:lineRule="auto"/>
        <w:jc w:val="center"/>
        <w:rPr>
          <w:rFonts w:ascii="宋体" w:eastAsia="宋体" w:hAnsi="宋体" w:cs="宋体"/>
          <w:sz w:val="32"/>
          <w:szCs w:val="32"/>
          <w:lang w:eastAsia="zh-CN"/>
        </w:rPr>
      </w:pPr>
      <w:r>
        <w:rPr>
          <w:rFonts w:ascii="宋体" w:eastAsia="宋体" w:hAnsi="宋体" w:cs="宋体" w:hint="eastAsia"/>
          <w:spacing w:val="2"/>
          <w:sz w:val="32"/>
          <w:szCs w:val="32"/>
          <w:lang w:eastAsia="zh-CN"/>
        </w:rPr>
        <w:t>国投资本股份</w:t>
      </w:r>
      <w:r>
        <w:rPr>
          <w:rFonts w:ascii="宋体" w:eastAsia="宋体" w:hAnsi="宋体" w:cs="宋体" w:hint="eastAsia"/>
          <w:sz w:val="32"/>
          <w:szCs w:val="32"/>
          <w:lang w:eastAsia="zh-CN"/>
        </w:rPr>
        <w:t>有</w:t>
      </w:r>
      <w:r>
        <w:rPr>
          <w:rFonts w:ascii="宋体" w:eastAsia="宋体" w:hAnsi="宋体" w:cs="宋体" w:hint="eastAsia"/>
          <w:spacing w:val="2"/>
          <w:sz w:val="32"/>
          <w:szCs w:val="32"/>
          <w:lang w:eastAsia="zh-CN"/>
        </w:rPr>
        <w:t>限公司投资者</w:t>
      </w:r>
      <w:r>
        <w:rPr>
          <w:rFonts w:ascii="宋体" w:eastAsia="宋体" w:hAnsi="宋体" w:cs="宋体" w:hint="eastAsia"/>
          <w:sz w:val="32"/>
          <w:szCs w:val="32"/>
          <w:lang w:eastAsia="zh-CN"/>
        </w:rPr>
        <w:t>关</w:t>
      </w:r>
      <w:r>
        <w:rPr>
          <w:rFonts w:ascii="宋体" w:eastAsia="宋体" w:hAnsi="宋体" w:cs="宋体" w:hint="eastAsia"/>
          <w:spacing w:val="2"/>
          <w:sz w:val="32"/>
          <w:szCs w:val="32"/>
          <w:lang w:eastAsia="zh-CN"/>
        </w:rPr>
        <w:t>系活动记录</w:t>
      </w:r>
      <w:r>
        <w:rPr>
          <w:rFonts w:ascii="宋体" w:eastAsia="宋体" w:hAnsi="宋体" w:cs="宋体" w:hint="eastAsia"/>
          <w:sz w:val="32"/>
          <w:szCs w:val="32"/>
          <w:lang w:eastAsia="zh-CN"/>
        </w:rPr>
        <w:t>表</w:t>
      </w:r>
    </w:p>
    <w:p w14:paraId="620F21A3" w14:textId="5DB62836" w:rsidR="001447AB" w:rsidRPr="008B3345" w:rsidRDefault="001447AB" w:rsidP="001447AB">
      <w:pPr>
        <w:spacing w:line="360" w:lineRule="auto"/>
        <w:jc w:val="center"/>
        <w:rPr>
          <w:rFonts w:ascii="宋体" w:eastAsia="宋体" w:hAnsi="宋体" w:cs="宋体"/>
          <w:sz w:val="32"/>
          <w:szCs w:val="32"/>
          <w:lang w:eastAsia="zh-CN"/>
        </w:rPr>
      </w:pPr>
    </w:p>
    <w:tbl>
      <w:tblPr>
        <w:tblStyle w:val="a5"/>
        <w:tblW w:w="8526" w:type="dxa"/>
        <w:tblLook w:val="04A0" w:firstRow="1" w:lastRow="0" w:firstColumn="1" w:lastColumn="0" w:noHBand="0" w:noVBand="1"/>
      </w:tblPr>
      <w:tblGrid>
        <w:gridCol w:w="1560"/>
        <w:gridCol w:w="6966"/>
      </w:tblGrid>
      <w:tr w:rsidR="001447AB" w14:paraId="172E5E06" w14:textId="77777777" w:rsidTr="001D0108">
        <w:trPr>
          <w:trHeight w:val="2075"/>
        </w:trPr>
        <w:tc>
          <w:tcPr>
            <w:tcW w:w="1560" w:type="dxa"/>
            <w:vAlign w:val="center"/>
          </w:tcPr>
          <w:p w14:paraId="798A4DF1" w14:textId="77777777" w:rsidR="001447AB" w:rsidRDefault="001447AB" w:rsidP="00F511B7">
            <w:pPr>
              <w:pStyle w:val="TableParagraph"/>
              <w:spacing w:line="360" w:lineRule="auto"/>
              <w:jc w:val="center"/>
              <w:rPr>
                <w:rFonts w:ascii="宋体" w:eastAsia="宋体" w:hAnsi="宋体" w:cs="宋体"/>
                <w:sz w:val="24"/>
                <w:szCs w:val="24"/>
                <w:lang w:eastAsia="zh-CN"/>
              </w:rPr>
            </w:pPr>
            <w:r>
              <w:rPr>
                <w:rFonts w:ascii="宋体" w:eastAsia="宋体" w:hAnsi="宋体" w:cs="宋体" w:hint="eastAsia"/>
                <w:sz w:val="24"/>
                <w:szCs w:val="24"/>
                <w:lang w:eastAsia="zh-CN"/>
              </w:rPr>
              <w:t>投资者关系</w:t>
            </w:r>
            <w:r>
              <w:rPr>
                <w:rFonts w:ascii="宋体" w:eastAsia="宋体" w:hAnsi="宋体" w:cs="宋体"/>
                <w:sz w:val="24"/>
                <w:szCs w:val="24"/>
                <w:lang w:eastAsia="zh-CN"/>
              </w:rPr>
              <w:t>活动</w:t>
            </w:r>
            <w:r>
              <w:rPr>
                <w:rFonts w:ascii="宋体" w:eastAsia="宋体" w:hAnsi="宋体" w:cs="宋体" w:hint="eastAsia"/>
                <w:sz w:val="24"/>
                <w:szCs w:val="24"/>
                <w:lang w:eastAsia="zh-CN"/>
              </w:rPr>
              <w:t>类别</w:t>
            </w:r>
          </w:p>
        </w:tc>
        <w:tc>
          <w:tcPr>
            <w:tcW w:w="6966" w:type="dxa"/>
            <w:vAlign w:val="center"/>
          </w:tcPr>
          <w:p w14:paraId="49DD0DB0" w14:textId="4BD8E45F" w:rsidR="001447AB" w:rsidRDefault="009352CD" w:rsidP="005700AD">
            <w:pPr>
              <w:pStyle w:val="TableParagraph"/>
              <w:tabs>
                <w:tab w:val="left" w:pos="334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特定对象调研</w:t>
            </w:r>
            <w:r w:rsidR="001447AB">
              <w:rPr>
                <w:rFonts w:ascii="宋体" w:eastAsia="宋体" w:hAnsi="宋体" w:cs="宋体" w:hint="eastAsia"/>
                <w:sz w:val="24"/>
                <w:szCs w:val="24"/>
                <w:lang w:eastAsia="zh-CN"/>
              </w:rPr>
              <w:tab/>
            </w:r>
            <w:r w:rsidR="00177B62">
              <w:rPr>
                <w:rFonts w:ascii="宋体" w:eastAsia="宋体" w:hAnsi="宋体" w:cs="宋体" w:hint="eastAsia"/>
                <w:sz w:val="24"/>
                <w:szCs w:val="24"/>
                <w:lang w:eastAsia="zh-CN"/>
              </w:rPr>
              <w:t>□</w:t>
            </w:r>
            <w:r>
              <w:rPr>
                <w:rFonts w:ascii="宋体" w:eastAsia="宋体" w:hAnsi="宋体" w:cs="宋体" w:hint="eastAsia"/>
                <w:sz w:val="24"/>
                <w:szCs w:val="24"/>
                <w:lang w:eastAsia="zh-CN"/>
              </w:rPr>
              <w:t xml:space="preserve"> 分析师会议</w:t>
            </w:r>
          </w:p>
          <w:p w14:paraId="4062EB95" w14:textId="403740AB" w:rsidR="001447AB" w:rsidRDefault="009352CD" w:rsidP="005700AD">
            <w:pPr>
              <w:pStyle w:val="TableParagraph"/>
              <w:tabs>
                <w:tab w:val="left" w:pos="334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 xml:space="preserve">媒体采访 </w:t>
            </w:r>
            <w:r w:rsidR="001447AB">
              <w:rPr>
                <w:rFonts w:ascii="宋体" w:eastAsia="宋体" w:hAnsi="宋体" w:cs="宋体"/>
                <w:sz w:val="24"/>
                <w:szCs w:val="24"/>
                <w:lang w:eastAsia="zh-CN"/>
              </w:rPr>
              <w:t xml:space="preserve">   </w:t>
            </w:r>
            <w:r w:rsidR="001447AB">
              <w:rPr>
                <w:rFonts w:ascii="宋体" w:eastAsia="宋体" w:hAnsi="宋体" w:cs="宋体" w:hint="eastAsia"/>
                <w:sz w:val="24"/>
                <w:szCs w:val="24"/>
                <w:lang w:eastAsia="zh-CN"/>
              </w:rPr>
              <w:tab/>
            </w:r>
            <w:r>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业绩说明会</w:t>
            </w:r>
          </w:p>
          <w:p w14:paraId="2DF49A62" w14:textId="4BD1BE81" w:rsidR="001447AB" w:rsidRDefault="009352CD" w:rsidP="005700AD">
            <w:pPr>
              <w:pStyle w:val="TableParagraph"/>
              <w:tabs>
                <w:tab w:val="left" w:pos="334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新闻发布会</w:t>
            </w:r>
            <w:r w:rsidR="001447AB">
              <w:rPr>
                <w:rFonts w:ascii="宋体" w:eastAsia="宋体" w:hAnsi="宋体" w:cs="宋体" w:hint="eastAsia"/>
                <w:sz w:val="24"/>
                <w:szCs w:val="24"/>
                <w:lang w:eastAsia="zh-CN"/>
              </w:rPr>
              <w:tab/>
            </w:r>
            <w:r>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 xml:space="preserve">现场参观 </w:t>
            </w:r>
          </w:p>
          <w:p w14:paraId="3B9299CC" w14:textId="7361BBBC" w:rsidR="0048211B" w:rsidRDefault="00177B62" w:rsidP="009352CD">
            <w:pPr>
              <w:pStyle w:val="TableParagraph"/>
              <w:tabs>
                <w:tab w:val="left" w:pos="334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w:t>
            </w:r>
            <w:r w:rsidR="009352CD">
              <w:rPr>
                <w:rFonts w:ascii="宋体" w:eastAsia="宋体" w:hAnsi="宋体" w:cs="宋体"/>
                <w:sz w:val="24"/>
                <w:szCs w:val="24"/>
                <w:lang w:eastAsia="zh-CN"/>
              </w:rPr>
              <w:t xml:space="preserve"> </w:t>
            </w:r>
            <w:r w:rsidR="001447AB">
              <w:rPr>
                <w:rFonts w:ascii="宋体" w:eastAsia="宋体" w:hAnsi="宋体" w:cs="宋体" w:hint="eastAsia"/>
                <w:sz w:val="24"/>
                <w:szCs w:val="24"/>
                <w:lang w:eastAsia="zh-CN"/>
              </w:rPr>
              <w:t xml:space="preserve">路演活动 </w:t>
            </w:r>
            <w:r w:rsidR="001447AB">
              <w:rPr>
                <w:rFonts w:ascii="宋体" w:eastAsia="宋体" w:hAnsi="宋体" w:cs="宋体"/>
                <w:sz w:val="24"/>
                <w:szCs w:val="24"/>
                <w:lang w:eastAsia="zh-CN"/>
              </w:rPr>
              <w:t xml:space="preserve"> </w:t>
            </w:r>
            <w:r w:rsidR="001447AB">
              <w:rPr>
                <w:rFonts w:ascii="宋体" w:eastAsia="宋体" w:hAnsi="宋体" w:cs="宋体" w:hint="eastAsia"/>
                <w:sz w:val="24"/>
                <w:szCs w:val="24"/>
                <w:lang w:eastAsia="zh-CN"/>
              </w:rPr>
              <w:tab/>
            </w:r>
            <w:r w:rsidR="0048211B" w:rsidRPr="0048211B">
              <w:rPr>
                <w:rFonts w:ascii="宋体" w:eastAsia="宋体" w:hAnsi="宋体" w:cs="宋体" w:hint="eastAsia"/>
                <w:sz w:val="24"/>
                <w:szCs w:val="24"/>
                <w:lang w:eastAsia="zh-CN"/>
              </w:rPr>
              <w:t>□</w:t>
            </w:r>
            <w:r w:rsidR="0048211B">
              <w:rPr>
                <w:rFonts w:ascii="宋体" w:eastAsia="宋体" w:hAnsi="宋体" w:cs="宋体" w:hint="eastAsia"/>
                <w:sz w:val="24"/>
                <w:szCs w:val="24"/>
                <w:lang w:eastAsia="zh-CN"/>
              </w:rPr>
              <w:t xml:space="preserve"> </w:t>
            </w:r>
            <w:r w:rsidR="0048211B" w:rsidRPr="0048211B">
              <w:rPr>
                <w:rFonts w:ascii="宋体" w:eastAsia="宋体" w:hAnsi="宋体" w:cs="宋体" w:hint="eastAsia"/>
                <w:sz w:val="24"/>
                <w:szCs w:val="24"/>
                <w:lang w:eastAsia="zh-CN"/>
              </w:rPr>
              <w:t>一对一沟通</w:t>
            </w:r>
          </w:p>
          <w:p w14:paraId="1BD3609E" w14:textId="1112E17B" w:rsidR="001447AB" w:rsidRDefault="009352CD" w:rsidP="009352CD">
            <w:pPr>
              <w:pStyle w:val="TableParagraph"/>
              <w:tabs>
                <w:tab w:val="left" w:pos="334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其他</w:t>
            </w:r>
            <w:r w:rsidR="0048211B">
              <w:rPr>
                <w:rFonts w:ascii="宋体" w:eastAsia="宋体" w:hAnsi="宋体" w:cs="宋体" w:hint="eastAsia"/>
                <w:sz w:val="24"/>
                <w:szCs w:val="24"/>
                <w:lang w:eastAsia="zh-CN"/>
              </w:rPr>
              <w:t>_</w:t>
            </w:r>
            <w:r w:rsidR="0048211B">
              <w:rPr>
                <w:rFonts w:ascii="宋体" w:eastAsia="宋体" w:hAnsi="宋体" w:cs="宋体"/>
                <w:sz w:val="24"/>
                <w:szCs w:val="24"/>
                <w:lang w:eastAsia="zh-CN"/>
              </w:rPr>
              <w:t>___________</w:t>
            </w:r>
            <w:r w:rsidR="001447AB">
              <w:rPr>
                <w:rFonts w:ascii="宋体" w:eastAsia="宋体" w:hAnsi="宋体" w:cs="宋体" w:hint="eastAsia"/>
                <w:sz w:val="24"/>
                <w:szCs w:val="24"/>
                <w:lang w:eastAsia="zh-CN"/>
              </w:rPr>
              <w:t xml:space="preserve"> </w:t>
            </w:r>
          </w:p>
        </w:tc>
      </w:tr>
      <w:tr w:rsidR="00016597" w14:paraId="39E3D46F" w14:textId="77777777" w:rsidTr="001D0108">
        <w:trPr>
          <w:trHeight w:val="416"/>
        </w:trPr>
        <w:tc>
          <w:tcPr>
            <w:tcW w:w="1560" w:type="dxa"/>
            <w:vAlign w:val="center"/>
          </w:tcPr>
          <w:p w14:paraId="1F19C690" w14:textId="16050559" w:rsidR="00016597" w:rsidRDefault="00016597" w:rsidP="00F511B7">
            <w:pPr>
              <w:pStyle w:val="TableParagraph"/>
              <w:spacing w:line="360" w:lineRule="auto"/>
              <w:jc w:val="center"/>
              <w:rPr>
                <w:rFonts w:ascii="宋体" w:eastAsia="宋体" w:hAnsi="宋体" w:cs="宋体"/>
                <w:spacing w:val="2"/>
                <w:sz w:val="24"/>
                <w:szCs w:val="24"/>
              </w:rPr>
            </w:pPr>
            <w:r>
              <w:rPr>
                <w:rFonts w:ascii="宋体" w:eastAsia="宋体" w:hAnsi="宋体" w:cs="宋体" w:hint="eastAsia"/>
                <w:sz w:val="24"/>
                <w:szCs w:val="24"/>
                <w:lang w:eastAsia="zh-CN"/>
              </w:rPr>
              <w:t>时间</w:t>
            </w:r>
          </w:p>
        </w:tc>
        <w:tc>
          <w:tcPr>
            <w:tcW w:w="6966" w:type="dxa"/>
            <w:vAlign w:val="center"/>
          </w:tcPr>
          <w:p w14:paraId="3AE337E3" w14:textId="3C8BE1EA" w:rsidR="00016597" w:rsidRDefault="00016597" w:rsidP="00DF4315">
            <w:pPr>
              <w:pStyle w:val="TableParagraph"/>
              <w:tabs>
                <w:tab w:val="left" w:pos="2022"/>
                <w:tab w:val="left" w:pos="2502"/>
                <w:tab w:val="left" w:pos="3342"/>
                <w:tab w:val="left" w:pos="490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rPr>
              <w:t>20</w:t>
            </w:r>
            <w:r>
              <w:rPr>
                <w:rFonts w:ascii="宋体" w:eastAsia="宋体" w:hAnsi="宋体" w:cs="宋体"/>
                <w:sz w:val="24"/>
                <w:szCs w:val="24"/>
              </w:rPr>
              <w:t>2</w:t>
            </w:r>
            <w:r w:rsidR="00737D01">
              <w:rPr>
                <w:rFonts w:ascii="宋体" w:eastAsia="宋体" w:hAnsi="宋体" w:cs="宋体"/>
                <w:sz w:val="24"/>
                <w:szCs w:val="24"/>
              </w:rPr>
              <w:t>4</w:t>
            </w:r>
            <w:r>
              <w:rPr>
                <w:rFonts w:ascii="宋体" w:eastAsia="宋体" w:hAnsi="宋体" w:cs="宋体" w:hint="eastAsia"/>
                <w:sz w:val="24"/>
                <w:szCs w:val="24"/>
              </w:rPr>
              <w:t>年</w:t>
            </w:r>
            <w:r w:rsidR="00177B62">
              <w:rPr>
                <w:rFonts w:ascii="宋体" w:eastAsia="宋体" w:hAnsi="宋体" w:cs="宋体"/>
                <w:sz w:val="24"/>
                <w:szCs w:val="24"/>
                <w:lang w:eastAsia="zh-CN"/>
              </w:rPr>
              <w:t>2</w:t>
            </w:r>
            <w:r>
              <w:rPr>
                <w:rFonts w:ascii="宋体" w:eastAsia="宋体" w:hAnsi="宋体" w:cs="宋体" w:hint="eastAsia"/>
                <w:sz w:val="24"/>
                <w:szCs w:val="24"/>
              </w:rPr>
              <w:t>月</w:t>
            </w:r>
            <w:r w:rsidR="00737D01">
              <w:rPr>
                <w:rFonts w:ascii="宋体" w:eastAsia="宋体" w:hAnsi="宋体" w:cs="宋体"/>
                <w:sz w:val="24"/>
                <w:szCs w:val="24"/>
                <w:lang w:eastAsia="zh-CN"/>
              </w:rPr>
              <w:t>28</w:t>
            </w:r>
            <w:r>
              <w:rPr>
                <w:rFonts w:ascii="宋体" w:eastAsia="宋体" w:hAnsi="宋体" w:cs="宋体" w:hint="eastAsia"/>
                <w:sz w:val="24"/>
                <w:szCs w:val="24"/>
              </w:rPr>
              <w:t>日</w:t>
            </w:r>
          </w:p>
        </w:tc>
      </w:tr>
      <w:tr w:rsidR="00016597" w14:paraId="17017856" w14:textId="77777777" w:rsidTr="001D0108">
        <w:trPr>
          <w:trHeight w:val="416"/>
        </w:trPr>
        <w:tc>
          <w:tcPr>
            <w:tcW w:w="1560" w:type="dxa"/>
            <w:vAlign w:val="center"/>
          </w:tcPr>
          <w:p w14:paraId="0EC95469" w14:textId="0959F73B" w:rsidR="00016597" w:rsidRDefault="00016597" w:rsidP="00F511B7">
            <w:pPr>
              <w:pStyle w:val="TableParagraph"/>
              <w:spacing w:line="360" w:lineRule="auto"/>
              <w:jc w:val="center"/>
              <w:rPr>
                <w:rFonts w:ascii="宋体" w:eastAsia="宋体" w:hAnsi="宋体" w:cs="宋体"/>
                <w:spacing w:val="2"/>
                <w:sz w:val="24"/>
                <w:szCs w:val="24"/>
              </w:rPr>
            </w:pPr>
            <w:r>
              <w:rPr>
                <w:rFonts w:ascii="宋体" w:eastAsia="宋体" w:hAnsi="宋体" w:cs="宋体" w:hint="eastAsia"/>
                <w:spacing w:val="2"/>
                <w:sz w:val="24"/>
                <w:szCs w:val="24"/>
                <w:lang w:eastAsia="zh-CN"/>
              </w:rPr>
              <w:t>地点</w:t>
            </w:r>
          </w:p>
        </w:tc>
        <w:tc>
          <w:tcPr>
            <w:tcW w:w="6966" w:type="dxa"/>
            <w:vAlign w:val="center"/>
          </w:tcPr>
          <w:p w14:paraId="5CB7ECBA" w14:textId="70EF3645" w:rsidR="00016597" w:rsidRDefault="00737D01" w:rsidP="001C4226">
            <w:pPr>
              <w:pStyle w:val="TableParagraph"/>
              <w:tabs>
                <w:tab w:val="left" w:pos="2022"/>
                <w:tab w:val="left" w:pos="2502"/>
                <w:tab w:val="left" w:pos="3342"/>
                <w:tab w:val="left" w:pos="490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北京</w:t>
            </w:r>
            <w:r w:rsidR="00310372">
              <w:rPr>
                <w:rFonts w:ascii="宋体" w:eastAsia="宋体" w:hAnsi="宋体" w:cs="宋体" w:hint="eastAsia"/>
                <w:sz w:val="24"/>
                <w:szCs w:val="24"/>
                <w:lang w:eastAsia="zh-CN"/>
              </w:rPr>
              <w:t>，现场交流</w:t>
            </w:r>
          </w:p>
        </w:tc>
      </w:tr>
      <w:tr w:rsidR="00016597" w14:paraId="44D6B6FC" w14:textId="77777777" w:rsidTr="001D0108">
        <w:trPr>
          <w:trHeight w:val="483"/>
        </w:trPr>
        <w:tc>
          <w:tcPr>
            <w:tcW w:w="1560" w:type="dxa"/>
            <w:vAlign w:val="center"/>
          </w:tcPr>
          <w:p w14:paraId="659262DE" w14:textId="21F4A4C7" w:rsidR="00016597" w:rsidRDefault="00016597" w:rsidP="00F511B7">
            <w:pPr>
              <w:pStyle w:val="TableParagraph"/>
              <w:spacing w:before="75" w:line="360" w:lineRule="auto"/>
              <w:ind w:right="140"/>
              <w:jc w:val="center"/>
              <w:rPr>
                <w:rFonts w:ascii="宋体" w:eastAsia="宋体" w:hAnsi="宋体" w:cs="宋体"/>
                <w:sz w:val="24"/>
                <w:szCs w:val="24"/>
                <w:lang w:eastAsia="zh-CN"/>
              </w:rPr>
            </w:pPr>
            <w:r>
              <w:rPr>
                <w:rFonts w:ascii="宋体" w:eastAsia="宋体" w:hAnsi="宋体" w:cs="宋体" w:hint="eastAsia"/>
                <w:spacing w:val="2"/>
                <w:sz w:val="24"/>
                <w:szCs w:val="24"/>
                <w:lang w:eastAsia="zh-CN"/>
              </w:rPr>
              <w:t>参</w:t>
            </w:r>
            <w:r>
              <w:rPr>
                <w:rFonts w:ascii="宋体" w:eastAsia="宋体" w:hAnsi="宋体" w:cs="宋体" w:hint="eastAsia"/>
                <w:sz w:val="24"/>
                <w:szCs w:val="24"/>
                <w:lang w:eastAsia="zh-CN"/>
              </w:rPr>
              <w:t>与</w:t>
            </w:r>
            <w:r>
              <w:rPr>
                <w:rFonts w:ascii="宋体" w:eastAsia="宋体" w:hAnsi="宋体" w:cs="宋体" w:hint="eastAsia"/>
                <w:spacing w:val="2"/>
                <w:sz w:val="24"/>
                <w:szCs w:val="24"/>
                <w:lang w:eastAsia="zh-CN"/>
              </w:rPr>
              <w:t>单位名称</w:t>
            </w:r>
          </w:p>
        </w:tc>
        <w:tc>
          <w:tcPr>
            <w:tcW w:w="6966" w:type="dxa"/>
            <w:vAlign w:val="center"/>
          </w:tcPr>
          <w:p w14:paraId="3BE7C0A8" w14:textId="60394E5C" w:rsidR="00016597" w:rsidRDefault="0075695A" w:rsidP="001C4226">
            <w:pPr>
              <w:pStyle w:val="TableParagraph"/>
              <w:tabs>
                <w:tab w:val="left" w:pos="2022"/>
                <w:tab w:val="left" w:pos="2502"/>
                <w:tab w:val="left" w:pos="3342"/>
                <w:tab w:val="left" w:pos="47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泰康资产、国寿养老、中金基金、长盛基金、工银瑞信、</w:t>
            </w:r>
            <w:r w:rsidR="00F7744C">
              <w:rPr>
                <w:rFonts w:ascii="宋体" w:eastAsia="宋体" w:hAnsi="宋体" w:cs="宋体" w:hint="eastAsia"/>
                <w:sz w:val="24"/>
                <w:szCs w:val="24"/>
                <w:lang w:eastAsia="zh-CN"/>
              </w:rPr>
              <w:t>信达澳亚、</w:t>
            </w:r>
            <w:r>
              <w:rPr>
                <w:rFonts w:ascii="宋体" w:eastAsia="宋体" w:hAnsi="宋体" w:cs="宋体" w:hint="eastAsia"/>
                <w:sz w:val="24"/>
                <w:szCs w:val="24"/>
                <w:lang w:eastAsia="zh-CN"/>
              </w:rPr>
              <w:t>中信证券资管、</w:t>
            </w:r>
            <w:r w:rsidR="00F326F0">
              <w:rPr>
                <w:rFonts w:ascii="宋体" w:eastAsia="宋体" w:hAnsi="宋体" w:cs="宋体" w:hint="eastAsia"/>
                <w:sz w:val="24"/>
                <w:szCs w:val="24"/>
                <w:lang w:eastAsia="zh-CN"/>
              </w:rPr>
              <w:t>方正</w:t>
            </w:r>
            <w:r w:rsidR="006B082F">
              <w:rPr>
                <w:rFonts w:ascii="宋体" w:eastAsia="宋体" w:hAnsi="宋体" w:cs="宋体" w:hint="eastAsia"/>
                <w:sz w:val="24"/>
                <w:szCs w:val="24"/>
                <w:lang w:eastAsia="zh-CN"/>
              </w:rPr>
              <w:t>证券</w:t>
            </w:r>
            <w:r w:rsidR="003D5B26">
              <w:rPr>
                <w:rFonts w:ascii="宋体" w:eastAsia="宋体" w:hAnsi="宋体" w:cs="宋体" w:hint="eastAsia"/>
                <w:sz w:val="24"/>
                <w:szCs w:val="24"/>
                <w:lang w:eastAsia="zh-CN"/>
              </w:rPr>
              <w:t>等</w:t>
            </w:r>
          </w:p>
        </w:tc>
      </w:tr>
      <w:tr w:rsidR="00016597" w14:paraId="7742AA22" w14:textId="77777777" w:rsidTr="001D0108">
        <w:trPr>
          <w:trHeight w:val="823"/>
        </w:trPr>
        <w:tc>
          <w:tcPr>
            <w:tcW w:w="1560" w:type="dxa"/>
            <w:vAlign w:val="center"/>
          </w:tcPr>
          <w:p w14:paraId="6314CAD0" w14:textId="77777777" w:rsidR="00F511B7" w:rsidRDefault="00016597" w:rsidP="00F511B7">
            <w:pPr>
              <w:pStyle w:val="TableParagraph"/>
              <w:spacing w:line="360" w:lineRule="auto"/>
              <w:jc w:val="center"/>
              <w:rPr>
                <w:rFonts w:ascii="宋体" w:eastAsia="宋体" w:hAnsi="宋体" w:cs="宋体"/>
                <w:spacing w:val="2"/>
                <w:sz w:val="24"/>
                <w:szCs w:val="24"/>
              </w:rPr>
            </w:pPr>
            <w:proofErr w:type="spellStart"/>
            <w:r>
              <w:rPr>
                <w:rFonts w:ascii="宋体" w:eastAsia="宋体" w:hAnsi="宋体" w:cs="宋体" w:hint="eastAsia"/>
                <w:spacing w:val="2"/>
                <w:sz w:val="24"/>
                <w:szCs w:val="24"/>
              </w:rPr>
              <w:t>上</w:t>
            </w:r>
            <w:r>
              <w:rPr>
                <w:rFonts w:ascii="宋体" w:eastAsia="宋体" w:hAnsi="宋体" w:cs="宋体" w:hint="eastAsia"/>
                <w:sz w:val="24"/>
                <w:szCs w:val="24"/>
              </w:rPr>
              <w:t>市</w:t>
            </w:r>
            <w:r>
              <w:rPr>
                <w:rFonts w:ascii="宋体" w:eastAsia="宋体" w:hAnsi="宋体" w:cs="宋体" w:hint="eastAsia"/>
                <w:spacing w:val="2"/>
                <w:sz w:val="24"/>
                <w:szCs w:val="24"/>
              </w:rPr>
              <w:t>公司</w:t>
            </w:r>
            <w:proofErr w:type="spellEnd"/>
          </w:p>
          <w:p w14:paraId="73E0E966" w14:textId="3C7EAF38" w:rsidR="00016597" w:rsidRDefault="00016597" w:rsidP="00F511B7">
            <w:pPr>
              <w:pStyle w:val="TableParagraph"/>
              <w:spacing w:line="360" w:lineRule="auto"/>
              <w:jc w:val="center"/>
              <w:rPr>
                <w:rFonts w:ascii="宋体" w:eastAsia="宋体" w:hAnsi="宋体" w:cs="宋体"/>
                <w:sz w:val="24"/>
                <w:szCs w:val="24"/>
              </w:rPr>
            </w:pPr>
            <w:proofErr w:type="spellStart"/>
            <w:r>
              <w:rPr>
                <w:rFonts w:ascii="宋体" w:eastAsia="宋体" w:hAnsi="宋体" w:cs="宋体" w:hint="eastAsia"/>
                <w:spacing w:val="2"/>
                <w:sz w:val="24"/>
                <w:szCs w:val="24"/>
              </w:rPr>
              <w:t>出</w:t>
            </w:r>
            <w:r>
              <w:rPr>
                <w:rFonts w:ascii="宋体" w:eastAsia="宋体" w:hAnsi="宋体" w:cs="宋体" w:hint="eastAsia"/>
                <w:sz w:val="24"/>
                <w:szCs w:val="24"/>
              </w:rPr>
              <w:t>席</w:t>
            </w:r>
            <w:r>
              <w:rPr>
                <w:rFonts w:ascii="宋体" w:eastAsia="宋体" w:hAnsi="宋体" w:cs="宋体" w:hint="eastAsia"/>
                <w:spacing w:val="2"/>
                <w:sz w:val="24"/>
                <w:szCs w:val="24"/>
              </w:rPr>
              <w:t>人员</w:t>
            </w:r>
            <w:proofErr w:type="spellEnd"/>
          </w:p>
        </w:tc>
        <w:tc>
          <w:tcPr>
            <w:tcW w:w="6966" w:type="dxa"/>
            <w:vAlign w:val="center"/>
          </w:tcPr>
          <w:p w14:paraId="46701BE7" w14:textId="7456552E" w:rsidR="00D21C3A" w:rsidRDefault="00D21C3A" w:rsidP="0048544C">
            <w:pPr>
              <w:pStyle w:val="TableParagraph"/>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证券事务代表 林莉尔</w:t>
            </w:r>
          </w:p>
          <w:p w14:paraId="1F2F5E55" w14:textId="18E28E0C" w:rsidR="00DB279C" w:rsidRPr="007A459B" w:rsidRDefault="001C4226" w:rsidP="0048544C">
            <w:pPr>
              <w:pStyle w:val="TableParagraph"/>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证券</w:t>
            </w:r>
            <w:r w:rsidR="00776AD1">
              <w:rPr>
                <w:rFonts w:ascii="宋体" w:eastAsia="宋体" w:hAnsi="宋体" w:cs="宋体" w:hint="eastAsia"/>
                <w:sz w:val="24"/>
                <w:szCs w:val="24"/>
                <w:lang w:eastAsia="zh-CN"/>
              </w:rPr>
              <w:t>事务</w:t>
            </w:r>
            <w:r>
              <w:rPr>
                <w:rFonts w:ascii="宋体" w:eastAsia="宋体" w:hAnsi="宋体" w:cs="宋体" w:hint="eastAsia"/>
                <w:sz w:val="24"/>
                <w:szCs w:val="24"/>
                <w:lang w:eastAsia="zh-CN"/>
              </w:rPr>
              <w:t xml:space="preserve">部业务经理 </w:t>
            </w:r>
            <w:r w:rsidR="0087237C">
              <w:rPr>
                <w:rFonts w:ascii="宋体" w:eastAsia="宋体" w:hAnsi="宋体" w:cs="宋体" w:hint="eastAsia"/>
                <w:sz w:val="24"/>
                <w:szCs w:val="24"/>
                <w:lang w:eastAsia="zh-CN"/>
              </w:rPr>
              <w:t>胡斌</w:t>
            </w:r>
          </w:p>
        </w:tc>
      </w:tr>
      <w:tr w:rsidR="00016597" w14:paraId="1E55CD60" w14:textId="77777777" w:rsidTr="001D0108">
        <w:trPr>
          <w:trHeight w:val="4578"/>
        </w:trPr>
        <w:tc>
          <w:tcPr>
            <w:tcW w:w="1560" w:type="dxa"/>
            <w:vAlign w:val="center"/>
          </w:tcPr>
          <w:p w14:paraId="5385D096" w14:textId="6183E396" w:rsidR="00016597" w:rsidRDefault="00016597" w:rsidP="00F511B7">
            <w:pPr>
              <w:pStyle w:val="TableParagraph"/>
              <w:spacing w:line="360" w:lineRule="auto"/>
              <w:jc w:val="center"/>
              <w:rPr>
                <w:rFonts w:ascii="宋体" w:eastAsia="宋体" w:hAnsi="宋体" w:cs="宋体"/>
                <w:sz w:val="24"/>
                <w:szCs w:val="24"/>
                <w:lang w:eastAsia="zh-CN"/>
              </w:rPr>
            </w:pPr>
            <w:r w:rsidRPr="00BD3B2E">
              <w:rPr>
                <w:rFonts w:ascii="宋体" w:eastAsia="宋体" w:hAnsi="宋体" w:cs="宋体" w:hint="eastAsia"/>
                <w:spacing w:val="2"/>
                <w:sz w:val="24"/>
                <w:szCs w:val="24"/>
                <w:lang w:eastAsia="zh-CN"/>
              </w:rPr>
              <w:t>投资者关系</w:t>
            </w:r>
            <w:r w:rsidRPr="00BD3B2E">
              <w:rPr>
                <w:rFonts w:ascii="宋体" w:eastAsia="宋体" w:hAnsi="宋体" w:cs="宋体" w:hint="eastAsia"/>
                <w:sz w:val="24"/>
                <w:szCs w:val="24"/>
                <w:lang w:eastAsia="zh-CN"/>
              </w:rPr>
              <w:t>活动</w:t>
            </w:r>
            <w:r w:rsidRPr="00BD3B2E">
              <w:rPr>
                <w:rFonts w:ascii="宋体" w:eastAsia="宋体" w:hAnsi="宋体" w:cs="宋体" w:hint="eastAsia"/>
                <w:spacing w:val="2"/>
                <w:sz w:val="24"/>
                <w:szCs w:val="24"/>
                <w:lang w:eastAsia="zh-CN"/>
              </w:rPr>
              <w:t>主</w:t>
            </w:r>
            <w:r w:rsidRPr="00BD3B2E">
              <w:rPr>
                <w:rFonts w:ascii="宋体" w:eastAsia="宋体" w:hAnsi="宋体" w:cs="宋体" w:hint="eastAsia"/>
                <w:sz w:val="24"/>
                <w:szCs w:val="24"/>
                <w:lang w:eastAsia="zh-CN"/>
              </w:rPr>
              <w:t>要</w:t>
            </w:r>
            <w:r w:rsidRPr="00BD3B2E">
              <w:rPr>
                <w:rFonts w:ascii="宋体" w:eastAsia="宋体" w:hAnsi="宋体" w:cs="宋体" w:hint="eastAsia"/>
                <w:spacing w:val="2"/>
                <w:sz w:val="24"/>
                <w:szCs w:val="24"/>
                <w:lang w:eastAsia="zh-CN"/>
              </w:rPr>
              <w:t>内容</w:t>
            </w:r>
          </w:p>
        </w:tc>
        <w:tc>
          <w:tcPr>
            <w:tcW w:w="6966" w:type="dxa"/>
          </w:tcPr>
          <w:p w14:paraId="7BD3E61B" w14:textId="2D390B7C" w:rsidR="0023217F" w:rsidRPr="0044707C" w:rsidRDefault="00652B88" w:rsidP="00634EB5">
            <w:pPr>
              <w:spacing w:line="360" w:lineRule="auto"/>
              <w:jc w:val="both"/>
              <w:rPr>
                <w:rFonts w:ascii="宋体" w:eastAsia="宋体" w:hAnsi="宋体" w:cs="宋体"/>
                <w:b/>
                <w:sz w:val="24"/>
                <w:szCs w:val="24"/>
                <w:lang w:eastAsia="zh-CN"/>
              </w:rPr>
            </w:pPr>
            <w:r>
              <w:rPr>
                <w:rFonts w:ascii="宋体" w:eastAsia="宋体" w:hAnsi="宋体" w:cs="宋体" w:hint="eastAsia"/>
                <w:b/>
                <w:sz w:val="24"/>
                <w:szCs w:val="24"/>
                <w:lang w:eastAsia="zh-CN"/>
              </w:rPr>
              <w:t>一、</w:t>
            </w:r>
            <w:r w:rsidR="00E84A5F" w:rsidRPr="00E84A5F">
              <w:rPr>
                <w:rFonts w:ascii="宋体" w:eastAsia="宋体" w:hAnsi="宋体" w:cs="宋体"/>
                <w:b/>
                <w:sz w:val="24"/>
                <w:szCs w:val="24"/>
                <w:lang w:eastAsia="zh-CN"/>
              </w:rPr>
              <w:t>公司</w:t>
            </w:r>
            <w:r w:rsidR="000A1E72" w:rsidRPr="000A1E72">
              <w:rPr>
                <w:rFonts w:ascii="宋体" w:eastAsia="宋体" w:hAnsi="宋体" w:cs="宋体"/>
                <w:b/>
                <w:sz w:val="24"/>
                <w:szCs w:val="24"/>
                <w:lang w:eastAsia="zh-CN"/>
              </w:rPr>
              <w:t>和</w:t>
            </w:r>
            <w:r w:rsidR="000A1E72">
              <w:rPr>
                <w:rFonts w:ascii="宋体" w:eastAsia="宋体" w:hAnsi="宋体" w:cs="宋体" w:hint="eastAsia"/>
                <w:b/>
                <w:sz w:val="24"/>
                <w:szCs w:val="24"/>
                <w:lang w:eastAsia="zh-CN"/>
              </w:rPr>
              <w:t>大</w:t>
            </w:r>
            <w:r w:rsidR="000A1E72" w:rsidRPr="000A1E72">
              <w:rPr>
                <w:rFonts w:ascii="宋体" w:eastAsia="宋体" w:hAnsi="宋体" w:cs="宋体"/>
                <w:b/>
                <w:sz w:val="24"/>
                <w:szCs w:val="24"/>
                <w:lang w:eastAsia="zh-CN"/>
              </w:rPr>
              <w:t>股东的协同主要体现在哪些方面？</w:t>
            </w:r>
            <w:r w:rsidR="0023217F" w:rsidRPr="0044707C">
              <w:rPr>
                <w:rFonts w:ascii="宋体" w:eastAsia="宋体" w:hAnsi="宋体" w:cs="宋体"/>
                <w:b/>
                <w:sz w:val="24"/>
                <w:szCs w:val="24"/>
                <w:lang w:eastAsia="zh-CN"/>
              </w:rPr>
              <w:t xml:space="preserve"> </w:t>
            </w:r>
          </w:p>
          <w:p w14:paraId="42DAA935" w14:textId="478CB2E2" w:rsidR="000A1E72" w:rsidRPr="000A1E72" w:rsidRDefault="000A1E72" w:rsidP="000A1E72">
            <w:pPr>
              <w:spacing w:line="360" w:lineRule="auto"/>
              <w:ind w:firstLineChars="200" w:firstLine="480"/>
              <w:jc w:val="both"/>
              <w:rPr>
                <w:rFonts w:ascii="宋体" w:eastAsia="宋体" w:hAnsi="宋体" w:cs="宋体"/>
                <w:sz w:val="24"/>
                <w:szCs w:val="24"/>
                <w:lang w:eastAsia="zh-CN"/>
              </w:rPr>
            </w:pPr>
            <w:r w:rsidRPr="000A1E72">
              <w:rPr>
                <w:rFonts w:ascii="宋体" w:eastAsia="宋体" w:hAnsi="宋体" w:cs="宋体" w:hint="eastAsia"/>
                <w:sz w:val="24"/>
                <w:szCs w:val="24"/>
                <w:lang w:eastAsia="zh-CN"/>
              </w:rPr>
              <w:t>国投资本积极发挥产业金融管理平台作用，初步构建了集“组织保障、信息报送、考核引导、沟通协调”四位一体的业务协同管理工作机制，推动和促进集团业务协同。及时响应协同需求、挖掘协同潜能、探索协同模式、推广复制协同成果。持续与集团产业公司、产业基金开展协同合作交流，聚焦集团重点发展的科技创新、绿色发展等战略领域，探索完善“控股产业公司</w:t>
            </w:r>
            <w:r w:rsidRPr="000A1E72">
              <w:rPr>
                <w:rFonts w:ascii="宋体" w:eastAsia="宋体" w:hAnsi="宋体" w:cs="宋体"/>
                <w:sz w:val="24"/>
                <w:szCs w:val="24"/>
                <w:lang w:eastAsia="zh-CN"/>
              </w:rPr>
              <w:t>+股权投资基金+金融服务企业”协同机制，为助力扩大战略性新兴产业影响力和服务国家战略作出积极贡献。在债券承销、股权融资、期货业务、境外证券业务等多项业务方面，</w:t>
            </w:r>
            <w:r w:rsidR="00BF5861" w:rsidRPr="00BF5861">
              <w:rPr>
                <w:rFonts w:ascii="宋体" w:eastAsia="宋体" w:hAnsi="宋体" w:cs="宋体" w:hint="eastAsia"/>
                <w:sz w:val="24"/>
                <w:szCs w:val="24"/>
                <w:lang w:eastAsia="zh-CN"/>
              </w:rPr>
              <w:t>存在较大的协同空间</w:t>
            </w:r>
            <w:r w:rsidRPr="000A1E72">
              <w:rPr>
                <w:rFonts w:ascii="宋体" w:eastAsia="宋体" w:hAnsi="宋体" w:cs="宋体" w:hint="eastAsia"/>
                <w:sz w:val="24"/>
                <w:szCs w:val="24"/>
                <w:lang w:eastAsia="zh-CN"/>
              </w:rPr>
              <w:t>。</w:t>
            </w:r>
          </w:p>
          <w:p w14:paraId="130FD854" w14:textId="520BCBB3" w:rsidR="00A94C17" w:rsidRPr="00A94C17" w:rsidRDefault="000A1E72" w:rsidP="000A1E72">
            <w:pPr>
              <w:spacing w:line="360" w:lineRule="auto"/>
              <w:ind w:firstLineChars="200" w:firstLine="480"/>
              <w:jc w:val="both"/>
              <w:rPr>
                <w:rFonts w:ascii="宋体" w:eastAsia="宋体" w:hAnsi="宋体" w:cs="宋体"/>
                <w:sz w:val="24"/>
                <w:szCs w:val="24"/>
                <w:lang w:eastAsia="zh-CN"/>
              </w:rPr>
            </w:pPr>
            <w:r w:rsidRPr="000A1E72">
              <w:rPr>
                <w:rFonts w:ascii="宋体" w:eastAsia="宋体" w:hAnsi="宋体" w:cs="宋体" w:hint="eastAsia"/>
                <w:sz w:val="24"/>
                <w:szCs w:val="24"/>
                <w:lang w:eastAsia="zh-CN"/>
              </w:rPr>
              <w:t>未来</w:t>
            </w:r>
            <w:r>
              <w:rPr>
                <w:rFonts w:ascii="宋体" w:eastAsia="宋体" w:hAnsi="宋体" w:cs="宋体" w:hint="eastAsia"/>
                <w:sz w:val="24"/>
                <w:szCs w:val="24"/>
                <w:lang w:eastAsia="zh-CN"/>
              </w:rPr>
              <w:t>公司</w:t>
            </w:r>
            <w:r w:rsidRPr="000A1E72">
              <w:rPr>
                <w:rFonts w:ascii="宋体" w:eastAsia="宋体" w:hAnsi="宋体" w:cs="宋体" w:hint="eastAsia"/>
                <w:sz w:val="24"/>
                <w:szCs w:val="24"/>
                <w:lang w:eastAsia="zh-CN"/>
              </w:rPr>
              <w:t>将进一步加大力度，发挥金融企业业务功能和服务优势，加大对集团内产业公司的协同服务模式创新和协同力度，着力增加协同规模和收入贡献。</w:t>
            </w:r>
          </w:p>
          <w:p w14:paraId="0B8C29E6" w14:textId="097A7F50" w:rsidR="00367FC0" w:rsidRPr="00367FC0" w:rsidRDefault="0049378F" w:rsidP="00367FC0">
            <w:pPr>
              <w:spacing w:line="360" w:lineRule="auto"/>
              <w:jc w:val="both"/>
              <w:rPr>
                <w:rFonts w:ascii="宋体" w:eastAsia="宋体" w:hAnsi="宋体" w:cs="宋体"/>
                <w:b/>
                <w:sz w:val="24"/>
                <w:szCs w:val="24"/>
                <w:lang w:eastAsia="zh-CN"/>
              </w:rPr>
            </w:pPr>
            <w:r>
              <w:rPr>
                <w:rFonts w:ascii="宋体" w:eastAsia="宋体" w:hAnsi="宋体" w:cs="宋体" w:hint="eastAsia"/>
                <w:b/>
                <w:sz w:val="24"/>
                <w:szCs w:val="24"/>
                <w:lang w:eastAsia="zh-CN"/>
              </w:rPr>
              <w:lastRenderedPageBreak/>
              <w:t>二</w:t>
            </w:r>
            <w:r w:rsidR="00BE4903">
              <w:rPr>
                <w:rFonts w:ascii="宋体" w:eastAsia="宋体" w:hAnsi="宋体" w:cs="宋体" w:hint="eastAsia"/>
                <w:b/>
                <w:sz w:val="24"/>
                <w:szCs w:val="24"/>
                <w:lang w:eastAsia="zh-CN"/>
              </w:rPr>
              <w:t>、</w:t>
            </w:r>
            <w:r w:rsidR="00BC36E4">
              <w:rPr>
                <w:rFonts w:ascii="宋体" w:eastAsia="宋体" w:hAnsi="宋体" w:cs="宋体" w:hint="eastAsia"/>
                <w:b/>
                <w:sz w:val="24"/>
                <w:szCs w:val="24"/>
                <w:lang w:eastAsia="zh-CN"/>
              </w:rPr>
              <w:t>关注到公司关于产业金融管理平台的定位</w:t>
            </w:r>
            <w:r w:rsidR="00367FC0" w:rsidRPr="00367FC0">
              <w:rPr>
                <w:rFonts w:ascii="宋体" w:eastAsia="宋体" w:hAnsi="宋体" w:cs="宋体"/>
                <w:b/>
                <w:sz w:val="24"/>
                <w:szCs w:val="24"/>
                <w:lang w:eastAsia="zh-CN"/>
              </w:rPr>
              <w:t>，</w:t>
            </w:r>
            <w:r w:rsidR="00BC36E4">
              <w:rPr>
                <w:rFonts w:ascii="宋体" w:eastAsia="宋体" w:hAnsi="宋体" w:cs="宋体" w:hint="eastAsia"/>
                <w:b/>
                <w:sz w:val="24"/>
                <w:szCs w:val="24"/>
                <w:lang w:eastAsia="zh-CN"/>
              </w:rPr>
              <w:t>公司</w:t>
            </w:r>
            <w:r w:rsidR="006B2491">
              <w:rPr>
                <w:rFonts w:ascii="宋体" w:eastAsia="宋体" w:hAnsi="宋体" w:cs="宋体" w:hint="eastAsia"/>
                <w:b/>
                <w:sz w:val="24"/>
                <w:szCs w:val="24"/>
                <w:lang w:eastAsia="zh-CN"/>
              </w:rPr>
              <w:t>未来</w:t>
            </w:r>
            <w:r w:rsidR="00367FC0" w:rsidRPr="00367FC0">
              <w:rPr>
                <w:rFonts w:ascii="宋体" w:eastAsia="宋体" w:hAnsi="宋体" w:cs="宋体"/>
                <w:b/>
                <w:sz w:val="24"/>
                <w:szCs w:val="24"/>
                <w:lang w:eastAsia="zh-CN"/>
              </w:rPr>
              <w:t>在战略规划上作何考虑</w:t>
            </w:r>
            <w:r w:rsidR="00BC36E4">
              <w:rPr>
                <w:rFonts w:ascii="宋体" w:eastAsia="宋体" w:hAnsi="宋体" w:cs="宋体" w:hint="eastAsia"/>
                <w:b/>
                <w:sz w:val="24"/>
                <w:szCs w:val="24"/>
                <w:lang w:eastAsia="zh-CN"/>
              </w:rPr>
              <w:t>？</w:t>
            </w:r>
            <w:r w:rsidR="00367FC0" w:rsidRPr="00367FC0">
              <w:rPr>
                <w:rFonts w:ascii="宋体" w:eastAsia="宋体" w:hAnsi="宋体" w:cs="宋体"/>
                <w:b/>
                <w:sz w:val="24"/>
                <w:szCs w:val="24"/>
                <w:lang w:eastAsia="zh-CN"/>
              </w:rPr>
              <w:t xml:space="preserve"> </w:t>
            </w:r>
          </w:p>
          <w:p w14:paraId="1B3020E4" w14:textId="76C8A639" w:rsidR="00367FC0" w:rsidRPr="00367FC0" w:rsidRDefault="00367FC0" w:rsidP="00367FC0">
            <w:pPr>
              <w:spacing w:line="360" w:lineRule="auto"/>
              <w:ind w:firstLineChars="200" w:firstLine="480"/>
              <w:jc w:val="both"/>
              <w:rPr>
                <w:rFonts w:ascii="宋体" w:eastAsia="宋体" w:hAnsi="宋体" w:cs="宋体"/>
                <w:sz w:val="24"/>
                <w:szCs w:val="24"/>
                <w:lang w:eastAsia="zh-CN"/>
              </w:rPr>
            </w:pPr>
            <w:r w:rsidRPr="00367FC0">
              <w:rPr>
                <w:rFonts w:ascii="宋体" w:eastAsia="宋体" w:hAnsi="宋体" w:cs="宋体" w:hint="eastAsia"/>
                <w:sz w:val="24"/>
                <w:szCs w:val="24"/>
                <w:lang w:eastAsia="zh-CN"/>
              </w:rPr>
              <w:t>国投资本作为国投集团旗下产业金融管理平台，坚持金融服务实体经济，提高政治站位和大局意识，进一步深化金融工作的政治性、人民性，充分发挥公司专业优势和金融服务功能，全面提升服务实体经济能力。围绕产业金融方向着力优化金融业务布局，发展重点</w:t>
            </w:r>
            <w:r w:rsidR="00A934B3">
              <w:rPr>
                <w:rFonts w:ascii="宋体" w:eastAsia="宋体" w:hAnsi="宋体" w:cs="宋体" w:hint="eastAsia"/>
                <w:sz w:val="24"/>
                <w:szCs w:val="24"/>
                <w:lang w:eastAsia="zh-CN"/>
              </w:rPr>
              <w:t>是向</w:t>
            </w:r>
            <w:r w:rsidRPr="00367FC0">
              <w:rPr>
                <w:rFonts w:ascii="宋体" w:eastAsia="宋体" w:hAnsi="宋体" w:cs="宋体" w:hint="eastAsia"/>
                <w:sz w:val="24"/>
                <w:szCs w:val="24"/>
                <w:lang w:eastAsia="zh-CN"/>
              </w:rPr>
              <w:t>专业化</w:t>
            </w:r>
            <w:r w:rsidR="00A934B3">
              <w:rPr>
                <w:rFonts w:ascii="宋体" w:eastAsia="宋体" w:hAnsi="宋体" w:cs="宋体" w:hint="eastAsia"/>
                <w:sz w:val="24"/>
                <w:szCs w:val="24"/>
                <w:lang w:eastAsia="zh-CN"/>
              </w:rPr>
              <w:t>、差异化、协同化转变</w:t>
            </w:r>
            <w:r w:rsidRPr="00367FC0">
              <w:rPr>
                <w:rFonts w:ascii="宋体" w:eastAsia="宋体" w:hAnsi="宋体" w:cs="宋体" w:hint="eastAsia"/>
                <w:sz w:val="24"/>
                <w:szCs w:val="24"/>
                <w:lang w:eastAsia="zh-CN"/>
              </w:rPr>
              <w:t>，着力提高金融企业服务实体经济</w:t>
            </w:r>
            <w:r w:rsidR="00A934B3">
              <w:rPr>
                <w:rFonts w:ascii="宋体" w:eastAsia="宋体" w:hAnsi="宋体" w:cs="宋体" w:hint="eastAsia"/>
                <w:sz w:val="24"/>
                <w:szCs w:val="24"/>
                <w:lang w:eastAsia="zh-CN"/>
              </w:rPr>
              <w:t>和助力美好生活</w:t>
            </w:r>
            <w:r w:rsidRPr="00367FC0">
              <w:rPr>
                <w:rFonts w:ascii="宋体" w:eastAsia="宋体" w:hAnsi="宋体" w:cs="宋体" w:hint="eastAsia"/>
                <w:sz w:val="24"/>
                <w:szCs w:val="24"/>
                <w:lang w:eastAsia="zh-CN"/>
              </w:rPr>
              <w:t>的能力</w:t>
            </w:r>
            <w:r w:rsidR="00A934B3">
              <w:rPr>
                <w:rFonts w:ascii="宋体" w:eastAsia="宋体" w:hAnsi="宋体" w:cs="宋体" w:hint="eastAsia"/>
                <w:sz w:val="24"/>
                <w:szCs w:val="24"/>
                <w:lang w:eastAsia="zh-CN"/>
              </w:rPr>
              <w:t>。</w:t>
            </w:r>
            <w:r w:rsidRPr="00367FC0">
              <w:rPr>
                <w:rFonts w:ascii="宋体" w:eastAsia="宋体" w:hAnsi="宋体" w:cs="宋体" w:hint="eastAsia"/>
                <w:sz w:val="24"/>
                <w:szCs w:val="24"/>
                <w:lang w:eastAsia="zh-CN"/>
              </w:rPr>
              <w:t>持续优化管控体系，在增强管理水平和管理能力的基础上，向专业赋能转型，推动金融企业做强做优，塑造金融企业核心竞争力，打造综合金融发展合力，形成国投资本特色的差异化竞争优势。</w:t>
            </w:r>
          </w:p>
          <w:p w14:paraId="79BD3E28" w14:textId="3D421D71" w:rsidR="00AD6515" w:rsidRPr="00C86F83" w:rsidRDefault="00C86F83" w:rsidP="00BC36E4">
            <w:pPr>
              <w:spacing w:line="360" w:lineRule="auto"/>
              <w:ind w:firstLineChars="200" w:firstLine="480"/>
              <w:jc w:val="both"/>
              <w:rPr>
                <w:rFonts w:ascii="宋体" w:eastAsia="宋体" w:hAnsi="宋体" w:cs="宋体"/>
                <w:sz w:val="24"/>
                <w:szCs w:val="24"/>
                <w:lang w:eastAsia="zh-CN"/>
              </w:rPr>
            </w:pPr>
            <w:r>
              <w:rPr>
                <w:rFonts w:ascii="宋体" w:eastAsia="宋体" w:hAnsi="宋体" w:cs="宋体" w:hint="eastAsia"/>
                <w:sz w:val="24"/>
                <w:szCs w:val="24"/>
                <w:lang w:eastAsia="zh-CN"/>
              </w:rPr>
              <w:t>公司的</w:t>
            </w:r>
            <w:r w:rsidR="00367FC0" w:rsidRPr="00367FC0">
              <w:rPr>
                <w:rFonts w:ascii="宋体" w:eastAsia="宋体" w:hAnsi="宋体" w:cs="宋体" w:hint="eastAsia"/>
                <w:sz w:val="24"/>
                <w:szCs w:val="24"/>
                <w:lang w:eastAsia="zh-CN"/>
              </w:rPr>
              <w:t>功能定位是国投集团产融结合示范者、风险防范引领者、重要利润贡献者。一是全面深化协同机制，围绕国投集团四大业务板块和未来重点发展产业方向，提供全方位、定制化的专业金融服务；二是严格按照高标准的监管要求，进一步优化风险管理体系，提升风险管控能力，确保整体风险可测可控可承受；三是通过服务实体经济、助力集团服务国家战略，完善约束激励机制，持续提高经营业绩，提质增效，从而提升产业金融综合服务能力，推动上市公司高质量发展。</w:t>
            </w:r>
          </w:p>
          <w:p w14:paraId="76CC8CB0" w14:textId="79397FD3" w:rsidR="002273F1" w:rsidRDefault="00AD6515" w:rsidP="00634EB5">
            <w:pPr>
              <w:spacing w:line="360" w:lineRule="auto"/>
              <w:jc w:val="both"/>
              <w:rPr>
                <w:rFonts w:ascii="宋体" w:eastAsia="宋体" w:hAnsi="宋体" w:cs="宋体"/>
                <w:b/>
                <w:sz w:val="24"/>
                <w:szCs w:val="24"/>
                <w:lang w:eastAsia="zh-CN"/>
              </w:rPr>
            </w:pPr>
            <w:r>
              <w:rPr>
                <w:rFonts w:ascii="宋体" w:eastAsia="宋体" w:hAnsi="宋体" w:cs="宋体" w:hint="eastAsia"/>
                <w:b/>
                <w:sz w:val="24"/>
                <w:szCs w:val="24"/>
                <w:lang w:eastAsia="zh-CN"/>
              </w:rPr>
              <w:t>三、</w:t>
            </w:r>
            <w:r w:rsidR="00BC36E4" w:rsidRPr="00BC36E4">
              <w:rPr>
                <w:rFonts w:ascii="宋体" w:eastAsia="宋体" w:hAnsi="宋体" w:cs="宋体" w:hint="eastAsia"/>
                <w:b/>
                <w:sz w:val="24"/>
                <w:szCs w:val="24"/>
                <w:lang w:eastAsia="zh-CN"/>
              </w:rPr>
              <w:t>国投证券更名后，重点发展方向有哪些？</w:t>
            </w:r>
          </w:p>
          <w:p w14:paraId="0DDB2B4F" w14:textId="5F39CCB3" w:rsidR="002273F1" w:rsidRPr="00167A71" w:rsidRDefault="00BC36E4" w:rsidP="00167A71">
            <w:pPr>
              <w:spacing w:line="360" w:lineRule="auto"/>
              <w:ind w:firstLineChars="200" w:firstLine="480"/>
              <w:jc w:val="both"/>
              <w:rPr>
                <w:rFonts w:ascii="宋体" w:eastAsia="宋体" w:hAnsi="宋体" w:cs="宋体"/>
                <w:sz w:val="24"/>
                <w:szCs w:val="24"/>
                <w:lang w:eastAsia="zh-CN"/>
              </w:rPr>
            </w:pPr>
            <w:r>
              <w:rPr>
                <w:rFonts w:ascii="宋体" w:eastAsia="宋体" w:hAnsi="宋体" w:cs="宋体" w:hint="eastAsia"/>
                <w:sz w:val="24"/>
                <w:szCs w:val="24"/>
                <w:lang w:eastAsia="zh-CN"/>
              </w:rPr>
              <w:t>国投证券将</w:t>
            </w:r>
            <w:r w:rsidRPr="00BC36E4">
              <w:rPr>
                <w:rFonts w:ascii="宋体" w:eastAsia="宋体" w:hAnsi="宋体" w:cs="宋体" w:hint="eastAsia"/>
                <w:sz w:val="24"/>
                <w:szCs w:val="24"/>
                <w:lang w:eastAsia="zh-CN"/>
              </w:rPr>
              <w:t>在坚守风险防控底线基础上，以数字化驱动业务发展，推动各业务转型、协同和拓展增量：一是全面挖潜国投系产业基金投资生态圈的合作潜力空间，加强服务科技创新、为“专精特新”企业的孵化成长发展提供全链条服务；二是经纪业务积极拓宽互联网渠道合作机会，聚焦开拓中高价值客户，加大机构开拓力度；三是投行业务加强协作探索合作新模式，推动交易型投行建设，不断提升市场开拓能力；四是投资业务进一步做大做强固收投资，着力增强权益投资抵御市场波动的能力；五是证券金融业务加强对机构客户和高净值客户的综合性、差异化服务，</w:t>
            </w:r>
            <w:r w:rsidRPr="00BC36E4">
              <w:rPr>
                <w:rFonts w:ascii="宋体" w:eastAsia="宋体" w:hAnsi="宋体" w:cs="宋体" w:hint="eastAsia"/>
                <w:sz w:val="24"/>
                <w:szCs w:val="24"/>
                <w:lang w:eastAsia="zh-CN"/>
              </w:rPr>
              <w:lastRenderedPageBreak/>
              <w:t>进一步优化客户结构；六是资管业务以产品创新创设为重点，聚焦市场开发，拓展业务规模。</w:t>
            </w:r>
          </w:p>
          <w:p w14:paraId="3A88D97A" w14:textId="5E38FEE7" w:rsidR="00406FA1" w:rsidRPr="00406FA1" w:rsidRDefault="002273F1" w:rsidP="00634EB5">
            <w:pPr>
              <w:spacing w:line="360" w:lineRule="auto"/>
              <w:jc w:val="both"/>
              <w:rPr>
                <w:rFonts w:ascii="宋体" w:eastAsia="宋体" w:hAnsi="宋体" w:cs="宋体"/>
                <w:b/>
                <w:sz w:val="24"/>
                <w:szCs w:val="24"/>
                <w:lang w:eastAsia="zh-CN"/>
              </w:rPr>
            </w:pPr>
            <w:r>
              <w:rPr>
                <w:rFonts w:ascii="宋体" w:eastAsia="宋体" w:hAnsi="宋体" w:cs="宋体" w:hint="eastAsia"/>
                <w:b/>
                <w:sz w:val="24"/>
                <w:szCs w:val="24"/>
                <w:lang w:eastAsia="zh-CN"/>
              </w:rPr>
              <w:t>四、</w:t>
            </w:r>
            <w:r w:rsidR="00251F75" w:rsidRPr="00251F75">
              <w:rPr>
                <w:rFonts w:ascii="宋体" w:eastAsia="宋体" w:hAnsi="宋体" w:cs="宋体"/>
                <w:b/>
                <w:sz w:val="24"/>
                <w:szCs w:val="24"/>
                <w:lang w:eastAsia="zh-CN"/>
              </w:rPr>
              <w:t>证监会优化券商风控指标计算标准，征求意见期已经结束，公司是否评估过对资本金业务开展的影响？</w:t>
            </w:r>
            <w:r w:rsidR="00406FA1" w:rsidRPr="00406FA1">
              <w:rPr>
                <w:rFonts w:ascii="宋体" w:eastAsia="宋体" w:hAnsi="宋体" w:cs="宋体"/>
                <w:b/>
                <w:sz w:val="24"/>
                <w:szCs w:val="24"/>
                <w:lang w:eastAsia="zh-CN"/>
              </w:rPr>
              <w:t xml:space="preserve"> </w:t>
            </w:r>
          </w:p>
          <w:p w14:paraId="328D6029" w14:textId="2D2AF821" w:rsidR="0049378F" w:rsidRPr="0049378F" w:rsidRDefault="00251F75" w:rsidP="00634EB5">
            <w:pPr>
              <w:spacing w:line="360" w:lineRule="auto"/>
              <w:ind w:firstLineChars="200" w:firstLine="480"/>
              <w:jc w:val="both"/>
              <w:rPr>
                <w:rFonts w:ascii="宋体" w:eastAsia="宋体" w:hAnsi="宋体" w:cs="宋体"/>
                <w:sz w:val="24"/>
                <w:szCs w:val="24"/>
                <w:lang w:eastAsia="zh-CN"/>
              </w:rPr>
            </w:pPr>
            <w:r w:rsidRPr="00251F75">
              <w:rPr>
                <w:rFonts w:ascii="宋体" w:eastAsia="宋体" w:hAnsi="宋体" w:cs="宋体" w:hint="eastAsia"/>
                <w:sz w:val="24"/>
                <w:szCs w:val="24"/>
                <w:lang w:eastAsia="zh-CN"/>
              </w:rPr>
              <w:t>在征求意见期，公司已综合审慎评估《证券公司风险控制指标计算标准规定（修订稿）》（以下简称《修订稿》）对风控指标及业务开展的影响。《修订稿》对证券公司开展做市、资产管理、参与公募</w:t>
            </w:r>
            <w:r w:rsidRPr="00251F75">
              <w:rPr>
                <w:rFonts w:ascii="宋体" w:eastAsia="宋体" w:hAnsi="宋体" w:cs="宋体"/>
                <w:sz w:val="24"/>
                <w:szCs w:val="24"/>
                <w:lang w:eastAsia="zh-CN"/>
              </w:rPr>
              <w:t>REITs等业务的风险控制指标计算标准予以优化；进一步强化分类监管，拓展优质证券公司资本空间；加强风险管理，进一步提高风险控制指标的科学性。公司秉承稳健经营理念，风控指标持续处于安全区间，目前《修订稿》的征求意见期已结束，相关指标计算口径以监管部门最终的政策为准。公司将持续做好服务实体经济的主业主责，合规稳健开展业务。</w:t>
            </w:r>
          </w:p>
          <w:p w14:paraId="12958BCE" w14:textId="6E489BA1" w:rsidR="0044707C" w:rsidRPr="00E453E5" w:rsidRDefault="002273F1" w:rsidP="00634EB5">
            <w:pPr>
              <w:spacing w:line="360" w:lineRule="auto"/>
              <w:jc w:val="both"/>
              <w:rPr>
                <w:rFonts w:ascii="宋体" w:eastAsia="宋体" w:hAnsi="宋体" w:cs="宋体"/>
                <w:b/>
                <w:sz w:val="24"/>
                <w:szCs w:val="24"/>
                <w:lang w:eastAsia="zh-CN"/>
              </w:rPr>
            </w:pPr>
            <w:r>
              <w:rPr>
                <w:rFonts w:ascii="宋体" w:eastAsia="宋体" w:hAnsi="宋体" w:cs="宋体" w:hint="eastAsia"/>
                <w:b/>
                <w:sz w:val="24"/>
                <w:szCs w:val="24"/>
                <w:lang w:eastAsia="zh-CN"/>
              </w:rPr>
              <w:t>五</w:t>
            </w:r>
            <w:r w:rsidR="00BE4903">
              <w:rPr>
                <w:rFonts w:ascii="宋体" w:eastAsia="宋体" w:hAnsi="宋体" w:cs="宋体" w:hint="eastAsia"/>
                <w:b/>
                <w:sz w:val="24"/>
                <w:szCs w:val="24"/>
                <w:lang w:eastAsia="zh-CN"/>
              </w:rPr>
              <w:t>、</w:t>
            </w:r>
            <w:r w:rsidR="00FA72BC">
              <w:rPr>
                <w:rFonts w:ascii="宋体" w:eastAsia="宋体" w:hAnsi="宋体" w:cs="宋体" w:hint="eastAsia"/>
                <w:b/>
                <w:sz w:val="24"/>
                <w:szCs w:val="24"/>
                <w:lang w:eastAsia="zh-CN"/>
              </w:rPr>
              <w:t>当前</w:t>
            </w:r>
            <w:r w:rsidR="00FA72BC" w:rsidRPr="002928F0">
              <w:rPr>
                <w:rFonts w:ascii="宋体" w:eastAsia="宋体" w:hAnsi="宋体" w:cs="宋体" w:hint="eastAsia"/>
                <w:b/>
                <w:sz w:val="24"/>
                <w:szCs w:val="24"/>
                <w:lang w:eastAsia="zh-CN"/>
              </w:rPr>
              <w:t>股权融资阶段性放缓</w:t>
            </w:r>
            <w:r w:rsidR="00FA72BC">
              <w:rPr>
                <w:rFonts w:ascii="宋体" w:eastAsia="宋体" w:hAnsi="宋体" w:cs="宋体" w:hint="eastAsia"/>
                <w:b/>
                <w:sz w:val="24"/>
                <w:szCs w:val="24"/>
                <w:lang w:eastAsia="zh-CN"/>
              </w:rPr>
              <w:t>，公司</w:t>
            </w:r>
            <w:r w:rsidR="002928F0">
              <w:rPr>
                <w:rFonts w:ascii="宋体" w:eastAsia="宋体" w:hAnsi="宋体" w:cs="宋体" w:hint="eastAsia"/>
                <w:b/>
                <w:sz w:val="24"/>
                <w:szCs w:val="24"/>
                <w:lang w:eastAsia="zh-CN"/>
              </w:rPr>
              <w:t>投行业务</w:t>
            </w:r>
            <w:r w:rsidR="005A331E">
              <w:rPr>
                <w:rFonts w:ascii="宋体" w:eastAsia="宋体" w:hAnsi="宋体" w:cs="宋体" w:hint="eastAsia"/>
                <w:b/>
                <w:sz w:val="24"/>
                <w:szCs w:val="24"/>
                <w:lang w:eastAsia="zh-CN"/>
              </w:rPr>
              <w:t>有哪些</w:t>
            </w:r>
            <w:r w:rsidR="002928F0" w:rsidRPr="002928F0">
              <w:rPr>
                <w:rFonts w:ascii="宋体" w:eastAsia="宋体" w:hAnsi="宋体" w:cs="宋体" w:hint="eastAsia"/>
                <w:b/>
                <w:sz w:val="24"/>
                <w:szCs w:val="24"/>
                <w:lang w:eastAsia="zh-CN"/>
              </w:rPr>
              <w:t>应对措施？</w:t>
            </w:r>
            <w:r w:rsidR="00374C64">
              <w:rPr>
                <w:rFonts w:ascii="宋体" w:eastAsia="宋体" w:hAnsi="宋体" w:cs="宋体" w:hint="eastAsia"/>
                <w:b/>
                <w:sz w:val="24"/>
                <w:szCs w:val="24"/>
                <w:lang w:eastAsia="zh-CN"/>
              </w:rPr>
              <w:t>对</w:t>
            </w:r>
            <w:r w:rsidR="00C178F3" w:rsidRPr="00C178F3">
              <w:rPr>
                <w:rFonts w:ascii="宋体" w:eastAsia="宋体" w:hAnsi="宋体" w:cs="宋体" w:hint="eastAsia"/>
                <w:b/>
                <w:sz w:val="24"/>
                <w:szCs w:val="24"/>
                <w:lang w:eastAsia="zh-CN"/>
              </w:rPr>
              <w:t>于投行债券承销业务下一步的展望如何？</w:t>
            </w:r>
          </w:p>
          <w:p w14:paraId="7F52CCC3" w14:textId="6C7DEA77" w:rsidR="00C178F3" w:rsidRDefault="009B1052" w:rsidP="009B1052">
            <w:pPr>
              <w:spacing w:line="360" w:lineRule="auto"/>
              <w:ind w:firstLineChars="200" w:firstLine="480"/>
              <w:jc w:val="both"/>
              <w:rPr>
                <w:rFonts w:ascii="宋体" w:eastAsia="宋体" w:hAnsi="宋体" w:cs="宋体"/>
                <w:sz w:val="24"/>
                <w:szCs w:val="24"/>
                <w:lang w:eastAsia="zh-CN"/>
              </w:rPr>
            </w:pPr>
            <w:r w:rsidRPr="009B1052">
              <w:rPr>
                <w:rFonts w:ascii="宋体" w:eastAsia="宋体" w:hAnsi="宋体" w:cs="宋体" w:hint="eastAsia"/>
                <w:sz w:val="24"/>
                <w:szCs w:val="24"/>
                <w:lang w:eastAsia="zh-CN"/>
              </w:rPr>
              <w:t>未来</w:t>
            </w:r>
            <w:r w:rsidR="007F0CC7">
              <w:rPr>
                <w:rFonts w:ascii="宋体" w:eastAsia="宋体" w:hAnsi="宋体" w:cs="宋体" w:hint="eastAsia"/>
                <w:sz w:val="24"/>
                <w:szCs w:val="24"/>
                <w:lang w:eastAsia="zh-CN"/>
              </w:rPr>
              <w:t>，</w:t>
            </w:r>
            <w:r w:rsidRPr="009B1052">
              <w:rPr>
                <w:rFonts w:ascii="宋体" w:eastAsia="宋体" w:hAnsi="宋体" w:cs="宋体" w:hint="eastAsia"/>
                <w:sz w:val="24"/>
                <w:szCs w:val="24"/>
                <w:lang w:eastAsia="zh-CN"/>
              </w:rPr>
              <w:t>国投证券投行将主动适应从增量市场到存量市场变化，做好中长期业务布局：</w:t>
            </w:r>
            <w:r w:rsidR="00C178F3" w:rsidRPr="00C178F3">
              <w:rPr>
                <w:rFonts w:ascii="宋体" w:eastAsia="宋体" w:hAnsi="宋体" w:cs="宋体" w:hint="eastAsia"/>
                <w:sz w:val="24"/>
                <w:szCs w:val="24"/>
                <w:lang w:eastAsia="zh-CN"/>
              </w:rPr>
              <w:t>一是债券承销业务方面保持目前良好的稳步增长和排名提升良好趋势；二是巩固北交所的优势，为“专精特新”企业的孵化成长提供全链条服务；三是以投行为抓手强化与大股东国投集团旗下基金管理平台的协同联动，聚焦战略新兴产业的资产证券化和并购重组业务，深耕国投集团股权投资生态圈、战略合作伙伴拓展业务增量，未来将围绕以上重点领域提升执业质量、提高承销定价能力、聚焦价值发现能力、加强内部协同。</w:t>
            </w:r>
          </w:p>
          <w:p w14:paraId="3598D93B" w14:textId="7F5BDDF4" w:rsidR="00C178F3" w:rsidRPr="00C178F3" w:rsidRDefault="00C178F3" w:rsidP="009B1052">
            <w:pPr>
              <w:spacing w:line="360" w:lineRule="auto"/>
              <w:ind w:firstLineChars="200" w:firstLine="480"/>
              <w:jc w:val="both"/>
              <w:rPr>
                <w:rFonts w:ascii="宋体" w:eastAsia="宋体" w:hAnsi="宋体" w:cs="宋体"/>
                <w:sz w:val="24"/>
                <w:szCs w:val="24"/>
                <w:lang w:eastAsia="zh-CN"/>
              </w:rPr>
            </w:pPr>
            <w:r>
              <w:rPr>
                <w:rFonts w:ascii="宋体" w:eastAsia="宋体" w:hAnsi="宋体" w:cs="宋体" w:hint="eastAsia"/>
                <w:sz w:val="24"/>
                <w:szCs w:val="24"/>
                <w:lang w:eastAsia="zh-CN"/>
              </w:rPr>
              <w:t>债券承销业务方面，</w:t>
            </w:r>
            <w:r w:rsidRPr="00C178F3">
              <w:rPr>
                <w:rFonts w:ascii="宋体" w:eastAsia="宋体" w:hAnsi="宋体" w:cs="宋体" w:hint="eastAsia"/>
                <w:sz w:val="24"/>
                <w:szCs w:val="24"/>
                <w:lang w:eastAsia="zh-CN"/>
              </w:rPr>
              <w:t>未来将持续加强债券承销业务拓展，努力提升行业竞争力。一是整合销售资源，提高债券销售的整体实力和效率。二是深耕重点区域，总结与分支机构的协同经验并进一步推广。三是拓展</w:t>
            </w:r>
            <w:r w:rsidRPr="00C178F3">
              <w:rPr>
                <w:rFonts w:ascii="宋体" w:eastAsia="宋体" w:hAnsi="宋体" w:cs="宋体"/>
                <w:sz w:val="24"/>
                <w:szCs w:val="24"/>
                <w:lang w:eastAsia="zh-CN"/>
              </w:rPr>
              <w:t>ABS类业务，丰富债券业务结构。四是加强风险控制能力，灵活应对各种机遇和挑战，实现高质量发展。</w:t>
            </w:r>
          </w:p>
          <w:p w14:paraId="044F1A50" w14:textId="70C8D0AA" w:rsidR="0044707C" w:rsidRPr="00E453E5" w:rsidRDefault="002273F1" w:rsidP="00634EB5">
            <w:pPr>
              <w:spacing w:line="360" w:lineRule="auto"/>
              <w:jc w:val="both"/>
              <w:rPr>
                <w:rFonts w:ascii="宋体" w:eastAsia="宋体" w:hAnsi="宋体" w:cs="宋体"/>
                <w:b/>
                <w:sz w:val="24"/>
                <w:szCs w:val="24"/>
                <w:lang w:eastAsia="zh-CN"/>
              </w:rPr>
            </w:pPr>
            <w:r>
              <w:rPr>
                <w:rFonts w:ascii="宋体" w:eastAsia="宋体" w:hAnsi="宋体" w:cs="宋体" w:hint="eastAsia"/>
                <w:b/>
                <w:sz w:val="24"/>
                <w:szCs w:val="24"/>
                <w:lang w:eastAsia="zh-CN"/>
              </w:rPr>
              <w:lastRenderedPageBreak/>
              <w:t>六</w:t>
            </w:r>
            <w:r w:rsidR="00BE4903">
              <w:rPr>
                <w:rFonts w:ascii="宋体" w:eastAsia="宋体" w:hAnsi="宋体" w:cs="宋体" w:hint="eastAsia"/>
                <w:b/>
                <w:sz w:val="24"/>
                <w:szCs w:val="24"/>
                <w:lang w:eastAsia="zh-CN"/>
              </w:rPr>
              <w:t>、</w:t>
            </w:r>
            <w:r w:rsidR="003E3302" w:rsidRPr="003E3302">
              <w:rPr>
                <w:rFonts w:ascii="宋体" w:eastAsia="宋体" w:hAnsi="宋体" w:cs="宋体" w:hint="eastAsia"/>
                <w:b/>
                <w:sz w:val="24"/>
                <w:szCs w:val="24"/>
                <w:lang w:eastAsia="zh-CN"/>
              </w:rPr>
              <w:t>请问</w:t>
            </w:r>
            <w:r w:rsidR="003E3302">
              <w:rPr>
                <w:rFonts w:ascii="宋体" w:eastAsia="宋体" w:hAnsi="宋体" w:cs="宋体" w:hint="eastAsia"/>
                <w:b/>
                <w:sz w:val="24"/>
                <w:szCs w:val="24"/>
                <w:lang w:eastAsia="zh-CN"/>
              </w:rPr>
              <w:t>公募基金降费对</w:t>
            </w:r>
            <w:r w:rsidR="003E3302" w:rsidRPr="003E3302">
              <w:rPr>
                <w:rFonts w:ascii="宋体" w:eastAsia="宋体" w:hAnsi="宋体" w:cs="宋体" w:hint="eastAsia"/>
                <w:b/>
                <w:sz w:val="24"/>
                <w:szCs w:val="24"/>
                <w:lang w:eastAsia="zh-CN"/>
              </w:rPr>
              <w:t>国投瑞银基金的影响？如何降低降费带来的冲击？</w:t>
            </w:r>
          </w:p>
          <w:p w14:paraId="1C2ACDCE" w14:textId="77777777" w:rsidR="00C37415" w:rsidRPr="00C37415" w:rsidRDefault="00C37415" w:rsidP="00C37415">
            <w:pPr>
              <w:spacing w:line="360" w:lineRule="auto"/>
              <w:ind w:firstLineChars="200" w:firstLine="480"/>
              <w:jc w:val="both"/>
              <w:rPr>
                <w:rFonts w:ascii="宋体" w:eastAsia="宋体" w:hAnsi="宋体" w:cs="宋体"/>
                <w:sz w:val="24"/>
                <w:szCs w:val="24"/>
                <w:lang w:eastAsia="zh-CN"/>
              </w:rPr>
            </w:pPr>
            <w:r w:rsidRPr="00C37415">
              <w:rPr>
                <w:rFonts w:ascii="宋体" w:eastAsia="宋体" w:hAnsi="宋体" w:cs="宋体"/>
                <w:sz w:val="24"/>
                <w:szCs w:val="24"/>
                <w:lang w:eastAsia="zh-CN"/>
              </w:rPr>
              <w:t>2023年7月，证监会发布了公募基金费率改革工作安排，在加快推进公募基金行业高质量发展的当下，基金降低费率有利于提升市场信心，更好地满足广大投资者的投资需求。短期来看，虽然降费对基金公司的收益会产生一定冲击，但同时也将促使基金公司调整自身经营模式，优化运营成本结构。从产品结构上，费率调整或将促使基金公司平衡各类产品的发展模式，催生不同创新业务，促使基金公司丰富其经营策略，例如2019年10月试点启动的基金投顾业务，未来基金投顾有望逐渐从试点转入常规，促使买方投顾发展步伐进一步加快。</w:t>
            </w:r>
          </w:p>
          <w:p w14:paraId="31260E76" w14:textId="77777777" w:rsidR="00C37415" w:rsidRPr="00C37415" w:rsidRDefault="00C37415" w:rsidP="00C37415">
            <w:pPr>
              <w:spacing w:line="360" w:lineRule="auto"/>
              <w:ind w:firstLineChars="200" w:firstLine="480"/>
              <w:jc w:val="both"/>
              <w:rPr>
                <w:rFonts w:ascii="宋体" w:eastAsia="宋体" w:hAnsi="宋体" w:cs="宋体"/>
                <w:sz w:val="24"/>
                <w:szCs w:val="24"/>
                <w:lang w:eastAsia="zh-CN"/>
              </w:rPr>
            </w:pPr>
            <w:r w:rsidRPr="00C37415">
              <w:rPr>
                <w:rFonts w:ascii="宋体" w:eastAsia="宋体" w:hAnsi="宋体" w:cs="宋体" w:hint="eastAsia"/>
                <w:sz w:val="24"/>
                <w:szCs w:val="24"/>
                <w:lang w:eastAsia="zh-CN"/>
              </w:rPr>
              <w:t>国投瑞银正积极探索基金投顾业务及被动指数业务的行业趋势，考虑“基金投顾、养老金和被动产品”的综合发展趋势，定期跟踪行业与监管变化，结合公司业务发展情况</w:t>
            </w:r>
            <w:r w:rsidRPr="00C37415">
              <w:rPr>
                <w:rFonts w:ascii="宋体" w:eastAsia="宋体" w:hAnsi="宋体" w:cs="宋体"/>
                <w:sz w:val="24"/>
                <w:szCs w:val="24"/>
                <w:lang w:eastAsia="zh-CN"/>
              </w:rPr>
              <w:t>,寻求适合的发展路径，稳步推进。</w:t>
            </w:r>
          </w:p>
          <w:p w14:paraId="049DF3DE" w14:textId="2143C5F4" w:rsidR="00900D5D" w:rsidRPr="00C86DD3" w:rsidRDefault="00C37415" w:rsidP="00AF6CB5">
            <w:pPr>
              <w:spacing w:line="360" w:lineRule="auto"/>
              <w:ind w:firstLineChars="200" w:firstLine="480"/>
              <w:jc w:val="both"/>
              <w:rPr>
                <w:rFonts w:ascii="宋体" w:eastAsia="宋体" w:hAnsi="宋体" w:cs="宋体"/>
                <w:sz w:val="24"/>
                <w:szCs w:val="24"/>
                <w:lang w:eastAsia="zh-CN"/>
              </w:rPr>
            </w:pPr>
            <w:r w:rsidRPr="00C37415">
              <w:rPr>
                <w:rFonts w:ascii="宋体" w:eastAsia="宋体" w:hAnsi="宋体" w:cs="宋体" w:hint="eastAsia"/>
                <w:sz w:val="24"/>
                <w:szCs w:val="24"/>
                <w:lang w:eastAsia="zh-CN"/>
              </w:rPr>
              <w:t>从公司长期发展方面来看，降费影响倒逼基金管理人进一步夯实自身投研能力，做好投资管理，以有效提升投资者获得感。在此基础上，持续优化公司投研体系建设，深化投资体系建设，在投资风格上进一步细化和丰富，建立可持续、多维度的投研竞争优势。同时，积极探寻优化客户体验的服务模式，在现有客户陪伴的基础上</w:t>
            </w:r>
            <w:r w:rsidRPr="00C37415">
              <w:rPr>
                <w:rFonts w:ascii="宋体" w:eastAsia="宋体" w:hAnsi="宋体" w:cs="宋体"/>
                <w:sz w:val="24"/>
                <w:szCs w:val="24"/>
                <w:lang w:eastAsia="zh-CN"/>
              </w:rPr>
              <w:t>,针对不同的投资者需求,对输出内容进行分层，创造更多个性化内容，实现更高效的内容触达，从售前、售中、售后多个维度持续优化服务体验。</w:t>
            </w:r>
          </w:p>
        </w:tc>
      </w:tr>
      <w:tr w:rsidR="00016597" w14:paraId="657D3A5E" w14:textId="77777777" w:rsidTr="001D0108">
        <w:trPr>
          <w:trHeight w:val="628"/>
        </w:trPr>
        <w:tc>
          <w:tcPr>
            <w:tcW w:w="1560" w:type="dxa"/>
            <w:vAlign w:val="center"/>
          </w:tcPr>
          <w:p w14:paraId="611ACB29" w14:textId="77777777" w:rsidR="00956736" w:rsidRDefault="00956736" w:rsidP="00F511B7">
            <w:pPr>
              <w:pStyle w:val="TableParagraph"/>
              <w:spacing w:line="360" w:lineRule="auto"/>
              <w:jc w:val="center"/>
              <w:rPr>
                <w:rFonts w:ascii="宋体" w:eastAsia="宋体" w:hAnsi="宋体" w:cs="宋体"/>
                <w:spacing w:val="2"/>
                <w:sz w:val="24"/>
                <w:szCs w:val="24"/>
                <w:lang w:eastAsia="zh-CN"/>
              </w:rPr>
            </w:pPr>
            <w:r>
              <w:rPr>
                <w:rFonts w:ascii="宋体" w:eastAsia="宋体" w:hAnsi="宋体" w:cs="宋体" w:hint="eastAsia"/>
                <w:spacing w:val="2"/>
                <w:sz w:val="24"/>
                <w:szCs w:val="24"/>
                <w:lang w:eastAsia="zh-CN"/>
              </w:rPr>
              <w:lastRenderedPageBreak/>
              <w:t>附件清单</w:t>
            </w:r>
          </w:p>
          <w:p w14:paraId="19E6737D" w14:textId="05A33451" w:rsidR="00016597" w:rsidRPr="00BD3B2E" w:rsidRDefault="00956736" w:rsidP="00F511B7">
            <w:pPr>
              <w:pStyle w:val="TableParagraph"/>
              <w:spacing w:line="360" w:lineRule="auto"/>
              <w:jc w:val="center"/>
              <w:rPr>
                <w:rFonts w:ascii="宋体" w:eastAsia="宋体" w:hAnsi="宋体" w:cs="宋体"/>
                <w:spacing w:val="2"/>
                <w:sz w:val="24"/>
                <w:szCs w:val="24"/>
                <w:lang w:eastAsia="zh-CN"/>
              </w:rPr>
            </w:pPr>
            <w:r>
              <w:rPr>
                <w:rFonts w:ascii="宋体" w:eastAsia="宋体" w:hAnsi="宋体" w:cs="宋体" w:hint="eastAsia"/>
                <w:spacing w:val="2"/>
                <w:sz w:val="24"/>
                <w:szCs w:val="24"/>
                <w:lang w:eastAsia="zh-CN"/>
              </w:rPr>
              <w:t>（如有）</w:t>
            </w:r>
          </w:p>
        </w:tc>
        <w:tc>
          <w:tcPr>
            <w:tcW w:w="6966" w:type="dxa"/>
          </w:tcPr>
          <w:p w14:paraId="38E93403" w14:textId="649CC7CF" w:rsidR="00016597" w:rsidRPr="00956736" w:rsidRDefault="00C826EF" w:rsidP="00016597">
            <w:pPr>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无</w:t>
            </w:r>
          </w:p>
        </w:tc>
      </w:tr>
      <w:tr w:rsidR="00A63211" w14:paraId="1FD3EF77" w14:textId="77777777" w:rsidTr="001D0108">
        <w:trPr>
          <w:trHeight w:val="628"/>
        </w:trPr>
        <w:tc>
          <w:tcPr>
            <w:tcW w:w="1560" w:type="dxa"/>
            <w:vAlign w:val="center"/>
          </w:tcPr>
          <w:p w14:paraId="4BC4927A" w14:textId="2F4AF2C3" w:rsidR="00A63211" w:rsidRDefault="00A63211" w:rsidP="00F511B7">
            <w:pPr>
              <w:pStyle w:val="TableParagraph"/>
              <w:spacing w:line="360" w:lineRule="auto"/>
              <w:jc w:val="center"/>
              <w:rPr>
                <w:rFonts w:ascii="宋体" w:eastAsia="宋体" w:hAnsi="宋体" w:cs="宋体"/>
                <w:spacing w:val="2"/>
                <w:sz w:val="24"/>
                <w:szCs w:val="24"/>
                <w:lang w:eastAsia="zh-CN"/>
              </w:rPr>
            </w:pPr>
            <w:r>
              <w:rPr>
                <w:rFonts w:ascii="宋体" w:eastAsia="宋体" w:hAnsi="宋体" w:cs="宋体" w:hint="eastAsia"/>
                <w:spacing w:val="2"/>
                <w:sz w:val="24"/>
                <w:szCs w:val="24"/>
                <w:lang w:eastAsia="zh-CN"/>
              </w:rPr>
              <w:t>日期</w:t>
            </w:r>
          </w:p>
        </w:tc>
        <w:tc>
          <w:tcPr>
            <w:tcW w:w="6966" w:type="dxa"/>
          </w:tcPr>
          <w:p w14:paraId="4F342DF5" w14:textId="6432786D" w:rsidR="00A63211" w:rsidRPr="00956736" w:rsidRDefault="00E453FB" w:rsidP="00016597">
            <w:pPr>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2</w:t>
            </w:r>
            <w:r>
              <w:rPr>
                <w:rFonts w:ascii="宋体" w:eastAsia="宋体" w:hAnsi="宋体" w:cs="宋体"/>
                <w:sz w:val="24"/>
                <w:szCs w:val="24"/>
                <w:lang w:eastAsia="zh-CN"/>
              </w:rPr>
              <w:t>02</w:t>
            </w:r>
            <w:r w:rsidR="004053F8">
              <w:rPr>
                <w:rFonts w:ascii="宋体" w:eastAsia="宋体" w:hAnsi="宋体" w:cs="宋体"/>
                <w:sz w:val="24"/>
                <w:szCs w:val="24"/>
                <w:lang w:eastAsia="zh-CN"/>
              </w:rPr>
              <w:t>4</w:t>
            </w:r>
            <w:r>
              <w:rPr>
                <w:rFonts w:ascii="宋体" w:eastAsia="宋体" w:hAnsi="宋体" w:cs="宋体" w:hint="eastAsia"/>
                <w:sz w:val="24"/>
                <w:szCs w:val="24"/>
                <w:lang w:eastAsia="zh-CN"/>
              </w:rPr>
              <w:t>年</w:t>
            </w:r>
            <w:r w:rsidR="00C826EF">
              <w:rPr>
                <w:rFonts w:ascii="宋体" w:eastAsia="宋体" w:hAnsi="宋体" w:cs="宋体"/>
                <w:sz w:val="24"/>
                <w:szCs w:val="24"/>
                <w:lang w:eastAsia="zh-CN"/>
              </w:rPr>
              <w:t>2</w:t>
            </w:r>
            <w:r>
              <w:rPr>
                <w:rFonts w:ascii="宋体" w:eastAsia="宋体" w:hAnsi="宋体" w:cs="宋体" w:hint="eastAsia"/>
                <w:sz w:val="24"/>
                <w:szCs w:val="24"/>
                <w:lang w:eastAsia="zh-CN"/>
              </w:rPr>
              <w:t>月</w:t>
            </w:r>
            <w:r w:rsidR="004053F8">
              <w:rPr>
                <w:rFonts w:ascii="宋体" w:eastAsia="宋体" w:hAnsi="宋体" w:cs="宋体" w:hint="eastAsia"/>
                <w:sz w:val="24"/>
                <w:szCs w:val="24"/>
                <w:lang w:eastAsia="zh-CN"/>
              </w:rPr>
              <w:t>2</w:t>
            </w:r>
            <w:r w:rsidR="004053F8">
              <w:rPr>
                <w:rFonts w:ascii="宋体" w:eastAsia="宋体" w:hAnsi="宋体" w:cs="宋体"/>
                <w:sz w:val="24"/>
                <w:szCs w:val="24"/>
                <w:lang w:eastAsia="zh-CN"/>
              </w:rPr>
              <w:t>8</w:t>
            </w:r>
            <w:r>
              <w:rPr>
                <w:rFonts w:ascii="宋体" w:eastAsia="宋体" w:hAnsi="宋体" w:cs="宋体" w:hint="eastAsia"/>
                <w:sz w:val="24"/>
                <w:szCs w:val="24"/>
                <w:lang w:eastAsia="zh-CN"/>
              </w:rPr>
              <w:t>日</w:t>
            </w:r>
          </w:p>
        </w:tc>
      </w:tr>
    </w:tbl>
    <w:p w14:paraId="5CB49D5C" w14:textId="77777777" w:rsidR="00B83AB9" w:rsidRDefault="00B83AB9" w:rsidP="001447AB">
      <w:pPr>
        <w:spacing w:line="360" w:lineRule="auto"/>
        <w:rPr>
          <w:lang w:eastAsia="zh-CN"/>
        </w:rPr>
      </w:pPr>
    </w:p>
    <w:sectPr w:rsidR="00B83A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EB7B" w14:textId="77777777" w:rsidR="00A242A5" w:rsidRDefault="00A242A5" w:rsidP="005700AD">
      <w:r>
        <w:separator/>
      </w:r>
    </w:p>
  </w:endnote>
  <w:endnote w:type="continuationSeparator" w:id="0">
    <w:p w14:paraId="1D61B5BC" w14:textId="77777777" w:rsidR="00A242A5" w:rsidRDefault="00A242A5" w:rsidP="005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DA70" w14:textId="77777777" w:rsidR="00A242A5" w:rsidRDefault="00A242A5" w:rsidP="005700AD">
      <w:r>
        <w:separator/>
      </w:r>
    </w:p>
  </w:footnote>
  <w:footnote w:type="continuationSeparator" w:id="0">
    <w:p w14:paraId="7BEF0ED5" w14:textId="77777777" w:rsidR="00A242A5" w:rsidRDefault="00A242A5" w:rsidP="00570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4F07"/>
    <w:multiLevelType w:val="hybridMultilevel"/>
    <w:tmpl w:val="7D664ABE"/>
    <w:lvl w:ilvl="0" w:tplc="F8F2E4C8">
      <w:start w:val="1"/>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C0720E9"/>
    <w:multiLevelType w:val="hybridMultilevel"/>
    <w:tmpl w:val="26480BCE"/>
    <w:lvl w:ilvl="0" w:tplc="35D20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D55E79"/>
    <w:multiLevelType w:val="hybridMultilevel"/>
    <w:tmpl w:val="C63A2330"/>
    <w:lvl w:ilvl="0" w:tplc="EF7E3DB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D7324EB"/>
    <w:multiLevelType w:val="hybridMultilevel"/>
    <w:tmpl w:val="48F0B184"/>
    <w:lvl w:ilvl="0" w:tplc="15AE33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76213807">
    <w:abstractNumId w:val="0"/>
  </w:num>
  <w:num w:numId="2" w16cid:durableId="868107440">
    <w:abstractNumId w:val="3"/>
  </w:num>
  <w:num w:numId="3" w16cid:durableId="1693335743">
    <w:abstractNumId w:val="1"/>
  </w:num>
  <w:num w:numId="4" w16cid:durableId="1218316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AB"/>
    <w:rsid w:val="00016597"/>
    <w:rsid w:val="00017D2A"/>
    <w:rsid w:val="00031B5F"/>
    <w:rsid w:val="00036E72"/>
    <w:rsid w:val="00054DF5"/>
    <w:rsid w:val="00055B99"/>
    <w:rsid w:val="00066D38"/>
    <w:rsid w:val="00072389"/>
    <w:rsid w:val="0007452C"/>
    <w:rsid w:val="00081ACD"/>
    <w:rsid w:val="00090633"/>
    <w:rsid w:val="00094954"/>
    <w:rsid w:val="000A18CB"/>
    <w:rsid w:val="000A1E72"/>
    <w:rsid w:val="000A4FFA"/>
    <w:rsid w:val="000B0735"/>
    <w:rsid w:val="000C4B19"/>
    <w:rsid w:val="000E06F4"/>
    <w:rsid w:val="000E626B"/>
    <w:rsid w:val="000E7C5E"/>
    <w:rsid w:val="000F58B7"/>
    <w:rsid w:val="00100A9F"/>
    <w:rsid w:val="00103293"/>
    <w:rsid w:val="00104A51"/>
    <w:rsid w:val="00105B80"/>
    <w:rsid w:val="001077BA"/>
    <w:rsid w:val="00122229"/>
    <w:rsid w:val="0014139F"/>
    <w:rsid w:val="001424BB"/>
    <w:rsid w:val="001447AB"/>
    <w:rsid w:val="00150E2D"/>
    <w:rsid w:val="00157969"/>
    <w:rsid w:val="001625C9"/>
    <w:rsid w:val="00162B32"/>
    <w:rsid w:val="00165461"/>
    <w:rsid w:val="00165C57"/>
    <w:rsid w:val="00167A71"/>
    <w:rsid w:val="00170C9D"/>
    <w:rsid w:val="00177B62"/>
    <w:rsid w:val="00184D2F"/>
    <w:rsid w:val="001925A1"/>
    <w:rsid w:val="001930AC"/>
    <w:rsid w:val="00194183"/>
    <w:rsid w:val="001A4FC1"/>
    <w:rsid w:val="001B4730"/>
    <w:rsid w:val="001C4226"/>
    <w:rsid w:val="001C4DB4"/>
    <w:rsid w:val="001D0108"/>
    <w:rsid w:val="001D649E"/>
    <w:rsid w:val="001E6195"/>
    <w:rsid w:val="001F159A"/>
    <w:rsid w:val="001F3463"/>
    <w:rsid w:val="00222A7E"/>
    <w:rsid w:val="00224737"/>
    <w:rsid w:val="002273F1"/>
    <w:rsid w:val="0023217F"/>
    <w:rsid w:val="00242BEA"/>
    <w:rsid w:val="00246564"/>
    <w:rsid w:val="00251F75"/>
    <w:rsid w:val="00252C94"/>
    <w:rsid w:val="0025645E"/>
    <w:rsid w:val="00266D1B"/>
    <w:rsid w:val="0027122E"/>
    <w:rsid w:val="00273C0D"/>
    <w:rsid w:val="00287367"/>
    <w:rsid w:val="002928F0"/>
    <w:rsid w:val="002A1E8A"/>
    <w:rsid w:val="002C6050"/>
    <w:rsid w:val="002C6FB7"/>
    <w:rsid w:val="002D6A0C"/>
    <w:rsid w:val="002E6169"/>
    <w:rsid w:val="002F1B04"/>
    <w:rsid w:val="002F2500"/>
    <w:rsid w:val="002F2A25"/>
    <w:rsid w:val="002F4391"/>
    <w:rsid w:val="00310372"/>
    <w:rsid w:val="003167A9"/>
    <w:rsid w:val="00326036"/>
    <w:rsid w:val="0033471F"/>
    <w:rsid w:val="00337B40"/>
    <w:rsid w:val="00342B5B"/>
    <w:rsid w:val="00342F27"/>
    <w:rsid w:val="00347DF1"/>
    <w:rsid w:val="00356983"/>
    <w:rsid w:val="00363BE5"/>
    <w:rsid w:val="00367FC0"/>
    <w:rsid w:val="00374C64"/>
    <w:rsid w:val="003837C1"/>
    <w:rsid w:val="003924B6"/>
    <w:rsid w:val="00392BBD"/>
    <w:rsid w:val="0039433B"/>
    <w:rsid w:val="003A01D7"/>
    <w:rsid w:val="003A39FA"/>
    <w:rsid w:val="003B58DC"/>
    <w:rsid w:val="003B7ADC"/>
    <w:rsid w:val="003C1C6F"/>
    <w:rsid w:val="003C6BFD"/>
    <w:rsid w:val="003D136A"/>
    <w:rsid w:val="003D3A6F"/>
    <w:rsid w:val="003D46FE"/>
    <w:rsid w:val="003D5B26"/>
    <w:rsid w:val="003D5E27"/>
    <w:rsid w:val="003D7880"/>
    <w:rsid w:val="003D78A2"/>
    <w:rsid w:val="003E00A3"/>
    <w:rsid w:val="003E15D8"/>
    <w:rsid w:val="003E3302"/>
    <w:rsid w:val="003F64A2"/>
    <w:rsid w:val="003F79D7"/>
    <w:rsid w:val="00402353"/>
    <w:rsid w:val="0040511F"/>
    <w:rsid w:val="004053F8"/>
    <w:rsid w:val="00405BEB"/>
    <w:rsid w:val="00405FCF"/>
    <w:rsid w:val="00406FA1"/>
    <w:rsid w:val="004170E2"/>
    <w:rsid w:val="00421F79"/>
    <w:rsid w:val="00426363"/>
    <w:rsid w:val="004405D9"/>
    <w:rsid w:val="004444DD"/>
    <w:rsid w:val="004453B2"/>
    <w:rsid w:val="00445CB6"/>
    <w:rsid w:val="0044707C"/>
    <w:rsid w:val="00461410"/>
    <w:rsid w:val="00475699"/>
    <w:rsid w:val="0048211B"/>
    <w:rsid w:val="0048544C"/>
    <w:rsid w:val="00492E29"/>
    <w:rsid w:val="0049378F"/>
    <w:rsid w:val="00494C88"/>
    <w:rsid w:val="004970BD"/>
    <w:rsid w:val="004A59C8"/>
    <w:rsid w:val="004B3BCC"/>
    <w:rsid w:val="004C1423"/>
    <w:rsid w:val="004E5276"/>
    <w:rsid w:val="00504AA1"/>
    <w:rsid w:val="00520903"/>
    <w:rsid w:val="00530C8C"/>
    <w:rsid w:val="0053576A"/>
    <w:rsid w:val="00544593"/>
    <w:rsid w:val="005609EB"/>
    <w:rsid w:val="00564111"/>
    <w:rsid w:val="005700AD"/>
    <w:rsid w:val="0057352D"/>
    <w:rsid w:val="00586B2E"/>
    <w:rsid w:val="00587F66"/>
    <w:rsid w:val="005928ED"/>
    <w:rsid w:val="00595C07"/>
    <w:rsid w:val="00596A74"/>
    <w:rsid w:val="005A331E"/>
    <w:rsid w:val="005B16C0"/>
    <w:rsid w:val="005B5322"/>
    <w:rsid w:val="005D3EA8"/>
    <w:rsid w:val="005E2E05"/>
    <w:rsid w:val="005F3E61"/>
    <w:rsid w:val="005F64C7"/>
    <w:rsid w:val="00613772"/>
    <w:rsid w:val="0061629F"/>
    <w:rsid w:val="00617469"/>
    <w:rsid w:val="00621B82"/>
    <w:rsid w:val="00624C1F"/>
    <w:rsid w:val="00627D23"/>
    <w:rsid w:val="00634EB5"/>
    <w:rsid w:val="006370B7"/>
    <w:rsid w:val="00637767"/>
    <w:rsid w:val="00652B88"/>
    <w:rsid w:val="00653ABD"/>
    <w:rsid w:val="00654CD5"/>
    <w:rsid w:val="00661468"/>
    <w:rsid w:val="006725B8"/>
    <w:rsid w:val="006751AA"/>
    <w:rsid w:val="006838FF"/>
    <w:rsid w:val="00685236"/>
    <w:rsid w:val="00686D09"/>
    <w:rsid w:val="00692A9C"/>
    <w:rsid w:val="006A7688"/>
    <w:rsid w:val="006B082F"/>
    <w:rsid w:val="006B2491"/>
    <w:rsid w:val="006B6D4C"/>
    <w:rsid w:val="006C6E2D"/>
    <w:rsid w:val="006E3278"/>
    <w:rsid w:val="006E60EE"/>
    <w:rsid w:val="006F1F73"/>
    <w:rsid w:val="006F2863"/>
    <w:rsid w:val="006F3D66"/>
    <w:rsid w:val="007058DF"/>
    <w:rsid w:val="00705BEA"/>
    <w:rsid w:val="00710137"/>
    <w:rsid w:val="00717506"/>
    <w:rsid w:val="007221A0"/>
    <w:rsid w:val="007255C8"/>
    <w:rsid w:val="0072745A"/>
    <w:rsid w:val="007320A3"/>
    <w:rsid w:val="00737D01"/>
    <w:rsid w:val="007410E2"/>
    <w:rsid w:val="0074463C"/>
    <w:rsid w:val="0075695A"/>
    <w:rsid w:val="00757BB9"/>
    <w:rsid w:val="00761977"/>
    <w:rsid w:val="00766209"/>
    <w:rsid w:val="00776AD1"/>
    <w:rsid w:val="00777293"/>
    <w:rsid w:val="00780620"/>
    <w:rsid w:val="007837CC"/>
    <w:rsid w:val="00787222"/>
    <w:rsid w:val="007A1ABB"/>
    <w:rsid w:val="007A459B"/>
    <w:rsid w:val="007B3B40"/>
    <w:rsid w:val="007D0E77"/>
    <w:rsid w:val="007D5F59"/>
    <w:rsid w:val="007E1505"/>
    <w:rsid w:val="007E456D"/>
    <w:rsid w:val="007E5E59"/>
    <w:rsid w:val="007E7579"/>
    <w:rsid w:val="007F0CC7"/>
    <w:rsid w:val="008166BD"/>
    <w:rsid w:val="00820E75"/>
    <w:rsid w:val="00823029"/>
    <w:rsid w:val="00823532"/>
    <w:rsid w:val="008236D5"/>
    <w:rsid w:val="008247BA"/>
    <w:rsid w:val="008267DF"/>
    <w:rsid w:val="008312BC"/>
    <w:rsid w:val="0083247D"/>
    <w:rsid w:val="00835978"/>
    <w:rsid w:val="008377DC"/>
    <w:rsid w:val="0084452E"/>
    <w:rsid w:val="00845168"/>
    <w:rsid w:val="008468CE"/>
    <w:rsid w:val="0085206C"/>
    <w:rsid w:val="0085692D"/>
    <w:rsid w:val="00870471"/>
    <w:rsid w:val="0087237C"/>
    <w:rsid w:val="00893E53"/>
    <w:rsid w:val="00897C24"/>
    <w:rsid w:val="008A339A"/>
    <w:rsid w:val="008B3345"/>
    <w:rsid w:val="008C67C4"/>
    <w:rsid w:val="008C684A"/>
    <w:rsid w:val="008D194C"/>
    <w:rsid w:val="008F3580"/>
    <w:rsid w:val="008F5BBF"/>
    <w:rsid w:val="00900D5D"/>
    <w:rsid w:val="0090324F"/>
    <w:rsid w:val="00905AE3"/>
    <w:rsid w:val="0090742F"/>
    <w:rsid w:val="0091072F"/>
    <w:rsid w:val="00910ACB"/>
    <w:rsid w:val="0092169C"/>
    <w:rsid w:val="009255EA"/>
    <w:rsid w:val="00925620"/>
    <w:rsid w:val="009262CB"/>
    <w:rsid w:val="009352CD"/>
    <w:rsid w:val="009407F0"/>
    <w:rsid w:val="009454D6"/>
    <w:rsid w:val="00945E36"/>
    <w:rsid w:val="00956736"/>
    <w:rsid w:val="00974C05"/>
    <w:rsid w:val="009A0FC2"/>
    <w:rsid w:val="009B04D6"/>
    <w:rsid w:val="009B1052"/>
    <w:rsid w:val="009B643B"/>
    <w:rsid w:val="009C1718"/>
    <w:rsid w:val="009E05A6"/>
    <w:rsid w:val="009E1D6A"/>
    <w:rsid w:val="009E3FFD"/>
    <w:rsid w:val="009E6E3E"/>
    <w:rsid w:val="009E7A34"/>
    <w:rsid w:val="009F3F72"/>
    <w:rsid w:val="00A00253"/>
    <w:rsid w:val="00A007E1"/>
    <w:rsid w:val="00A242A5"/>
    <w:rsid w:val="00A327C7"/>
    <w:rsid w:val="00A35A02"/>
    <w:rsid w:val="00A41BE3"/>
    <w:rsid w:val="00A462BC"/>
    <w:rsid w:val="00A465C0"/>
    <w:rsid w:val="00A52D19"/>
    <w:rsid w:val="00A5351D"/>
    <w:rsid w:val="00A63211"/>
    <w:rsid w:val="00A65A7F"/>
    <w:rsid w:val="00A67ECB"/>
    <w:rsid w:val="00A74FB5"/>
    <w:rsid w:val="00A84F7F"/>
    <w:rsid w:val="00A934B3"/>
    <w:rsid w:val="00A94C17"/>
    <w:rsid w:val="00AA0F1B"/>
    <w:rsid w:val="00AB5285"/>
    <w:rsid w:val="00AC4121"/>
    <w:rsid w:val="00AC5FC8"/>
    <w:rsid w:val="00AC7D32"/>
    <w:rsid w:val="00AD209E"/>
    <w:rsid w:val="00AD237B"/>
    <w:rsid w:val="00AD307E"/>
    <w:rsid w:val="00AD52A7"/>
    <w:rsid w:val="00AD6515"/>
    <w:rsid w:val="00AE4B58"/>
    <w:rsid w:val="00AF6CB5"/>
    <w:rsid w:val="00B10E1E"/>
    <w:rsid w:val="00B14E39"/>
    <w:rsid w:val="00B21A61"/>
    <w:rsid w:val="00B24D25"/>
    <w:rsid w:val="00B33012"/>
    <w:rsid w:val="00B34E6B"/>
    <w:rsid w:val="00B4050C"/>
    <w:rsid w:val="00B43745"/>
    <w:rsid w:val="00B45E84"/>
    <w:rsid w:val="00B63770"/>
    <w:rsid w:val="00B66C1D"/>
    <w:rsid w:val="00B7149B"/>
    <w:rsid w:val="00B83AB9"/>
    <w:rsid w:val="00B864D0"/>
    <w:rsid w:val="00B9036B"/>
    <w:rsid w:val="00B93394"/>
    <w:rsid w:val="00B94D58"/>
    <w:rsid w:val="00B96C29"/>
    <w:rsid w:val="00BA3ECC"/>
    <w:rsid w:val="00BA7FF9"/>
    <w:rsid w:val="00BC218B"/>
    <w:rsid w:val="00BC36E4"/>
    <w:rsid w:val="00BD5ACC"/>
    <w:rsid w:val="00BE1020"/>
    <w:rsid w:val="00BE365E"/>
    <w:rsid w:val="00BE4903"/>
    <w:rsid w:val="00BE6FD0"/>
    <w:rsid w:val="00BF090C"/>
    <w:rsid w:val="00BF5861"/>
    <w:rsid w:val="00BF7770"/>
    <w:rsid w:val="00C064F9"/>
    <w:rsid w:val="00C15F04"/>
    <w:rsid w:val="00C178F3"/>
    <w:rsid w:val="00C17D61"/>
    <w:rsid w:val="00C333E2"/>
    <w:rsid w:val="00C3486C"/>
    <w:rsid w:val="00C36688"/>
    <w:rsid w:val="00C37415"/>
    <w:rsid w:val="00C41EE2"/>
    <w:rsid w:val="00C54EEF"/>
    <w:rsid w:val="00C60838"/>
    <w:rsid w:val="00C72C6B"/>
    <w:rsid w:val="00C75806"/>
    <w:rsid w:val="00C826EF"/>
    <w:rsid w:val="00C86DD3"/>
    <w:rsid w:val="00C86F83"/>
    <w:rsid w:val="00CB7DD9"/>
    <w:rsid w:val="00CE1D20"/>
    <w:rsid w:val="00CF39D6"/>
    <w:rsid w:val="00D04417"/>
    <w:rsid w:val="00D17A85"/>
    <w:rsid w:val="00D21C3A"/>
    <w:rsid w:val="00D3215F"/>
    <w:rsid w:val="00D35144"/>
    <w:rsid w:val="00D45B22"/>
    <w:rsid w:val="00D6108D"/>
    <w:rsid w:val="00D64E8C"/>
    <w:rsid w:val="00D661A8"/>
    <w:rsid w:val="00D67A19"/>
    <w:rsid w:val="00D866A3"/>
    <w:rsid w:val="00D96257"/>
    <w:rsid w:val="00D96D86"/>
    <w:rsid w:val="00DA2150"/>
    <w:rsid w:val="00DB279C"/>
    <w:rsid w:val="00DC7B3A"/>
    <w:rsid w:val="00DC7D57"/>
    <w:rsid w:val="00DD5DA3"/>
    <w:rsid w:val="00DE01CF"/>
    <w:rsid w:val="00DF2497"/>
    <w:rsid w:val="00DF370C"/>
    <w:rsid w:val="00DF4315"/>
    <w:rsid w:val="00E13140"/>
    <w:rsid w:val="00E17B62"/>
    <w:rsid w:val="00E32998"/>
    <w:rsid w:val="00E330C2"/>
    <w:rsid w:val="00E40C75"/>
    <w:rsid w:val="00E453E5"/>
    <w:rsid w:val="00E453FB"/>
    <w:rsid w:val="00E54D1C"/>
    <w:rsid w:val="00E55CCA"/>
    <w:rsid w:val="00E6197D"/>
    <w:rsid w:val="00E62A88"/>
    <w:rsid w:val="00E702CC"/>
    <w:rsid w:val="00E763B2"/>
    <w:rsid w:val="00E77B73"/>
    <w:rsid w:val="00E83D52"/>
    <w:rsid w:val="00E84A5F"/>
    <w:rsid w:val="00E906AA"/>
    <w:rsid w:val="00E91153"/>
    <w:rsid w:val="00E9512F"/>
    <w:rsid w:val="00EA0F0B"/>
    <w:rsid w:val="00EA2839"/>
    <w:rsid w:val="00EB5B38"/>
    <w:rsid w:val="00EC260B"/>
    <w:rsid w:val="00EC6583"/>
    <w:rsid w:val="00EE1C7E"/>
    <w:rsid w:val="00EE504F"/>
    <w:rsid w:val="00EF005E"/>
    <w:rsid w:val="00EF275B"/>
    <w:rsid w:val="00F04092"/>
    <w:rsid w:val="00F047D0"/>
    <w:rsid w:val="00F1428D"/>
    <w:rsid w:val="00F162B1"/>
    <w:rsid w:val="00F205A1"/>
    <w:rsid w:val="00F3019A"/>
    <w:rsid w:val="00F326F0"/>
    <w:rsid w:val="00F3602D"/>
    <w:rsid w:val="00F40187"/>
    <w:rsid w:val="00F44724"/>
    <w:rsid w:val="00F44E21"/>
    <w:rsid w:val="00F50D26"/>
    <w:rsid w:val="00F511B7"/>
    <w:rsid w:val="00F66EBA"/>
    <w:rsid w:val="00F710CF"/>
    <w:rsid w:val="00F7744C"/>
    <w:rsid w:val="00F961D2"/>
    <w:rsid w:val="00FA2950"/>
    <w:rsid w:val="00FA66C7"/>
    <w:rsid w:val="00FA72BC"/>
    <w:rsid w:val="00FB2469"/>
    <w:rsid w:val="00FB2C97"/>
    <w:rsid w:val="00FC0F4C"/>
    <w:rsid w:val="00FC2400"/>
    <w:rsid w:val="00FC696D"/>
    <w:rsid w:val="00FC6D1A"/>
    <w:rsid w:val="00FE3D31"/>
    <w:rsid w:val="00FF6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6C2AA"/>
  <w15:chartTrackingRefBased/>
  <w15:docId w15:val="{5F1F3C81-DAE0-41BC-B945-8B77A1E6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447A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447AB"/>
    <w:pPr>
      <w:ind w:left="2028"/>
    </w:pPr>
    <w:rPr>
      <w:rFonts w:ascii="宋体" w:eastAsia="宋体" w:hAnsi="宋体"/>
      <w:sz w:val="24"/>
      <w:szCs w:val="24"/>
    </w:rPr>
  </w:style>
  <w:style w:type="character" w:customStyle="1" w:styleId="a4">
    <w:name w:val="正文文本 字符"/>
    <w:basedOn w:val="a0"/>
    <w:link w:val="a3"/>
    <w:uiPriority w:val="1"/>
    <w:rsid w:val="001447AB"/>
    <w:rPr>
      <w:rFonts w:ascii="宋体" w:eastAsia="宋体" w:hAnsi="宋体"/>
      <w:kern w:val="0"/>
      <w:sz w:val="24"/>
      <w:szCs w:val="24"/>
      <w:lang w:eastAsia="en-US"/>
    </w:rPr>
  </w:style>
  <w:style w:type="table" w:styleId="a5">
    <w:name w:val="Table Grid"/>
    <w:basedOn w:val="a1"/>
    <w:uiPriority w:val="39"/>
    <w:rsid w:val="0014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447AB"/>
  </w:style>
  <w:style w:type="paragraph" w:styleId="a6">
    <w:name w:val="Balloon Text"/>
    <w:basedOn w:val="a"/>
    <w:link w:val="a7"/>
    <w:uiPriority w:val="99"/>
    <w:semiHidden/>
    <w:unhideWhenUsed/>
    <w:rsid w:val="001447AB"/>
    <w:rPr>
      <w:rFonts w:ascii="Microsoft YaHei UI" w:eastAsia="Microsoft YaHei UI"/>
      <w:sz w:val="18"/>
      <w:szCs w:val="18"/>
    </w:rPr>
  </w:style>
  <w:style w:type="character" w:customStyle="1" w:styleId="a7">
    <w:name w:val="批注框文本 字符"/>
    <w:basedOn w:val="a0"/>
    <w:link w:val="a6"/>
    <w:uiPriority w:val="99"/>
    <w:semiHidden/>
    <w:rsid w:val="001447AB"/>
    <w:rPr>
      <w:rFonts w:ascii="Microsoft YaHei UI" w:eastAsia="Microsoft YaHei UI"/>
      <w:kern w:val="0"/>
      <w:sz w:val="18"/>
      <w:szCs w:val="18"/>
      <w:lang w:eastAsia="en-US"/>
    </w:rPr>
  </w:style>
  <w:style w:type="paragraph" w:styleId="a8">
    <w:name w:val="List Paragraph"/>
    <w:basedOn w:val="a"/>
    <w:uiPriority w:val="34"/>
    <w:qFormat/>
    <w:rsid w:val="001447AB"/>
    <w:pPr>
      <w:ind w:firstLineChars="200" w:firstLine="420"/>
      <w:jc w:val="both"/>
    </w:pPr>
    <w:rPr>
      <w:kern w:val="2"/>
      <w:sz w:val="21"/>
      <w:lang w:eastAsia="zh-CN"/>
    </w:rPr>
  </w:style>
  <w:style w:type="paragraph" w:styleId="a9">
    <w:name w:val="header"/>
    <w:basedOn w:val="a"/>
    <w:link w:val="aa"/>
    <w:uiPriority w:val="99"/>
    <w:unhideWhenUsed/>
    <w:rsid w:val="005700AD"/>
    <w:pPr>
      <w:tabs>
        <w:tab w:val="center" w:pos="4153"/>
        <w:tab w:val="right" w:pos="8306"/>
      </w:tabs>
    </w:pPr>
  </w:style>
  <w:style w:type="character" w:customStyle="1" w:styleId="aa">
    <w:name w:val="页眉 字符"/>
    <w:basedOn w:val="a0"/>
    <w:link w:val="a9"/>
    <w:uiPriority w:val="99"/>
    <w:rsid w:val="005700AD"/>
    <w:rPr>
      <w:kern w:val="0"/>
      <w:sz w:val="22"/>
      <w:lang w:eastAsia="en-US"/>
    </w:rPr>
  </w:style>
  <w:style w:type="paragraph" w:styleId="ab">
    <w:name w:val="footer"/>
    <w:basedOn w:val="a"/>
    <w:link w:val="ac"/>
    <w:uiPriority w:val="99"/>
    <w:unhideWhenUsed/>
    <w:rsid w:val="005700AD"/>
    <w:pPr>
      <w:tabs>
        <w:tab w:val="center" w:pos="4153"/>
        <w:tab w:val="right" w:pos="8306"/>
      </w:tabs>
    </w:pPr>
  </w:style>
  <w:style w:type="character" w:customStyle="1" w:styleId="ac">
    <w:name w:val="页脚 字符"/>
    <w:basedOn w:val="a0"/>
    <w:link w:val="ab"/>
    <w:uiPriority w:val="99"/>
    <w:rsid w:val="005700AD"/>
    <w:rPr>
      <w:kern w:val="0"/>
      <w:sz w:val="22"/>
      <w:lang w:eastAsia="en-US"/>
    </w:rPr>
  </w:style>
  <w:style w:type="paragraph" w:customStyle="1" w:styleId="Default">
    <w:name w:val="Default"/>
    <w:rsid w:val="00823532"/>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89505">
      <w:bodyDiv w:val="1"/>
      <w:marLeft w:val="0"/>
      <w:marRight w:val="0"/>
      <w:marTop w:val="0"/>
      <w:marBottom w:val="0"/>
      <w:divBdr>
        <w:top w:val="none" w:sz="0" w:space="0" w:color="auto"/>
        <w:left w:val="none" w:sz="0" w:space="0" w:color="auto"/>
        <w:bottom w:val="none" w:sz="0" w:space="0" w:color="auto"/>
        <w:right w:val="none" w:sz="0" w:space="0" w:color="auto"/>
      </w:divBdr>
    </w:div>
    <w:div w:id="1181626580">
      <w:bodyDiv w:val="1"/>
      <w:marLeft w:val="0"/>
      <w:marRight w:val="0"/>
      <w:marTop w:val="0"/>
      <w:marBottom w:val="0"/>
      <w:divBdr>
        <w:top w:val="none" w:sz="0" w:space="0" w:color="auto"/>
        <w:left w:val="none" w:sz="0" w:space="0" w:color="auto"/>
        <w:bottom w:val="none" w:sz="0" w:space="0" w:color="auto"/>
        <w:right w:val="none" w:sz="0" w:space="0" w:color="auto"/>
      </w:divBdr>
    </w:div>
    <w:div w:id="1661696893">
      <w:bodyDiv w:val="1"/>
      <w:marLeft w:val="0"/>
      <w:marRight w:val="0"/>
      <w:marTop w:val="0"/>
      <w:marBottom w:val="0"/>
      <w:divBdr>
        <w:top w:val="none" w:sz="0" w:space="0" w:color="auto"/>
        <w:left w:val="none" w:sz="0" w:space="0" w:color="auto"/>
        <w:bottom w:val="none" w:sz="0" w:space="0" w:color="auto"/>
        <w:right w:val="none" w:sz="0" w:space="0" w:color="auto"/>
      </w:divBdr>
    </w:div>
    <w:div w:id="1744451994">
      <w:bodyDiv w:val="1"/>
      <w:marLeft w:val="0"/>
      <w:marRight w:val="0"/>
      <w:marTop w:val="0"/>
      <w:marBottom w:val="0"/>
      <w:divBdr>
        <w:top w:val="none" w:sz="0" w:space="0" w:color="auto"/>
        <w:left w:val="none" w:sz="0" w:space="0" w:color="auto"/>
        <w:bottom w:val="none" w:sz="0" w:space="0" w:color="auto"/>
        <w:right w:val="none" w:sz="0" w:space="0" w:color="auto"/>
      </w:divBdr>
    </w:div>
    <w:div w:id="20898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鑫海 周</dc:creator>
  <cp:keywords/>
  <dc:description/>
  <cp:lastModifiedBy>晓西 胡</cp:lastModifiedBy>
  <cp:revision>284</cp:revision>
  <dcterms:created xsi:type="dcterms:W3CDTF">2021-07-08T06:04:00Z</dcterms:created>
  <dcterms:modified xsi:type="dcterms:W3CDTF">2024-02-29T14:56:00Z</dcterms:modified>
</cp:coreProperties>
</file>