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9601" w14:textId="77777777" w:rsidR="00176858" w:rsidRPr="003A7099" w:rsidRDefault="00176858" w:rsidP="00176858">
      <w:pPr>
        <w:spacing w:beforeLines="50" w:before="156" w:afterLines="50" w:after="156" w:line="400" w:lineRule="exact"/>
        <w:rPr>
          <w:rFonts w:ascii="Times New Roman" w:hAnsi="Times New Roman" w:cs="Times New Roman"/>
          <w:bCs/>
          <w:iCs/>
          <w:color w:val="000000"/>
          <w:sz w:val="28"/>
        </w:rPr>
      </w:pPr>
      <w:r w:rsidRPr="003A7099">
        <w:rPr>
          <w:rFonts w:ascii="Times New Roman" w:hAnsi="Times New Roman" w:cs="Times New Roman"/>
          <w:bCs/>
          <w:iCs/>
          <w:color w:val="000000"/>
          <w:sz w:val="28"/>
        </w:rPr>
        <w:t>证券代码：艾力斯</w:t>
      </w:r>
      <w:r w:rsidRPr="003A7099">
        <w:rPr>
          <w:rFonts w:ascii="Times New Roman" w:hAnsi="Times New Roman" w:cs="Times New Roman"/>
          <w:bCs/>
          <w:iCs/>
          <w:color w:val="000000"/>
          <w:sz w:val="28"/>
        </w:rPr>
        <w:t xml:space="preserve">                           </w:t>
      </w:r>
      <w:r w:rsidRPr="003A7099">
        <w:rPr>
          <w:rFonts w:ascii="Times New Roman" w:hAnsi="Times New Roman" w:cs="Times New Roman"/>
          <w:bCs/>
          <w:iCs/>
          <w:color w:val="000000"/>
          <w:sz w:val="28"/>
        </w:rPr>
        <w:t>证券简称：</w:t>
      </w:r>
      <w:r w:rsidRPr="003A7099">
        <w:rPr>
          <w:rFonts w:ascii="Times New Roman" w:hAnsi="Times New Roman" w:cs="Times New Roman"/>
          <w:bCs/>
          <w:iCs/>
          <w:color w:val="000000"/>
          <w:sz w:val="28"/>
        </w:rPr>
        <w:t>688578</w:t>
      </w:r>
    </w:p>
    <w:p w14:paraId="70C68C70" w14:textId="77777777" w:rsidR="00176858" w:rsidRPr="003A7099" w:rsidRDefault="00176858" w:rsidP="00176858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14:paraId="0C0689FE" w14:textId="77777777" w:rsidR="00176858" w:rsidRPr="003A7099" w:rsidRDefault="00176858" w:rsidP="00176858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上海艾力斯医药科技股份有限公司投资者关系活动记录表</w:t>
      </w:r>
    </w:p>
    <w:p w14:paraId="37440A17" w14:textId="602F6544" w:rsidR="00C73569" w:rsidRPr="003A7099" w:rsidRDefault="003955EF" w:rsidP="00176858">
      <w:pPr>
        <w:spacing w:beforeLines="50" w:before="156" w:afterLines="50" w:after="156"/>
        <w:jc w:val="center"/>
        <w:rPr>
          <w:rFonts w:ascii="Times New Roman" w:hAnsi="Times New Roman" w:cs="Times New Roman"/>
          <w:bCs/>
          <w:iCs/>
          <w:color w:val="000000"/>
          <w:sz w:val="24"/>
        </w:rPr>
      </w:pPr>
      <w:r>
        <w:rPr>
          <w:rFonts w:ascii="Times New Roman" w:hAnsi="Times New Roman" w:cs="Times New Roman" w:hint="eastAsia"/>
          <w:b/>
          <w:bCs/>
          <w:iCs/>
          <w:color w:val="000000"/>
          <w:sz w:val="32"/>
          <w:szCs w:val="32"/>
        </w:rPr>
        <w:t>（</w:t>
      </w:r>
      <w:r w:rsidR="00983F1C"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2024</w:t>
      </w:r>
      <w:r w:rsidR="00983F1C"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年</w:t>
      </w:r>
      <w:r w:rsidR="00983F1C"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2</w:t>
      </w:r>
      <w:r w:rsidR="00983F1C"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月</w:t>
      </w:r>
      <w:r w:rsidR="00983F1C"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28</w:t>
      </w:r>
      <w:r w:rsidR="00983F1C"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日</w:t>
      </w:r>
      <w:r w:rsidR="00983F1C"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-2</w:t>
      </w:r>
      <w:r w:rsidR="00983F1C"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月</w:t>
      </w:r>
      <w:r w:rsidR="00983F1C"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29</w:t>
      </w:r>
      <w:r w:rsidR="00983F1C" w:rsidRPr="003A7099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日）</w:t>
      </w:r>
      <w:r w:rsidR="00176858" w:rsidRPr="003A7099">
        <w:rPr>
          <w:rFonts w:ascii="Times New Roman" w:hAnsi="Times New Roman" w:cs="Times New Roman"/>
          <w:bCs/>
          <w:iCs/>
          <w:color w:val="000000"/>
          <w:sz w:val="24"/>
        </w:rPr>
        <w:t xml:space="preserve">   </w:t>
      </w:r>
      <w:r w:rsidR="00C73569" w:rsidRPr="003A7099">
        <w:rPr>
          <w:rFonts w:ascii="Times New Roman" w:hAnsi="Times New Roman" w:cs="Times New Roman"/>
          <w:bCs/>
          <w:iCs/>
          <w:color w:val="000000"/>
          <w:sz w:val="24"/>
        </w:rPr>
        <w:t xml:space="preserve">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6357"/>
      </w:tblGrid>
      <w:tr w:rsidR="00C73569" w:rsidRPr="003A7099" w14:paraId="337ADBA4" w14:textId="77777777" w:rsidTr="00B151A7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E1C2" w14:textId="77777777" w:rsidR="00C73569" w:rsidRPr="003A7099" w:rsidRDefault="00C73569" w:rsidP="0017685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14:paraId="6F389B4D" w14:textId="77777777" w:rsidR="00C73569" w:rsidRPr="003A7099" w:rsidRDefault="00C73569" w:rsidP="0017685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D248" w14:textId="77777777" w:rsidR="00C73569" w:rsidRPr="003A7099" w:rsidRDefault="00C73569" w:rsidP="00E3040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>特定对象调研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>分析师会议</w:t>
            </w:r>
          </w:p>
          <w:p w14:paraId="5951F0FE" w14:textId="77777777" w:rsidR="00C73569" w:rsidRPr="003A7099" w:rsidRDefault="00C73569" w:rsidP="00E3040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>媒体采访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B4F91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>业绩说明会</w:t>
            </w:r>
          </w:p>
          <w:p w14:paraId="37971C23" w14:textId="77777777" w:rsidR="00C73569" w:rsidRPr="003A7099" w:rsidRDefault="00C73569" w:rsidP="00E3040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>新闻发布会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>路演活动</w:t>
            </w:r>
          </w:p>
          <w:p w14:paraId="3B1F38B7" w14:textId="77777777" w:rsidR="00C73569" w:rsidRPr="003A7099" w:rsidRDefault="00C73569" w:rsidP="00E3040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□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>现场参观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14:paraId="37CFA1B1" w14:textId="30B85B02" w:rsidR="00C73569" w:rsidRPr="003A7099" w:rsidRDefault="00A160CB" w:rsidP="00E30400">
            <w:pPr>
              <w:tabs>
                <w:tab w:val="center" w:pos="3199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  <w:r w:rsidRPr="003A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投资者交流会</w:t>
            </w:r>
          </w:p>
        </w:tc>
      </w:tr>
      <w:tr w:rsidR="00C73569" w:rsidRPr="003A7099" w14:paraId="288B81B6" w14:textId="77777777" w:rsidTr="000C76F3">
        <w:trPr>
          <w:trHeight w:val="41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0257" w14:textId="77777777" w:rsidR="00C73569" w:rsidRPr="003A7099" w:rsidRDefault="00C73569" w:rsidP="0017685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BED" w14:textId="6E7E0175" w:rsidR="0057008F" w:rsidRPr="003A7099" w:rsidRDefault="00CD5F92" w:rsidP="000135CC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</w:t>
            </w:r>
            <w:r w:rsidR="005E2D06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年</w:t>
            </w:r>
            <w:r w:rsidR="00EC42A3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月</w:t>
            </w:r>
            <w:r w:rsidR="00EC42A3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5E2D06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日</w:t>
            </w:r>
            <w:r w:rsidR="0057008F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C42A3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5E2D06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  <w:r w:rsidR="0057008F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="005E2D06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57008F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0-1</w:t>
            </w:r>
            <w:r w:rsidR="005E2D06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  <w:r w:rsidR="0057008F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="00EC42A3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57008F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0 </w:t>
            </w:r>
          </w:p>
          <w:p w14:paraId="0B165F0F" w14:textId="065E271F" w:rsidR="000135CC" w:rsidRPr="003A7099" w:rsidRDefault="000135CC" w:rsidP="000135CC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参会投资者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（共</w:t>
            </w:r>
            <w:r w:rsidR="00F77014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FF3BE9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="00F77014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位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）</w:t>
            </w:r>
          </w:p>
          <w:p w14:paraId="1DBA6039" w14:textId="032B97F3" w:rsidR="00D9329D" w:rsidRPr="003A7099" w:rsidRDefault="00F77014" w:rsidP="00F7701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3W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Aberdeen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Broad Peak Inv Advisers Pte Lt</w:t>
            </w:r>
            <w:r w:rsidR="00FF3BE9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Capital Group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Dymon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Asia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FMR Inv 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Mgmt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Hong Kong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GIC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Goldman Sachs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七位；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HCHP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两位；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Lake Bleu Capital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Panjing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Robeco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Rtw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Schroders Plc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Temasek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UG Investment Advisers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r w:rsidR="00FF3BE9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Vision Capital </w:t>
            </w:r>
            <w:r w:rsidR="00FF3BE9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一位；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鼎晖投资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高毅资产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一位；礼来亚洲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一位；新华资产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浙商基金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一位；中金证券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两位；中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银基金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一位。</w:t>
            </w:r>
          </w:p>
          <w:p w14:paraId="2C2BA09B" w14:textId="57991BAD" w:rsidR="005E2D06" w:rsidRPr="003A7099" w:rsidRDefault="00F77014" w:rsidP="008A30A7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2024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月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29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日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15:</w:t>
            </w:r>
            <w:r w:rsidR="00513444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0-1</w:t>
            </w:r>
            <w:r w:rsidR="00513444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="00513444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  <w:p w14:paraId="749B42EA" w14:textId="3CC33A36" w:rsidR="00F77014" w:rsidRPr="003A7099" w:rsidRDefault="00F77014" w:rsidP="00F77014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线上参会投资者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（共</w:t>
            </w:r>
            <w:r w:rsidR="006B12C0" w:rsidRPr="001D2BF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位）</w:t>
            </w:r>
          </w:p>
          <w:p w14:paraId="070D6940" w14:textId="55E7D806" w:rsidR="005E2D06" w:rsidRPr="003A7099" w:rsidRDefault="006B12C0" w:rsidP="008A30A7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财通基金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A74C7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三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位</w:t>
            </w:r>
            <w:r w:rsidR="000A74C7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；国</w:t>
            </w:r>
            <w:proofErr w:type="gramStart"/>
            <w:r w:rsidR="000A74C7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海证券</w:t>
            </w:r>
            <w:proofErr w:type="gramEnd"/>
            <w:r w:rsidR="000A74C7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A74C7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一位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  <w:tr w:rsidR="00C73569" w:rsidRPr="003A7099" w14:paraId="7608EAE5" w14:textId="77777777" w:rsidTr="003F7E5E">
        <w:trPr>
          <w:trHeight w:val="553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E535" w14:textId="77777777" w:rsidR="00C73569" w:rsidRPr="003A7099" w:rsidRDefault="00C73569" w:rsidP="0017685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E64B" w14:textId="77777777" w:rsidR="00F20BD7" w:rsidRPr="003A7099" w:rsidRDefault="00E81D6C" w:rsidP="00E3040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EC42A3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="00AB7B6D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日（周</w:t>
            </w:r>
            <w:r w:rsidR="00AB7B6D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三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）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0-1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="00EC42A3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  <w:p w14:paraId="7C94DDAB" w14:textId="681F07F7" w:rsidR="005E2D06" w:rsidRPr="003A7099" w:rsidRDefault="005E2D06" w:rsidP="00E3040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2024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日（周四）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15: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0-1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46905" w:rsidRPr="003A7099" w14:paraId="1351165A" w14:textId="77777777" w:rsidTr="00003EBD">
        <w:trPr>
          <w:trHeight w:val="558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441C" w14:textId="77777777" w:rsidR="00146905" w:rsidRPr="003A7099" w:rsidRDefault="00146905" w:rsidP="001469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837" w14:textId="77777777" w:rsidR="00146905" w:rsidRPr="003A7099" w:rsidRDefault="005E2D06" w:rsidP="0014690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2024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28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日：公司会议室</w:t>
            </w:r>
          </w:p>
          <w:p w14:paraId="56C9B5D2" w14:textId="12871430" w:rsidR="005E2D06" w:rsidRPr="003A7099" w:rsidRDefault="005E2D06" w:rsidP="0014690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2024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日：线上会议</w:t>
            </w:r>
          </w:p>
        </w:tc>
      </w:tr>
      <w:tr w:rsidR="00146905" w:rsidRPr="003A7099" w14:paraId="6BB8DBF6" w14:textId="77777777" w:rsidTr="003F7E5E">
        <w:trPr>
          <w:trHeight w:val="74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451A" w14:textId="77777777" w:rsidR="00146905" w:rsidRPr="003A7099" w:rsidRDefault="00146905" w:rsidP="001469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B7C" w14:textId="77777777" w:rsidR="00146905" w:rsidRPr="003A7099" w:rsidRDefault="005E2D06" w:rsidP="0014690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2024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28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日：胡捷、</w:t>
            </w:r>
            <w:r w:rsidR="005B3BFD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李硕</w:t>
            </w:r>
          </w:p>
          <w:p w14:paraId="4C0EB815" w14:textId="79E9C93A" w:rsidR="005E2D06" w:rsidRPr="003A7099" w:rsidRDefault="005E2D06" w:rsidP="0014690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2024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日：李硕</w:t>
            </w:r>
          </w:p>
        </w:tc>
      </w:tr>
      <w:tr w:rsidR="00146905" w:rsidRPr="003A7099" w14:paraId="727D761F" w14:textId="77777777" w:rsidTr="00143F43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6082" w14:textId="77777777" w:rsidR="00146905" w:rsidRPr="003A7099" w:rsidRDefault="00146905" w:rsidP="001469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投资者关系活动主要内容介绍</w:t>
            </w:r>
          </w:p>
          <w:p w14:paraId="541223AE" w14:textId="77777777" w:rsidR="00146905" w:rsidRPr="003A7099" w:rsidRDefault="00146905" w:rsidP="001469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FCC" w14:textId="63F982B8" w:rsidR="009F29A1" w:rsidRPr="003A7099" w:rsidRDefault="009F29A1" w:rsidP="008E1F14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公司近期经营情况：</w:t>
            </w:r>
          </w:p>
          <w:p w14:paraId="7618C939" w14:textId="4B7B6CD4" w:rsidR="009F29A1" w:rsidRPr="003A7099" w:rsidRDefault="00513444" w:rsidP="008E1F14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年度，公司整体经营业绩实现了高质量发展，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的商业化进展取得了显著成效。根据公司《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年度业绩快报》，经公司财务部初步核算，公司实现营业总收入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201,248.56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万元，同比增长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154.42%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；归属于母公司所有者的净利润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64,486.05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万元，同比增长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394.07%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；归属于母公司所有者的扣除非经常性损益的净利润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59,990.84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万元，同比增长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655.79%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。这主要是受益于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一线及二线治疗适应症均已纳入国家医保目录，产品销量大幅增长</w:t>
            </w:r>
            <w:r w:rsidR="00217DCE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，助力</w:t>
            </w:r>
            <w:proofErr w:type="gramStart"/>
            <w:r w:rsidR="00217DCE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伏美替尼实</w:t>
            </w:r>
            <w:proofErr w:type="gramEnd"/>
            <w:r w:rsidR="00217DCE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现销售收入</w:t>
            </w:r>
            <w:r w:rsidR="00217DCE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19.72</w:t>
            </w:r>
            <w:r w:rsidR="00217DCE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亿元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1BB77AA8" w14:textId="6A73BEAA" w:rsidR="000027D9" w:rsidRPr="003A7099" w:rsidRDefault="000027D9" w:rsidP="007270B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研发</w:t>
            </w:r>
            <w:r w:rsidR="00D264AB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管线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方面，公司持续拓展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适用范围</w:t>
            </w:r>
            <w:r w:rsidR="007270B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伏美替尼除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已获批的一线</w:t>
            </w:r>
            <w:r w:rsidR="0098622E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治疗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适应</w:t>
            </w:r>
            <w:r w:rsidR="00BF7CDC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症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和二线</w:t>
            </w:r>
            <w:r w:rsidR="0098622E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治疗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适应</w:t>
            </w:r>
            <w:r w:rsidR="00BF7CDC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症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外，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辅助治疗适应症目前处于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期临床试验阶段；针对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外显子插入突变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NSCLC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二线治疗的适应症于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年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月被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CDE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纳入突破性治疗品种名单，目前正在境内开展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proofErr w:type="gramStart"/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期注册</w:t>
            </w:r>
            <w:proofErr w:type="gramEnd"/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临床；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外显子插入突变一线治疗适应症于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年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月被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CDE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纳入突破性治疗品种名单，正处于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期临床研究阶段；针对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EGFR PACC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突变或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EGFR L861Q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突变的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NSCLC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一线治疗适应症</w:t>
            </w:r>
            <w:r w:rsidR="00164ED3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的</w:t>
            </w:r>
            <w:r w:rsidR="0098622E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I</w:t>
            </w:r>
            <w:r w:rsidR="0098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98622E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期临床试验的</w:t>
            </w:r>
            <w:r w:rsidR="0098622E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I</w:t>
            </w:r>
            <w:r w:rsidR="0098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ND</w:t>
            </w:r>
            <w:r w:rsidR="00164ED3" w:rsidRPr="00164ED3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已于</w:t>
            </w:r>
            <w:r w:rsidR="00164ED3" w:rsidRPr="00164ED3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2023</w:t>
            </w:r>
            <w:r w:rsidR="00164ED3" w:rsidRPr="00164ED3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年</w:t>
            </w:r>
            <w:r w:rsidR="00164ED3" w:rsidRPr="00164ED3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8</w:t>
            </w:r>
            <w:r w:rsidR="00164ED3" w:rsidRPr="00164ED3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月获得</w:t>
            </w:r>
            <w:r w:rsidR="00164ED3" w:rsidRPr="00164ED3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CDE</w:t>
            </w:r>
            <w:r w:rsidR="00164ED3" w:rsidRPr="00164ED3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批</w:t>
            </w:r>
            <w:r w:rsidR="00164ED3">
              <w:rPr>
                <w:rFonts w:ascii="Times New Roman" w:hAnsi="Times New Roman" w:cs="Times New Roman" w:hint="eastAsia"/>
                <w:sz w:val="24"/>
                <w:szCs w:val="24"/>
                <w:shd w:val="clear" w:color="auto" w:fill="FFFFFF"/>
              </w:rPr>
              <w:t>准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。与此同时，公司积极探索</w:t>
            </w:r>
            <w:proofErr w:type="gramStart"/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伏美替尼</w:t>
            </w:r>
            <w:proofErr w:type="gramEnd"/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与其他药物的联合治疗，充分挖掘</w:t>
            </w:r>
            <w:proofErr w:type="gramStart"/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伏美替</w:t>
            </w:r>
            <w:proofErr w:type="gramEnd"/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尼的临床潜力。除核心产品</w:t>
            </w:r>
            <w:proofErr w:type="gramStart"/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伏美替尼外</w:t>
            </w:r>
            <w:proofErr w:type="gramEnd"/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，公司聚焦肿瘤领域精准研发，建立了优势产品管线，包括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KRAS G12D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抑制剂、第四代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EGFR-TKI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、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SOS1</w:t>
            </w:r>
            <w:r w:rsidR="007270B6" w:rsidRPr="003A7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抑制剂等。</w:t>
            </w:r>
          </w:p>
          <w:p w14:paraId="1BE60463" w14:textId="286E85EC" w:rsidR="000027D9" w:rsidRPr="003A7099" w:rsidRDefault="000027D9" w:rsidP="008E1F14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海外临床进展方面，公司已与海外合作方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Arri</w:t>
            </w:r>
            <w:r w:rsidR="009862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V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ent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共同启动了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外显子插入突变一线治疗适应症（即用于一线治疗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EGFR 20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外显子插入突变的局部晚期或转移性非小细胞肺癌患者的治疗）的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III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期临床研究。这是艾力斯与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ArriVent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合作的第一个全球、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III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期、多中心、随机、开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放标签研究。除在中国开展临床试验外，该研究已在美国、法国、日本、韩国、英国</w:t>
            </w:r>
            <w:r w:rsidR="007270B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、法国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等多个国家和地区顺利开展临床入组工作，并于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年上半年完成了海外的首例患者入组，公司也</w:t>
            </w:r>
            <w:r w:rsidR="0098622E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获得了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首个研发里程碑付款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3,541.05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万元。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月，伏美替尼针对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 20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外显子插入突变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NSCLC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的一线治疗适应症获得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FDA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（美国食品药品监督管理局）</w:t>
            </w:r>
            <w:r w:rsidR="00015F3A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“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突破性疗法认定</w:t>
            </w:r>
            <w:bookmarkStart w:id="0" w:name="_GoBack"/>
            <w:bookmarkEnd w:id="0"/>
            <w:r w:rsidR="00015F3A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”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35629BBA" w14:textId="58F801B4" w:rsidR="000027D9" w:rsidRPr="003A7099" w:rsidRDefault="00D264AB" w:rsidP="008E1F14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产品引进方面，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月，公司与和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誉医药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就新一代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抑制剂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ABK3376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达成授权许可协议，获得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ABK3376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在中国区域研究、开发、制造、使用以及销售的独家许可。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月，公司与基石药业签署商业化战略合作协议，获得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RET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抑制剂普吉华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®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在中国大陆地区的独家商业化推广权。普吉华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®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是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国内首款获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批上市的高选择性、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泛瘤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种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RET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抑制剂，目前在美国和中国均已获得一线、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二线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非小细胞肺癌适应症的完全批准，同时覆盖甲状腺癌。</w:t>
            </w:r>
          </w:p>
          <w:p w14:paraId="6C90A723" w14:textId="77777777" w:rsidR="00513444" w:rsidRPr="003A7099" w:rsidRDefault="00513444" w:rsidP="008E1F14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2E801B78" w14:textId="761D0954" w:rsidR="008E1F14" w:rsidRPr="003A7099" w:rsidRDefault="008E1F14" w:rsidP="008E1F14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问题</w:t>
            </w:r>
            <w:proofErr w:type="gramStart"/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一</w:t>
            </w:r>
            <w:proofErr w:type="gramEnd"/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2E107E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公司在</w:t>
            </w:r>
            <w:r w:rsidR="002E107E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EGFR</w:t>
            </w:r>
            <w:proofErr w:type="gramStart"/>
            <w:r w:rsidR="002E107E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靶向药治疗</w:t>
            </w:r>
            <w:proofErr w:type="gramEnd"/>
            <w:r w:rsidR="002E107E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已经做了很好</w:t>
            </w:r>
            <w:r w:rsidR="001D7876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 w:val="24"/>
                <w:szCs w:val="24"/>
              </w:rPr>
              <w:t>的</w:t>
            </w:r>
            <w:r w:rsidR="002E107E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布局，但在过去的一两年中，双抗、</w:t>
            </w:r>
            <w:r w:rsidR="002E107E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ADC</w:t>
            </w:r>
            <w:r w:rsidR="002E107E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等也在快速崛起，请问公司如何看待肺癌</w:t>
            </w:r>
            <w:r w:rsidR="00A87416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治疗领域</w:t>
            </w:r>
            <w:r w:rsidR="007B5FDC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的竞争和发展情况？后续是否考虑开展相关的合作或者探索？</w:t>
            </w:r>
          </w:p>
          <w:p w14:paraId="19575345" w14:textId="703F88AC" w:rsidR="005F63B5" w:rsidRPr="003A7099" w:rsidRDefault="008E1F14" w:rsidP="004D360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答：</w:t>
            </w:r>
            <w:r w:rsidR="00A87416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肺癌赛道除了小分子靶</w:t>
            </w:r>
            <w:proofErr w:type="gramStart"/>
            <w:r w:rsidR="00A87416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向药</w:t>
            </w:r>
            <w:r w:rsidR="005F63B5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物</w:t>
            </w:r>
            <w:proofErr w:type="gramEnd"/>
            <w:r w:rsidR="00A87416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治疗外，还有很多其他的治疗模式，公司也在密切关注相关的</w:t>
            </w:r>
            <w:r w:rsidR="001541B3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行业动态</w:t>
            </w:r>
            <w:r w:rsidR="00A87416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。艾力斯作为一家创新驱动型研</w:t>
            </w:r>
            <w:r w:rsidR="001541B3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发药企，目前公司的自有研发能力主要集中在小分子</w:t>
            </w:r>
            <w:r w:rsidR="009F3326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方面</w:t>
            </w:r>
            <w:r w:rsidR="001541B3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，内部研发以小分子药物为主。同时</w:t>
            </w:r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针对双抗、</w:t>
            </w:r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ADC</w:t>
            </w:r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以及其他针对肺癌或针对肿瘤治疗有很好疗效的疗法</w:t>
            </w:r>
            <w:r w:rsidR="001541B3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，</w:t>
            </w:r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公司希望能通过不同的合作方式去开展相关的探索。去年公司</w:t>
            </w:r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BD</w:t>
            </w:r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方面看了非常多的项目，包括双抗、</w:t>
            </w:r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ADC</w:t>
            </w:r>
            <w:r w:rsidR="0025366C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、</w:t>
            </w:r>
            <w:proofErr w:type="gramStart"/>
            <w:r w:rsidR="0025366C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三抗</w:t>
            </w:r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等</w:t>
            </w:r>
            <w:proofErr w:type="gramEnd"/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。公司在进行产品评估时有几点</w:t>
            </w:r>
            <w:proofErr w:type="gramStart"/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考量</w:t>
            </w:r>
            <w:proofErr w:type="gramEnd"/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，首先是关注市场需求，以</w:t>
            </w:r>
            <w:r w:rsidR="005F63B5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全球</w:t>
            </w:r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未被满足的临床需求为出发点。二是关注产</w:t>
            </w:r>
            <w:r w:rsidR="004D3608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品的临床</w:t>
            </w:r>
            <w:r w:rsidR="0025366C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注册路径，大家也看到去年</w:t>
            </w:r>
            <w:r w:rsidR="0025366C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CDE</w:t>
            </w:r>
            <w:r w:rsidR="0025366C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出台了新的临床指南，所以公司在</w:t>
            </w:r>
            <w:proofErr w:type="gramStart"/>
            <w:r w:rsidR="0025366C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考量</w:t>
            </w:r>
            <w:proofErr w:type="gramEnd"/>
            <w:r w:rsidR="0025366C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引进产品时会重点关注临床注册方案是否具有足够的前瞻性，关注它的临床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注册</w:t>
            </w:r>
            <w:r w:rsidR="0025366C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路径、预计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开发周期</w:t>
            </w:r>
            <w:r w:rsidR="0025366C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等。此外，公司也希望所有的合作</w:t>
            </w:r>
            <w:r w:rsidR="005F63B5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都能双方获益，给双方公司带来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营收和利润</w:t>
            </w:r>
            <w:r w:rsidR="005F63B5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增量。</w:t>
            </w:r>
          </w:p>
          <w:p w14:paraId="1F43F1B0" w14:textId="4520527C" w:rsidR="004D3608" w:rsidRPr="003A7099" w:rsidRDefault="005F63B5" w:rsidP="004D360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所以未来，公司将一如既往的以公司战略为出发点，期望通过内生外延双轮驱动，不断探讨通过多种多样的合作方式多维拓展，进一步丰富公司产品的治疗领域，保持公司不断创新的活力，造福更多肿瘤患者。</w:t>
            </w:r>
          </w:p>
          <w:p w14:paraId="1D3B9221" w14:textId="028C8E33" w:rsidR="006C766D" w:rsidRPr="003A7099" w:rsidRDefault="006C766D" w:rsidP="005F63B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2DCC4CE0" w14:textId="4387C39F" w:rsidR="00513444" w:rsidRPr="003A7099" w:rsidRDefault="00513444" w:rsidP="00513444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问题二：</w:t>
            </w:r>
            <w:proofErr w:type="gramStart"/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商业化</w:t>
            </w:r>
            <w:r w:rsidR="00DB61B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成果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显著，</w:t>
            </w:r>
            <w:r w:rsidR="00DB61B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请问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公司是如何</w:t>
            </w:r>
            <w:r w:rsidR="00DB61B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实现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这</w:t>
            </w:r>
            <w:r w:rsidR="00DB61B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一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成绩的？今年</w:t>
            </w:r>
            <w:r w:rsidR="00DB61B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销售团队是否有继续扩编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的计划？</w:t>
            </w:r>
          </w:p>
          <w:p w14:paraId="357BFC20" w14:textId="77777777" w:rsidR="0098622E" w:rsidRDefault="00513444" w:rsidP="00387AA9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答：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伏美替尼</w:t>
            </w:r>
            <w:r w:rsidR="00DB61B7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销售</w:t>
            </w:r>
            <w:proofErr w:type="gramEnd"/>
            <w:r w:rsidR="00DB61B7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业绩的驱动因素有以下几点：</w:t>
            </w:r>
          </w:p>
          <w:p w14:paraId="1B368AB9" w14:textId="33BC73CD" w:rsidR="0098622E" w:rsidRDefault="00513444" w:rsidP="00387AA9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首先得益于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伏美替尼</w:t>
            </w:r>
            <w:proofErr w:type="gramEnd"/>
            <w:r w:rsidR="00DB61B7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这一产品</w:t>
            </w: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，</w:t>
            </w:r>
            <w:proofErr w:type="gramStart"/>
            <w:r w:rsidR="00DB61B7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伏美替</w:t>
            </w:r>
            <w:proofErr w:type="gramEnd"/>
            <w:r w:rsidR="00DB61B7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尼具有</w:t>
            </w:r>
            <w:r w:rsidR="00EE0415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“</w:t>
            </w: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脑转强效、疗效优异、安全性佳、治疗窗宽</w:t>
            </w:r>
            <w:r w:rsidR="00EE0415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”</w:t>
            </w: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的产品优势，</w:t>
            </w:r>
            <w:r w:rsidR="00DB61B7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不仅对敏感突变、耐药突变</w:t>
            </w:r>
            <w:r w:rsidR="00387AA9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疗效显著外，其双倍剂量治疗脑转移病灶、</w:t>
            </w:r>
            <w:r w:rsidR="00666846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高</w:t>
            </w:r>
            <w:r w:rsidR="00387AA9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剂量治疗</w:t>
            </w:r>
            <w:r w:rsidR="00387AA9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387AA9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外显子插入突变的疗效和安全性均表现出色，同时其针对</w:t>
            </w:r>
            <w:r w:rsidR="00387AA9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PACC</w:t>
            </w:r>
            <w:r w:rsidR="00387AA9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等罕见突变也有潜在疗效。</w:t>
            </w:r>
            <w:r w:rsidR="00DB61B7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自上市以来，</w:t>
            </w:r>
            <w:proofErr w:type="gramStart"/>
            <w:r w:rsidR="00387AA9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伏美替尼</w:t>
            </w:r>
            <w:r w:rsidR="00DB61B7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得到</w:t>
            </w:r>
            <w:proofErr w:type="gramEnd"/>
            <w:r w:rsidR="00DB61B7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了</w:t>
            </w: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各院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线专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家的正面反馈和认可。</w:t>
            </w:r>
          </w:p>
          <w:p w14:paraId="12A94932" w14:textId="116A4728" w:rsidR="0098622E" w:rsidRDefault="00387AA9" w:rsidP="00387AA9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二是</w:t>
            </w:r>
            <w:r w:rsidR="00513444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艾力斯在营销方面具有独特的管理方法，公司组建了优秀的营销团队，团队的销售架构设计合理，</w:t>
            </w: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人员经验丰富，</w:t>
            </w:r>
            <w:r w:rsidR="00513444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团队氛围</w:t>
            </w: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融洽正气</w:t>
            </w:r>
            <w:r w:rsidR="00513444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。正是基于好的产品和优秀的团队，公司才能够取得良好的业绩表现。</w:t>
            </w:r>
          </w:p>
          <w:p w14:paraId="11ADF8AE" w14:textId="203AB85C" w:rsidR="00513444" w:rsidRPr="003A7099" w:rsidRDefault="00387AA9" w:rsidP="00387AA9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三是得益于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二</w:t>
            </w:r>
            <w:r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线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治疗适应症</w:t>
            </w:r>
            <w:r w:rsidR="00F73E20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、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一</w:t>
            </w:r>
            <w:r w:rsidR="00F73E20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线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治疗适应症分别于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2022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年、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2023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年</w:t>
            </w:r>
            <w:r w:rsidR="00F73E20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被纳入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国家</w:t>
            </w:r>
            <w:proofErr w:type="gramStart"/>
            <w:r w:rsidR="00F73E20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医</w:t>
            </w:r>
            <w:proofErr w:type="gramEnd"/>
            <w:r w:rsidR="00F73E20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保报销范围，我们相信，</w:t>
            </w:r>
            <w:r w:rsidR="00513444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随着医保</w:t>
            </w:r>
            <w:r w:rsidR="004D51A1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政策</w:t>
            </w:r>
            <w:r w:rsidR="00513444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落地</w:t>
            </w:r>
            <w:r w:rsidR="00F73E20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执行</w:t>
            </w:r>
            <w:r w:rsidR="00513444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，</w:t>
            </w:r>
            <w:r w:rsidR="0098622E">
              <w:rPr>
                <w:rFonts w:ascii="Times New Roman" w:hAnsi="Times New Roman" w:cs="Times New Roman" w:hint="eastAsia"/>
                <w:bCs/>
                <w:iCs/>
                <w:sz w:val="24"/>
                <w:szCs w:val="24"/>
              </w:rPr>
              <w:t>相关肺癌</w:t>
            </w:r>
            <w:r w:rsidR="00513444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患者的数量不断增加，持续用药的患者积累及今年新增患者数量的增加</w:t>
            </w:r>
            <w:r w:rsidR="00F73E20" w:rsidRPr="003A7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，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2024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年的销售业绩</w:t>
            </w:r>
            <w:r w:rsidR="00F73E20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依然是非常值得期待的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5A29F3BE" w14:textId="07BF76EB" w:rsidR="00513444" w:rsidRPr="003A7099" w:rsidRDefault="00DF08FE" w:rsidP="00513444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为确保今年发展目标</w:t>
            </w:r>
            <w:r w:rsidR="00D0022C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顺利实现，公司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已经完成了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2024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年销售人员的扩招，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我们也将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在年中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时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再次评估销售团队</w:t>
            </w:r>
            <w:r w:rsidR="0098622E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是否需要进行调整和扩招</w:t>
            </w:r>
            <w:r w:rsidR="0051344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6537EEAD" w14:textId="77777777" w:rsidR="00513444" w:rsidRPr="003A7099" w:rsidRDefault="00513444" w:rsidP="005F63B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2663C54B" w14:textId="6F6C8E4D" w:rsidR="005A2876" w:rsidRPr="003A7099" w:rsidRDefault="005A2876" w:rsidP="005A2876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问题</w:t>
            </w:r>
            <w:r w:rsidR="00513444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三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5F63B5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国外有三代</w:t>
            </w:r>
            <w:r w:rsidR="005F63B5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EGFR-TKI</w:t>
            </w:r>
            <w:r w:rsidR="005F63B5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联合化疗针对非小细胞肺癌患者一线治疗的适应症获批了，公司</w:t>
            </w:r>
            <w:r w:rsidR="00186910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是否考虑开展</w:t>
            </w:r>
            <w:proofErr w:type="gramStart"/>
            <w:r w:rsidR="00186910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="00186910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与化疗联用</w:t>
            </w:r>
            <w:r w:rsidR="001913F2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？</w:t>
            </w:r>
            <w:r w:rsidR="001913F2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6BF9D560" w14:textId="0587D7C1" w:rsidR="006C766D" w:rsidRPr="003A7099" w:rsidRDefault="005A2876" w:rsidP="00EB1804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答：</w:t>
            </w:r>
            <w:r w:rsidR="00186910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公司也有及时关注到上述相关的行业动态</w:t>
            </w:r>
            <w:r w:rsidR="001913F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  <w:r w:rsidR="00186910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单药</w:t>
            </w:r>
            <w:r w:rsidR="00186910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+</w:t>
            </w:r>
            <w:r w:rsidR="00186910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化疗虽然相较于单药治疗的</w:t>
            </w:r>
            <w:r w:rsidR="00186910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PFS</w:t>
            </w:r>
            <w:r w:rsidR="00186910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（无进展生存器）有所延长，但同时也产生了</w:t>
            </w:r>
            <w:r w:rsidR="00934C46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更高</w:t>
            </w:r>
            <w:r w:rsidR="00186910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的副作用。</w:t>
            </w:r>
            <w:r w:rsidR="004E53D4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临床医生</w:t>
            </w:r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在选择用药时在关注临床疗效的同时也会非常关注药品的安全性。该适应症的获</w:t>
            </w:r>
            <w:proofErr w:type="gramStart"/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批并不</w:t>
            </w:r>
            <w:proofErr w:type="gramEnd"/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意味着单药</w:t>
            </w:r>
            <w:r w:rsidR="00934C46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治疗被</w:t>
            </w:r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取代，在全球范围内，单药</w:t>
            </w:r>
            <w:r w:rsidR="00687CCD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治疗</w:t>
            </w:r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（三代</w:t>
            </w:r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EGFR-TKI</w:t>
            </w:r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）依然是</w:t>
            </w:r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NSCLC</w:t>
            </w:r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一线治疗的标准疗法。艾力斯也在思考</w:t>
            </w:r>
            <w:r w:rsidR="00687CCD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“</w:t>
            </w:r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什么样的患者更加适用于</w:t>
            </w:r>
            <w:r w:rsidR="0098622E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三代联合</w:t>
            </w:r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化疗</w:t>
            </w:r>
            <w:r w:rsidR="00687CCD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”</w:t>
            </w:r>
            <w:r w:rsidR="006872B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，针对这个问题我们也将开展相关的探索。</w:t>
            </w:r>
          </w:p>
          <w:p w14:paraId="24AE9806" w14:textId="713B94AA" w:rsidR="006C766D" w:rsidRPr="003A7099" w:rsidRDefault="006C766D" w:rsidP="00EB1804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01D2700A" w14:textId="74EFA3F0" w:rsidR="00AF5FB2" w:rsidRPr="003A7099" w:rsidRDefault="00AF5FB2" w:rsidP="00AF5FB2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问题四：</w:t>
            </w:r>
            <w:proofErr w:type="gramStart"/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一线、二线适应症对销售贡献的变化情况？</w:t>
            </w:r>
            <w:proofErr w:type="gramStart"/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目前的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DOT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（持续用药时间）是否有所延长？</w:t>
            </w:r>
          </w:p>
          <w:p w14:paraId="6B661FE1" w14:textId="0AD24233" w:rsidR="003402C1" w:rsidRPr="003A7099" w:rsidRDefault="00AF5FB2" w:rsidP="00AF5FB2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答：随着三代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EGFR-TKI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对一代药物的替代，二线</w:t>
            </w:r>
            <w:r w:rsidR="0098622E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治疗适应症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用药人群占比在逐渐降低</w:t>
            </w:r>
            <w:r w:rsidR="0075679E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，一线治疗适应症是目前市场空间、销售贡献最大的适应症。</w:t>
            </w:r>
          </w:p>
          <w:p w14:paraId="1A411651" w14:textId="5741D283" w:rsidR="00AF5FB2" w:rsidRPr="003A7099" w:rsidRDefault="0075679E" w:rsidP="003402C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根据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III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期注册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临床研究结果，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尼</w:t>
            </w:r>
            <w:r w:rsidR="0098622E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一线</w:t>
            </w:r>
            <w:r w:rsidR="0098622E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治疗的</w:t>
            </w:r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中位无进展生存期（</w:t>
            </w:r>
            <w:proofErr w:type="spellStart"/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mPFS</w:t>
            </w:r>
            <w:proofErr w:type="spellEnd"/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）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达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20.8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个月。</w:t>
            </w:r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根据</w:t>
            </w:r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IIb</w:t>
            </w:r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期临床数据显示，</w:t>
            </w:r>
            <w:proofErr w:type="gramStart"/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伏美替尼治疗</w:t>
            </w:r>
            <w:proofErr w:type="gramEnd"/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 T790M</w:t>
            </w:r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突变</w:t>
            </w:r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NSCLC</w:t>
            </w:r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患者的中位无进展生存期（</w:t>
            </w:r>
            <w:proofErr w:type="spellStart"/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mPFS</w:t>
            </w:r>
            <w:proofErr w:type="spellEnd"/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）达</w:t>
            </w:r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9.6</w:t>
            </w:r>
            <w:r w:rsidR="002945B2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个月</w:t>
            </w:r>
            <w:r w:rsidR="003402C1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一线治疗适应症于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年被纳入医保后，一线</w:t>
            </w:r>
            <w:r w:rsidR="003402C1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患者</w:t>
            </w:r>
            <w:r w:rsidR="0098622E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数量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大幅增加，相较于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2022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年，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尼</w:t>
            </w:r>
            <w:r w:rsidR="003402C1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用药人群的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平均持续用药时间进一步延长</w:t>
            </w:r>
            <w:r w:rsidR="003402C1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367F9D08" w14:textId="77777777" w:rsidR="00AF5FB2" w:rsidRPr="003A7099" w:rsidRDefault="00AF5FB2" w:rsidP="00AF5FB2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696B4AB8" w14:textId="6EA1C95C" w:rsidR="00513444" w:rsidRPr="003A7099" w:rsidRDefault="00EF1501" w:rsidP="00513444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问题</w:t>
            </w:r>
            <w:r w:rsidR="00BE643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五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BE643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公司针对</w:t>
            </w:r>
            <w:r w:rsidR="00F379E2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EGFR 20</w:t>
            </w:r>
            <w:r w:rsidR="00F379E2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外显子插入突变</w:t>
            </w:r>
            <w:r w:rsidR="00F379E2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 w:val="24"/>
                <w:szCs w:val="24"/>
              </w:rPr>
              <w:t>N</w:t>
            </w:r>
            <w:r w:rsidR="00F379E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SCLC</w:t>
            </w:r>
            <w:r w:rsidR="00BE643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的最新临床进展情况？</w:t>
            </w:r>
          </w:p>
          <w:p w14:paraId="09C510F7" w14:textId="65127353" w:rsidR="00EC6311" w:rsidRPr="003A7099" w:rsidRDefault="00513444" w:rsidP="007F2ADE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答：公司目前针对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 20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外显子插入突变已经开展了两项注册临床研究，分别是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外显子插入突变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NSCLC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二线治疗适应症的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II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期注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册临床研究和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尼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20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外显子插入突变一线治疗适应症的全球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III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期临床研究。公司也在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 WCLC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大会上公布了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伏美替尼治疗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 20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外显子插入突变的局部晚期或转移性非小细胞肺癌（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NSCLC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）的</w:t>
            </w:r>
            <w:proofErr w:type="spellStart"/>
            <w:r w:rsidR="00F379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</w:t>
            </w:r>
            <w:r w:rsidR="00F379E2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b</w:t>
            </w:r>
            <w:proofErr w:type="spellEnd"/>
            <w:r w:rsidR="00F379E2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期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FAVOUR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研究的初步疗效与安全性的中期分析结果。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IRC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的结果显示，初治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240 mg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组、经治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240 mg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组、经治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160 mg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组的确证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ORR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分别为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78.6%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、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46.2%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、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38.5%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；中位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DoR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则为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15.2 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个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月、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13.1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个月、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9.7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个月。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伏美替尼针对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近环区、远环区和螺旋区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 20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外显子突变亚型均显示抗肿瘤活性。安全性方面，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耐受性良好，绝大多数治疗相关不良事件（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TRAE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）为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1-2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级。在初治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240 mg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、经治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240 mg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和经治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160 mg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组的队列中，分别有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0%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、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4%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和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4%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的患者因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TRAE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停止治疗。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160 mg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和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240 mg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的安全性与在中国获批上市的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80 mg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剂量下的安全性一致。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FAVOUR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研究的数据展示了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在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EGFR 20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外显子突变型晚期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NSCLC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的初治和经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治患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者中均具有抗肿瘤活性，及良好的耐受性和安全性。</w:t>
            </w:r>
          </w:p>
          <w:p w14:paraId="019C1E35" w14:textId="3B8B2CEB" w:rsidR="007F2ADE" w:rsidRPr="003A7099" w:rsidRDefault="007F2ADE" w:rsidP="007F2ADE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公司合作方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ArriVent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也于近日</w:t>
            </w:r>
            <w:r w:rsidR="00D42970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在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美国纳斯达克挂牌上市，为后续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的全球临床开发计划的推进提供了</w:t>
            </w:r>
            <w:r w:rsidR="00077D8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资金保障。</w:t>
            </w:r>
            <w:proofErr w:type="gramStart"/>
            <w:r w:rsidR="00077D8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="00077D8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一线治疗</w:t>
            </w:r>
            <w:r w:rsidR="00077D8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 20</w:t>
            </w:r>
            <w:r w:rsidR="00077D8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号外显子插入突变非小细胞肺癌的</w:t>
            </w:r>
            <w:r w:rsidR="00077D8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III</w:t>
            </w:r>
            <w:proofErr w:type="gramStart"/>
            <w:r w:rsidR="00077D8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期注</w:t>
            </w:r>
            <w:proofErr w:type="gramEnd"/>
            <w:r w:rsidR="00077D8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册临床研究目前正在全球积极入组。</w:t>
            </w:r>
          </w:p>
          <w:p w14:paraId="4772717D" w14:textId="77777777" w:rsidR="007F2ADE" w:rsidRPr="003A7099" w:rsidRDefault="007F2ADE" w:rsidP="007F2ADE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CA82354" w14:textId="530F0D9D" w:rsidR="00EC6311" w:rsidRPr="003A7099" w:rsidRDefault="00EC6311" w:rsidP="00EC6311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问题</w:t>
            </w:r>
            <w:r w:rsidR="00BE643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六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：公司针对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PACC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等罕见突变的临床进展情况？</w:t>
            </w:r>
          </w:p>
          <w:p w14:paraId="7960087B" w14:textId="0E6CC374" w:rsidR="00EC6311" w:rsidRPr="003A7099" w:rsidRDefault="00EC6311" w:rsidP="00077D8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答：公司于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月获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批开展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一项评估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尼对比含铂化疗一线治疗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EGFR PACC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突变或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EGFR L861Q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突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变的局部晚期或转移性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NSCLC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患者的疗效和安全性的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III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期、随机、多中心、开放标签研究。除此之外，公司也与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ArriVent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合作开展了一项伏美替尼针对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或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HER2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突变晚期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NSCLC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患者的</w:t>
            </w:r>
            <w:proofErr w:type="spell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Ib</w:t>
            </w:r>
            <w:proofErr w:type="spell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期临床试验，</w:t>
            </w:r>
            <w:r w:rsidR="003F14B0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这</w:t>
            </w:r>
            <w:r w:rsidR="00077D8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是一项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探索性研究</w:t>
            </w:r>
            <w:r w:rsidR="003F14B0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077D88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该研究正按计划顺利推进</w:t>
            </w:r>
            <w:r w:rsidR="007A76A7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14:paraId="06121809" w14:textId="45C0C788" w:rsidR="00C470EC" w:rsidRPr="003A7099" w:rsidRDefault="00C470EC" w:rsidP="008E1F14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17A08F71" w14:textId="675C9206" w:rsidR="00EC6311" w:rsidRPr="003A7099" w:rsidRDefault="00EC6311" w:rsidP="00EC6311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问题</w:t>
            </w:r>
            <w:r w:rsidR="00BE643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七</w:t>
            </w:r>
            <w:proofErr w:type="gramEnd"/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公司如何看待三代耐药后的布局？</w:t>
            </w:r>
          </w:p>
          <w:p w14:paraId="27842BC9" w14:textId="7500C3BB" w:rsidR="00F9252F" w:rsidRPr="003A7099" w:rsidRDefault="00EC6311" w:rsidP="00F9252F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答：对于三代耐药后的布局，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近几年国内外相关的探索也比较多，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目前市场上还没找到一个能像三代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EGFR-TK</w:t>
            </w:r>
            <w:r w:rsidR="00BD56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对一代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EGFR-TK</w:t>
            </w:r>
            <w:r w:rsidR="00B84B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一样实现跨时代的飞越的产品。公司始终密切关注行业动态，</w:t>
            </w:r>
            <w:r w:rsidR="00631C11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也在积极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通过多种方式进行多方位的布局和探索。首先在自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研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方面，公司</w:t>
            </w:r>
            <w:r w:rsidR="00631C11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高度重视自研产品的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前瞻性，第四代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EGFR-TKI</w:t>
            </w:r>
            <w:r w:rsidR="00897088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的研究正在积极探索中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，力求能早日研发出疗效更佳、安全性更好、</w:t>
            </w:r>
            <w:r w:rsidR="00897088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更有突破性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的</w:t>
            </w:r>
            <w:r w:rsidR="00897088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四代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药物。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同时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在产品引进上，公司</w:t>
            </w:r>
            <w:r w:rsidR="00431A7A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于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月与和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誉医药</w:t>
            </w:r>
            <w:proofErr w:type="gramEnd"/>
            <w:r w:rsidR="00431A7A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达成了授权合作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，引进</w:t>
            </w:r>
            <w:r w:rsidR="00431A7A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  <w:szCs w:val="24"/>
              </w:rPr>
              <w:t>了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主要针对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EGFR-C797S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突变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的新一代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EGFR-TKI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三代药物的耐药机制比较复杂，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C797S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突变</w:t>
            </w:r>
            <w:r w:rsidR="0063117B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是其中较为</w:t>
            </w:r>
            <w:r w:rsidR="00F9252F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集中</w:t>
            </w:r>
            <w:r w:rsidR="0063117B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、市场较为广阔的突变类型。公司在引进该产品时，该产品尚处于</w:t>
            </w:r>
            <w:r w:rsidR="0063117B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PCC</w:t>
            </w:r>
            <w:r w:rsidR="0063117B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（药物候选化合物）阶段，公司引进后快速推进至</w:t>
            </w:r>
            <w:r w:rsidR="0063117B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CMC</w:t>
            </w:r>
            <w:r w:rsidR="0063117B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研究，目前正按预期顺利推进相关研究。</w:t>
            </w:r>
          </w:p>
          <w:p w14:paraId="57B4F19A" w14:textId="396B694D" w:rsidR="00F9252F" w:rsidRPr="003A7099" w:rsidRDefault="00F9252F" w:rsidP="00F9252F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与此同时，</w:t>
            </w:r>
            <w:r w:rsidR="0063117B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在后线治疗方面，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公司</w:t>
            </w:r>
            <w:r w:rsidR="0063117B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也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非常关注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与其他药物的联合疗法</w:t>
            </w:r>
            <w:r w:rsidR="00451B71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。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公司也</w:t>
            </w:r>
            <w:r w:rsidR="00451B71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正在推动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伏美替尼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和其他抗肿瘤药物的联用探索，致力于为广大非小细胞肺癌患者提供更好的治疗方案。</w:t>
            </w:r>
          </w:p>
          <w:p w14:paraId="21693B2B" w14:textId="77777777" w:rsidR="00EC6311" w:rsidRPr="003A7099" w:rsidRDefault="00EC6311" w:rsidP="00EC631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5D0F9A3D" w14:textId="4B67D512" w:rsidR="00EC6311" w:rsidRPr="003A7099" w:rsidRDefault="00EC6311" w:rsidP="00EC6311">
            <w:pPr>
              <w:spacing w:line="360" w:lineRule="auto"/>
              <w:ind w:firstLineChars="200" w:firstLine="482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问题</w:t>
            </w:r>
            <w:r w:rsidR="00BE6437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八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ED37F6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请公司简要介绍与基石的合作背景以及对</w:t>
            </w:r>
            <w:r w:rsidR="00ED37F6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RET</w:t>
            </w:r>
            <w:r w:rsidR="00ED37F6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抑制剂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普吉华的商业化的</w:t>
            </w:r>
            <w:r w:rsidR="00ED37F6"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商业推广策略</w:t>
            </w:r>
            <w:r w:rsidRPr="003A70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14:paraId="5CE4533F" w14:textId="77777777" w:rsidR="00683EDC" w:rsidRPr="003A7099" w:rsidRDefault="00EC6311" w:rsidP="00EC6311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答：公司与基石药业于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2023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日达成商业战略合作，公司获得了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RET 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抑制剂普吉华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</w:rPr>
              <w:t>®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（普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拉替尼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胶囊）在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中国大陆地区的独家商业化推广权。普吉华是中国大陆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首款获批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上市的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RET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抑制剂，目前在中、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美均获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得了一线、</w:t>
            </w:r>
            <w:proofErr w:type="gramStart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二线</w:t>
            </w:r>
            <w:proofErr w:type="gramEnd"/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非小细胞肺癌适应症的完全批准，并同时覆盖甲状腺癌。相关临床结果显示，普吉华对相关肿瘤具有强效和持久的抗肿瘤活性，整体安全可控。并且以其突出的临床优势，被纳入多项权威指南与共识。</w:t>
            </w:r>
          </w:p>
          <w:p w14:paraId="471101C3" w14:textId="60B9650A" w:rsidR="008E1F14" w:rsidRPr="003A7099" w:rsidRDefault="00EC6311" w:rsidP="00860EC2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公司与基石药业的合作</w:t>
            </w:r>
            <w:r w:rsid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具有良好的协同作用，</w:t>
            </w:r>
            <w:r w:rsidR="003F14B0" w:rsidRP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RET</w:t>
            </w:r>
            <w:r w:rsidR="003F14B0" w:rsidRP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融合是新近发现的肺癌驱动基因突变，在非小细胞肺癌中</w:t>
            </w:r>
            <w:r w:rsidR="003F14B0" w:rsidRP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RET</w:t>
            </w:r>
            <w:r w:rsidR="003F14B0" w:rsidRP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融合患者约占</w:t>
            </w:r>
            <w:r w:rsidR="003F14B0" w:rsidRP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1-2%</w:t>
            </w:r>
            <w:r w:rsidR="003F14B0" w:rsidRP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，国内每年新增患者约</w:t>
            </w:r>
            <w:r w:rsidR="003F14B0" w:rsidRP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1-2</w:t>
            </w:r>
            <w:r w:rsidR="003F14B0" w:rsidRP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万人</w:t>
            </w:r>
            <w:r w:rsidRPr="003A70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，而艾力斯拥有一支聚焦肺癌领域、专业学术推广能力出色的商业化团队，</w:t>
            </w:r>
            <w:r w:rsid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建立了覆盖全国的销售网络</w:t>
            </w:r>
            <w:r w:rsidRPr="003A70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860EC2" w:rsidRPr="003A70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可以</w:t>
            </w:r>
            <w:r w:rsidR="00ED37F6" w:rsidRPr="003A70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迅速、高效提升普吉华的市场覆盖范围</w:t>
            </w:r>
            <w:r w:rsid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，</w:t>
            </w:r>
            <w:r w:rsidR="00ED37F6" w:rsidRPr="003A70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同时在此过程中，公司并未增加额外的人力成本，与</w:t>
            </w:r>
            <w:proofErr w:type="gramStart"/>
            <w:r w:rsidR="00ED37F6" w:rsidRPr="003A70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伏美替尼形成</w:t>
            </w:r>
            <w:proofErr w:type="gramEnd"/>
            <w:r w:rsidR="00ED37F6" w:rsidRPr="003A70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了</w:t>
            </w:r>
            <w:r w:rsidRPr="003A70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叠加</w:t>
            </w:r>
            <w:r w:rsidR="003F14B0">
              <w:rPr>
                <w:rFonts w:ascii="Times New Roman" w:hAnsi="Times New Roman" w:cs="Times New Roman" w:hint="eastAsia"/>
                <w:bCs/>
                <w:iCs/>
                <w:color w:val="000000" w:themeColor="text1"/>
                <w:sz w:val="24"/>
                <w:szCs w:val="24"/>
              </w:rPr>
              <w:t>效应</w:t>
            </w:r>
            <w:r w:rsidR="00ED37F6" w:rsidRPr="003A70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146905" w:rsidRPr="003A7099" w14:paraId="6773D77C" w14:textId="77777777" w:rsidTr="001C5965">
        <w:trPr>
          <w:trHeight w:val="496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6CC3" w14:textId="77777777" w:rsidR="00146905" w:rsidRPr="003A7099" w:rsidRDefault="00146905" w:rsidP="001469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附件清单</w:t>
            </w:r>
          </w:p>
          <w:p w14:paraId="1A3E4517" w14:textId="77777777" w:rsidR="00146905" w:rsidRPr="003A7099" w:rsidRDefault="00146905" w:rsidP="001469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B6F" w14:textId="77777777" w:rsidR="00146905" w:rsidRPr="003A7099" w:rsidRDefault="00146905" w:rsidP="00146905">
            <w:pPr>
              <w:spacing w:line="48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46905" w:rsidRPr="003A7099" w14:paraId="5FF52011" w14:textId="77777777" w:rsidTr="00B04BA9">
        <w:trPr>
          <w:trHeight w:val="62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9B0B" w14:textId="77777777" w:rsidR="00146905" w:rsidRPr="003A7099" w:rsidRDefault="00146905" w:rsidP="001469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DD85" w14:textId="489F5A43" w:rsidR="00146905" w:rsidRPr="003A7099" w:rsidRDefault="00CD5F92" w:rsidP="0014690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7A1A9C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="00831CA0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日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、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2024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年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月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  <w:r w:rsidR="005E2D06" w:rsidRPr="003A7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14:paraId="23483234" w14:textId="77777777" w:rsidR="00B23B83" w:rsidRPr="003A7099" w:rsidRDefault="00B23B83" w:rsidP="001D7876">
      <w:pPr>
        <w:spacing w:line="360" w:lineRule="auto"/>
        <w:rPr>
          <w:rFonts w:ascii="Times New Roman" w:hAnsi="Times New Roman" w:cs="Times New Roman"/>
        </w:rPr>
      </w:pPr>
    </w:p>
    <w:sectPr w:rsidR="00B23B83" w:rsidRPr="003A709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9FDC5" w14:textId="77777777" w:rsidR="00CB433E" w:rsidRDefault="00CB433E" w:rsidP="002A12A1">
      <w:r>
        <w:separator/>
      </w:r>
    </w:p>
  </w:endnote>
  <w:endnote w:type="continuationSeparator" w:id="0">
    <w:p w14:paraId="3C00AB8F" w14:textId="77777777" w:rsidR="00CB433E" w:rsidRDefault="00CB433E" w:rsidP="002A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18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181A7C78" w14:textId="77777777" w:rsidR="00690541" w:rsidRPr="004C656F" w:rsidRDefault="006905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lang w:val="zh-CN"/>
              </w:rPr>
              <w:t xml:space="preserve"> </w:t>
            </w:r>
            <w:r w:rsidRPr="004C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C656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C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C656F"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 w:rsidRPr="004C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C656F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4C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C656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C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C656F"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 w:rsidRPr="004C6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5BC45" w14:textId="77777777" w:rsidR="00690541" w:rsidRDefault="006905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AD26" w14:textId="77777777" w:rsidR="00CB433E" w:rsidRDefault="00CB433E" w:rsidP="002A12A1">
      <w:r>
        <w:separator/>
      </w:r>
    </w:p>
  </w:footnote>
  <w:footnote w:type="continuationSeparator" w:id="0">
    <w:p w14:paraId="78BD495E" w14:textId="77777777" w:rsidR="00CB433E" w:rsidRDefault="00CB433E" w:rsidP="002A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D017"/>
      </v:shape>
    </w:pict>
  </w:numPicBullet>
  <w:abstractNum w:abstractNumId="0" w15:restartNumberingAfterBreak="0">
    <w:nsid w:val="784B2BD1"/>
    <w:multiLevelType w:val="hybridMultilevel"/>
    <w:tmpl w:val="48DCAE0E"/>
    <w:lvl w:ilvl="0" w:tplc="04090007">
      <w:start w:val="1"/>
      <w:numFmt w:val="bullet"/>
      <w:lvlText w:val=""/>
      <w:lvlPicBulletId w:val="0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28"/>
    <w:rsid w:val="000027D9"/>
    <w:rsid w:val="000031A5"/>
    <w:rsid w:val="000032A6"/>
    <w:rsid w:val="00003EBD"/>
    <w:rsid w:val="00005CBF"/>
    <w:rsid w:val="00007BBC"/>
    <w:rsid w:val="000101C0"/>
    <w:rsid w:val="000116BA"/>
    <w:rsid w:val="000135CC"/>
    <w:rsid w:val="00014A04"/>
    <w:rsid w:val="00015260"/>
    <w:rsid w:val="00015864"/>
    <w:rsid w:val="00015F3A"/>
    <w:rsid w:val="00015F8E"/>
    <w:rsid w:val="00020B03"/>
    <w:rsid w:val="00021ECA"/>
    <w:rsid w:val="00022B61"/>
    <w:rsid w:val="00024093"/>
    <w:rsid w:val="00024C67"/>
    <w:rsid w:val="00026EC2"/>
    <w:rsid w:val="00027155"/>
    <w:rsid w:val="000276E7"/>
    <w:rsid w:val="000304C4"/>
    <w:rsid w:val="0003141B"/>
    <w:rsid w:val="000348B4"/>
    <w:rsid w:val="0003554C"/>
    <w:rsid w:val="000371C7"/>
    <w:rsid w:val="000406EA"/>
    <w:rsid w:val="0004262C"/>
    <w:rsid w:val="000426D0"/>
    <w:rsid w:val="00043EF2"/>
    <w:rsid w:val="00050025"/>
    <w:rsid w:val="00052A14"/>
    <w:rsid w:val="000543CB"/>
    <w:rsid w:val="00054CA2"/>
    <w:rsid w:val="000550AE"/>
    <w:rsid w:val="000577AE"/>
    <w:rsid w:val="000577B6"/>
    <w:rsid w:val="00057D00"/>
    <w:rsid w:val="0006249D"/>
    <w:rsid w:val="00062B15"/>
    <w:rsid w:val="000640E1"/>
    <w:rsid w:val="00064AF9"/>
    <w:rsid w:val="000719E5"/>
    <w:rsid w:val="000720E8"/>
    <w:rsid w:val="00072699"/>
    <w:rsid w:val="000729A6"/>
    <w:rsid w:val="000734C6"/>
    <w:rsid w:val="00076B97"/>
    <w:rsid w:val="00076DAB"/>
    <w:rsid w:val="00077D88"/>
    <w:rsid w:val="000805F4"/>
    <w:rsid w:val="00084538"/>
    <w:rsid w:val="0008646F"/>
    <w:rsid w:val="000865EF"/>
    <w:rsid w:val="00090F43"/>
    <w:rsid w:val="00093F70"/>
    <w:rsid w:val="00095E09"/>
    <w:rsid w:val="00097CA1"/>
    <w:rsid w:val="000A109B"/>
    <w:rsid w:val="000A1CCE"/>
    <w:rsid w:val="000A73DD"/>
    <w:rsid w:val="000A74C7"/>
    <w:rsid w:val="000B0B85"/>
    <w:rsid w:val="000B1D7E"/>
    <w:rsid w:val="000B5BF2"/>
    <w:rsid w:val="000B78B6"/>
    <w:rsid w:val="000C3548"/>
    <w:rsid w:val="000C59C1"/>
    <w:rsid w:val="000C5AE1"/>
    <w:rsid w:val="000C66CA"/>
    <w:rsid w:val="000C76F3"/>
    <w:rsid w:val="000C788E"/>
    <w:rsid w:val="000D1B26"/>
    <w:rsid w:val="000D3B05"/>
    <w:rsid w:val="000D3C15"/>
    <w:rsid w:val="000D741C"/>
    <w:rsid w:val="000D7B84"/>
    <w:rsid w:val="000E063D"/>
    <w:rsid w:val="000E46E9"/>
    <w:rsid w:val="000E573B"/>
    <w:rsid w:val="000E6850"/>
    <w:rsid w:val="000F1444"/>
    <w:rsid w:val="000F2D36"/>
    <w:rsid w:val="000F34C8"/>
    <w:rsid w:val="000F427D"/>
    <w:rsid w:val="001007F9"/>
    <w:rsid w:val="001036E5"/>
    <w:rsid w:val="001039F4"/>
    <w:rsid w:val="00107821"/>
    <w:rsid w:val="00110F6E"/>
    <w:rsid w:val="001134C9"/>
    <w:rsid w:val="00113F2A"/>
    <w:rsid w:val="00114088"/>
    <w:rsid w:val="0011565E"/>
    <w:rsid w:val="00115B3C"/>
    <w:rsid w:val="00120EB2"/>
    <w:rsid w:val="0012170B"/>
    <w:rsid w:val="0012284D"/>
    <w:rsid w:val="00122ED0"/>
    <w:rsid w:val="001235B9"/>
    <w:rsid w:val="00123FAA"/>
    <w:rsid w:val="001247E7"/>
    <w:rsid w:val="00125EDF"/>
    <w:rsid w:val="00130DD0"/>
    <w:rsid w:val="0013191D"/>
    <w:rsid w:val="00132A77"/>
    <w:rsid w:val="00134E4A"/>
    <w:rsid w:val="0013717D"/>
    <w:rsid w:val="00140473"/>
    <w:rsid w:val="00140DBA"/>
    <w:rsid w:val="00141B52"/>
    <w:rsid w:val="0014219A"/>
    <w:rsid w:val="001431D4"/>
    <w:rsid w:val="0014321C"/>
    <w:rsid w:val="00143633"/>
    <w:rsid w:val="00143F43"/>
    <w:rsid w:val="00145A17"/>
    <w:rsid w:val="00145B68"/>
    <w:rsid w:val="00146905"/>
    <w:rsid w:val="0015227A"/>
    <w:rsid w:val="001541B3"/>
    <w:rsid w:val="001571E2"/>
    <w:rsid w:val="001574C9"/>
    <w:rsid w:val="001575AC"/>
    <w:rsid w:val="00161862"/>
    <w:rsid w:val="00162C97"/>
    <w:rsid w:val="001630D5"/>
    <w:rsid w:val="00163CD6"/>
    <w:rsid w:val="00164ED3"/>
    <w:rsid w:val="001662F8"/>
    <w:rsid w:val="00166CB1"/>
    <w:rsid w:val="001703DB"/>
    <w:rsid w:val="00173EC7"/>
    <w:rsid w:val="001754A2"/>
    <w:rsid w:val="00176858"/>
    <w:rsid w:val="00176923"/>
    <w:rsid w:val="00177373"/>
    <w:rsid w:val="00177735"/>
    <w:rsid w:val="00181053"/>
    <w:rsid w:val="001843C3"/>
    <w:rsid w:val="00185572"/>
    <w:rsid w:val="00185780"/>
    <w:rsid w:val="00186910"/>
    <w:rsid w:val="00187D3F"/>
    <w:rsid w:val="001913F2"/>
    <w:rsid w:val="00192754"/>
    <w:rsid w:val="00196D3F"/>
    <w:rsid w:val="001A477F"/>
    <w:rsid w:val="001A6DEA"/>
    <w:rsid w:val="001B0046"/>
    <w:rsid w:val="001B0171"/>
    <w:rsid w:val="001B1CDE"/>
    <w:rsid w:val="001B1D7D"/>
    <w:rsid w:val="001B3AB2"/>
    <w:rsid w:val="001B40AF"/>
    <w:rsid w:val="001B4F91"/>
    <w:rsid w:val="001B67E2"/>
    <w:rsid w:val="001B72DA"/>
    <w:rsid w:val="001B7CB3"/>
    <w:rsid w:val="001C0076"/>
    <w:rsid w:val="001C058C"/>
    <w:rsid w:val="001C0FD3"/>
    <w:rsid w:val="001C2BC1"/>
    <w:rsid w:val="001C4293"/>
    <w:rsid w:val="001C496C"/>
    <w:rsid w:val="001C5965"/>
    <w:rsid w:val="001C6DC7"/>
    <w:rsid w:val="001C6FDD"/>
    <w:rsid w:val="001D0778"/>
    <w:rsid w:val="001D1392"/>
    <w:rsid w:val="001D2BF7"/>
    <w:rsid w:val="001D3121"/>
    <w:rsid w:val="001D5678"/>
    <w:rsid w:val="001D72A9"/>
    <w:rsid w:val="001D7876"/>
    <w:rsid w:val="001D7FD0"/>
    <w:rsid w:val="001E1C0B"/>
    <w:rsid w:val="001E2633"/>
    <w:rsid w:val="001E2783"/>
    <w:rsid w:val="001E7863"/>
    <w:rsid w:val="001F0E2A"/>
    <w:rsid w:val="001F200F"/>
    <w:rsid w:val="001F3E7A"/>
    <w:rsid w:val="0020206C"/>
    <w:rsid w:val="0020271E"/>
    <w:rsid w:val="002031B8"/>
    <w:rsid w:val="002041AF"/>
    <w:rsid w:val="00204998"/>
    <w:rsid w:val="0020725C"/>
    <w:rsid w:val="00207CB0"/>
    <w:rsid w:val="00210430"/>
    <w:rsid w:val="00210EAB"/>
    <w:rsid w:val="002114A6"/>
    <w:rsid w:val="002117F7"/>
    <w:rsid w:val="00214C9C"/>
    <w:rsid w:val="002161BE"/>
    <w:rsid w:val="00216223"/>
    <w:rsid w:val="00217DCE"/>
    <w:rsid w:val="002219BD"/>
    <w:rsid w:val="00222724"/>
    <w:rsid w:val="00222E24"/>
    <w:rsid w:val="00222FFF"/>
    <w:rsid w:val="00226588"/>
    <w:rsid w:val="00226B82"/>
    <w:rsid w:val="00227604"/>
    <w:rsid w:val="00233230"/>
    <w:rsid w:val="00235F5A"/>
    <w:rsid w:val="00236362"/>
    <w:rsid w:val="00236937"/>
    <w:rsid w:val="00241C71"/>
    <w:rsid w:val="00244590"/>
    <w:rsid w:val="00245D45"/>
    <w:rsid w:val="00246A81"/>
    <w:rsid w:val="0024794E"/>
    <w:rsid w:val="00247CF0"/>
    <w:rsid w:val="002512C1"/>
    <w:rsid w:val="00251B27"/>
    <w:rsid w:val="0025317D"/>
    <w:rsid w:val="0025366C"/>
    <w:rsid w:val="00256443"/>
    <w:rsid w:val="002600F7"/>
    <w:rsid w:val="00260FB3"/>
    <w:rsid w:val="0026361C"/>
    <w:rsid w:val="00263796"/>
    <w:rsid w:val="00263BA2"/>
    <w:rsid w:val="00263C13"/>
    <w:rsid w:val="00263D71"/>
    <w:rsid w:val="0026573C"/>
    <w:rsid w:val="00266B71"/>
    <w:rsid w:val="00267C30"/>
    <w:rsid w:val="002713E2"/>
    <w:rsid w:val="002743C2"/>
    <w:rsid w:val="00276526"/>
    <w:rsid w:val="00280A70"/>
    <w:rsid w:val="00280A9D"/>
    <w:rsid w:val="002822AB"/>
    <w:rsid w:val="00282B6E"/>
    <w:rsid w:val="002845EB"/>
    <w:rsid w:val="00285D0F"/>
    <w:rsid w:val="00292684"/>
    <w:rsid w:val="00292A31"/>
    <w:rsid w:val="002945B2"/>
    <w:rsid w:val="002948C1"/>
    <w:rsid w:val="00294DDD"/>
    <w:rsid w:val="00294FBD"/>
    <w:rsid w:val="00295051"/>
    <w:rsid w:val="002A12A1"/>
    <w:rsid w:val="002A32AD"/>
    <w:rsid w:val="002A43ED"/>
    <w:rsid w:val="002A6845"/>
    <w:rsid w:val="002B1F9C"/>
    <w:rsid w:val="002B231F"/>
    <w:rsid w:val="002B51FA"/>
    <w:rsid w:val="002B7A2B"/>
    <w:rsid w:val="002C033A"/>
    <w:rsid w:val="002C05F1"/>
    <w:rsid w:val="002C10DF"/>
    <w:rsid w:val="002C115D"/>
    <w:rsid w:val="002C2513"/>
    <w:rsid w:val="002C5862"/>
    <w:rsid w:val="002D146F"/>
    <w:rsid w:val="002D5487"/>
    <w:rsid w:val="002D5D97"/>
    <w:rsid w:val="002D64D1"/>
    <w:rsid w:val="002E01EC"/>
    <w:rsid w:val="002E0874"/>
    <w:rsid w:val="002E09A3"/>
    <w:rsid w:val="002E107E"/>
    <w:rsid w:val="002E3252"/>
    <w:rsid w:val="002F16EB"/>
    <w:rsid w:val="002F2B7B"/>
    <w:rsid w:val="002F3FF7"/>
    <w:rsid w:val="002F420B"/>
    <w:rsid w:val="002F5D75"/>
    <w:rsid w:val="0030169F"/>
    <w:rsid w:val="00301A35"/>
    <w:rsid w:val="00301D7F"/>
    <w:rsid w:val="00301F1D"/>
    <w:rsid w:val="003036CE"/>
    <w:rsid w:val="00304C76"/>
    <w:rsid w:val="003057B2"/>
    <w:rsid w:val="00310DD0"/>
    <w:rsid w:val="00310FC4"/>
    <w:rsid w:val="00311DF3"/>
    <w:rsid w:val="003121E8"/>
    <w:rsid w:val="003124C7"/>
    <w:rsid w:val="003125F7"/>
    <w:rsid w:val="00315E01"/>
    <w:rsid w:val="003166CE"/>
    <w:rsid w:val="0031742D"/>
    <w:rsid w:val="00317672"/>
    <w:rsid w:val="00320F5E"/>
    <w:rsid w:val="00320F78"/>
    <w:rsid w:val="00322912"/>
    <w:rsid w:val="0032353D"/>
    <w:rsid w:val="00324131"/>
    <w:rsid w:val="00327A52"/>
    <w:rsid w:val="00327D75"/>
    <w:rsid w:val="003324D6"/>
    <w:rsid w:val="00333967"/>
    <w:rsid w:val="00333B35"/>
    <w:rsid w:val="003344B1"/>
    <w:rsid w:val="003346DA"/>
    <w:rsid w:val="0033486E"/>
    <w:rsid w:val="00334C06"/>
    <w:rsid w:val="00336C77"/>
    <w:rsid w:val="003402C1"/>
    <w:rsid w:val="00340622"/>
    <w:rsid w:val="003434D1"/>
    <w:rsid w:val="003503B0"/>
    <w:rsid w:val="0035260E"/>
    <w:rsid w:val="003543C9"/>
    <w:rsid w:val="00354816"/>
    <w:rsid w:val="00354E10"/>
    <w:rsid w:val="00356DA3"/>
    <w:rsid w:val="003606E1"/>
    <w:rsid w:val="003616CC"/>
    <w:rsid w:val="00363CE4"/>
    <w:rsid w:val="0036524C"/>
    <w:rsid w:val="0036737E"/>
    <w:rsid w:val="0037151F"/>
    <w:rsid w:val="00374D8B"/>
    <w:rsid w:val="003755AF"/>
    <w:rsid w:val="003762FC"/>
    <w:rsid w:val="003764EF"/>
    <w:rsid w:val="00376E73"/>
    <w:rsid w:val="00377599"/>
    <w:rsid w:val="00377A35"/>
    <w:rsid w:val="00377C29"/>
    <w:rsid w:val="003800D0"/>
    <w:rsid w:val="003841A3"/>
    <w:rsid w:val="003843B6"/>
    <w:rsid w:val="0038623B"/>
    <w:rsid w:val="00386D1E"/>
    <w:rsid w:val="00387AA9"/>
    <w:rsid w:val="003916D6"/>
    <w:rsid w:val="00391BD4"/>
    <w:rsid w:val="00392B55"/>
    <w:rsid w:val="003955EF"/>
    <w:rsid w:val="0039712F"/>
    <w:rsid w:val="003A0E52"/>
    <w:rsid w:val="003A409B"/>
    <w:rsid w:val="003A52F4"/>
    <w:rsid w:val="003A7099"/>
    <w:rsid w:val="003A736A"/>
    <w:rsid w:val="003A7900"/>
    <w:rsid w:val="003A792A"/>
    <w:rsid w:val="003B1379"/>
    <w:rsid w:val="003B19CF"/>
    <w:rsid w:val="003B2E27"/>
    <w:rsid w:val="003B2EDC"/>
    <w:rsid w:val="003B34E6"/>
    <w:rsid w:val="003B3761"/>
    <w:rsid w:val="003B4635"/>
    <w:rsid w:val="003B4923"/>
    <w:rsid w:val="003B6B6F"/>
    <w:rsid w:val="003C0B05"/>
    <w:rsid w:val="003C275A"/>
    <w:rsid w:val="003C3203"/>
    <w:rsid w:val="003C67F3"/>
    <w:rsid w:val="003C6C4D"/>
    <w:rsid w:val="003D0920"/>
    <w:rsid w:val="003D2591"/>
    <w:rsid w:val="003D34F8"/>
    <w:rsid w:val="003D351E"/>
    <w:rsid w:val="003D4339"/>
    <w:rsid w:val="003D5C41"/>
    <w:rsid w:val="003D6AE7"/>
    <w:rsid w:val="003D6B3F"/>
    <w:rsid w:val="003D74FC"/>
    <w:rsid w:val="003E27AE"/>
    <w:rsid w:val="003E4620"/>
    <w:rsid w:val="003E6D82"/>
    <w:rsid w:val="003E768C"/>
    <w:rsid w:val="003F0FE7"/>
    <w:rsid w:val="003F14B0"/>
    <w:rsid w:val="003F1540"/>
    <w:rsid w:val="003F31BC"/>
    <w:rsid w:val="003F380E"/>
    <w:rsid w:val="003F6576"/>
    <w:rsid w:val="003F7E5E"/>
    <w:rsid w:val="004008CC"/>
    <w:rsid w:val="00402AD9"/>
    <w:rsid w:val="00403DD3"/>
    <w:rsid w:val="0040507C"/>
    <w:rsid w:val="004067A9"/>
    <w:rsid w:val="004069EA"/>
    <w:rsid w:val="004106BE"/>
    <w:rsid w:val="0041130D"/>
    <w:rsid w:val="00411792"/>
    <w:rsid w:val="004205F9"/>
    <w:rsid w:val="004213A3"/>
    <w:rsid w:val="00421DB5"/>
    <w:rsid w:val="00422901"/>
    <w:rsid w:val="004241F0"/>
    <w:rsid w:val="004250D1"/>
    <w:rsid w:val="004268F4"/>
    <w:rsid w:val="00427326"/>
    <w:rsid w:val="004314AE"/>
    <w:rsid w:val="00431A7A"/>
    <w:rsid w:val="00432D54"/>
    <w:rsid w:val="0043536D"/>
    <w:rsid w:val="00436AA8"/>
    <w:rsid w:val="00443993"/>
    <w:rsid w:val="004453B7"/>
    <w:rsid w:val="00445743"/>
    <w:rsid w:val="00445F5C"/>
    <w:rsid w:val="00447648"/>
    <w:rsid w:val="00450459"/>
    <w:rsid w:val="00451B71"/>
    <w:rsid w:val="00452019"/>
    <w:rsid w:val="00452071"/>
    <w:rsid w:val="00453B4E"/>
    <w:rsid w:val="0045486A"/>
    <w:rsid w:val="00454949"/>
    <w:rsid w:val="0045619A"/>
    <w:rsid w:val="004565AF"/>
    <w:rsid w:val="004606BC"/>
    <w:rsid w:val="0046188B"/>
    <w:rsid w:val="00462DE7"/>
    <w:rsid w:val="00462FF6"/>
    <w:rsid w:val="00463186"/>
    <w:rsid w:val="00466C67"/>
    <w:rsid w:val="004736E0"/>
    <w:rsid w:val="00473B22"/>
    <w:rsid w:val="00473F56"/>
    <w:rsid w:val="004753DE"/>
    <w:rsid w:val="004761B2"/>
    <w:rsid w:val="00476E65"/>
    <w:rsid w:val="0047719B"/>
    <w:rsid w:val="004776E6"/>
    <w:rsid w:val="004839EA"/>
    <w:rsid w:val="0048417C"/>
    <w:rsid w:val="00484440"/>
    <w:rsid w:val="0048468D"/>
    <w:rsid w:val="00490451"/>
    <w:rsid w:val="00490499"/>
    <w:rsid w:val="00490B22"/>
    <w:rsid w:val="004914B6"/>
    <w:rsid w:val="00491C0F"/>
    <w:rsid w:val="00491E7D"/>
    <w:rsid w:val="00492F6B"/>
    <w:rsid w:val="004952CB"/>
    <w:rsid w:val="00495C1B"/>
    <w:rsid w:val="00495D20"/>
    <w:rsid w:val="004965DD"/>
    <w:rsid w:val="004A05DB"/>
    <w:rsid w:val="004A23BA"/>
    <w:rsid w:val="004A3547"/>
    <w:rsid w:val="004A42A9"/>
    <w:rsid w:val="004A4B54"/>
    <w:rsid w:val="004A6B06"/>
    <w:rsid w:val="004A73FF"/>
    <w:rsid w:val="004A7D99"/>
    <w:rsid w:val="004B0927"/>
    <w:rsid w:val="004B1FAB"/>
    <w:rsid w:val="004B32B3"/>
    <w:rsid w:val="004B3679"/>
    <w:rsid w:val="004B39E3"/>
    <w:rsid w:val="004B3A4B"/>
    <w:rsid w:val="004B60F4"/>
    <w:rsid w:val="004B6833"/>
    <w:rsid w:val="004C0E72"/>
    <w:rsid w:val="004C1283"/>
    <w:rsid w:val="004C1398"/>
    <w:rsid w:val="004C3883"/>
    <w:rsid w:val="004C3CB0"/>
    <w:rsid w:val="004C46E8"/>
    <w:rsid w:val="004C656F"/>
    <w:rsid w:val="004C65D4"/>
    <w:rsid w:val="004C6B80"/>
    <w:rsid w:val="004D0F5F"/>
    <w:rsid w:val="004D3230"/>
    <w:rsid w:val="004D3608"/>
    <w:rsid w:val="004D3A8F"/>
    <w:rsid w:val="004D3B69"/>
    <w:rsid w:val="004D51A1"/>
    <w:rsid w:val="004D6860"/>
    <w:rsid w:val="004D70EF"/>
    <w:rsid w:val="004D7B15"/>
    <w:rsid w:val="004E0102"/>
    <w:rsid w:val="004E0C08"/>
    <w:rsid w:val="004E285A"/>
    <w:rsid w:val="004E3B6C"/>
    <w:rsid w:val="004E53D4"/>
    <w:rsid w:val="004E5B5A"/>
    <w:rsid w:val="004E5F01"/>
    <w:rsid w:val="004F25FD"/>
    <w:rsid w:val="004F3D08"/>
    <w:rsid w:val="004F43B2"/>
    <w:rsid w:val="004F4F3B"/>
    <w:rsid w:val="004F4F66"/>
    <w:rsid w:val="004F7124"/>
    <w:rsid w:val="00500D59"/>
    <w:rsid w:val="00502431"/>
    <w:rsid w:val="005036FC"/>
    <w:rsid w:val="00503D61"/>
    <w:rsid w:val="005063FE"/>
    <w:rsid w:val="00506492"/>
    <w:rsid w:val="0050677A"/>
    <w:rsid w:val="0051103D"/>
    <w:rsid w:val="00513444"/>
    <w:rsid w:val="0051361B"/>
    <w:rsid w:val="00515987"/>
    <w:rsid w:val="00515E0E"/>
    <w:rsid w:val="00516F43"/>
    <w:rsid w:val="005200D8"/>
    <w:rsid w:val="00521CD6"/>
    <w:rsid w:val="0052232D"/>
    <w:rsid w:val="00522B00"/>
    <w:rsid w:val="00523E21"/>
    <w:rsid w:val="005242EA"/>
    <w:rsid w:val="00524852"/>
    <w:rsid w:val="00525F91"/>
    <w:rsid w:val="00533C27"/>
    <w:rsid w:val="0054052C"/>
    <w:rsid w:val="00540BF4"/>
    <w:rsid w:val="005458FA"/>
    <w:rsid w:val="0054797B"/>
    <w:rsid w:val="005479CA"/>
    <w:rsid w:val="005502CF"/>
    <w:rsid w:val="00550494"/>
    <w:rsid w:val="005511E3"/>
    <w:rsid w:val="005543B8"/>
    <w:rsid w:val="00556184"/>
    <w:rsid w:val="005579CA"/>
    <w:rsid w:val="005608CD"/>
    <w:rsid w:val="005657BD"/>
    <w:rsid w:val="00565933"/>
    <w:rsid w:val="00565F28"/>
    <w:rsid w:val="0057008F"/>
    <w:rsid w:val="00570C0F"/>
    <w:rsid w:val="00571A9F"/>
    <w:rsid w:val="00575727"/>
    <w:rsid w:val="005764C5"/>
    <w:rsid w:val="00581C58"/>
    <w:rsid w:val="00581D77"/>
    <w:rsid w:val="00584F27"/>
    <w:rsid w:val="0058504F"/>
    <w:rsid w:val="00585618"/>
    <w:rsid w:val="00586CD8"/>
    <w:rsid w:val="005875D9"/>
    <w:rsid w:val="00590DFB"/>
    <w:rsid w:val="00592193"/>
    <w:rsid w:val="00593B38"/>
    <w:rsid w:val="00595EB4"/>
    <w:rsid w:val="00595FA6"/>
    <w:rsid w:val="005960D1"/>
    <w:rsid w:val="00596841"/>
    <w:rsid w:val="005A12BE"/>
    <w:rsid w:val="005A2346"/>
    <w:rsid w:val="005A2876"/>
    <w:rsid w:val="005A2C45"/>
    <w:rsid w:val="005A3A31"/>
    <w:rsid w:val="005A3BF1"/>
    <w:rsid w:val="005A3CC8"/>
    <w:rsid w:val="005A3DC1"/>
    <w:rsid w:val="005B04A3"/>
    <w:rsid w:val="005B15B9"/>
    <w:rsid w:val="005B1EAE"/>
    <w:rsid w:val="005B2DA6"/>
    <w:rsid w:val="005B3BFD"/>
    <w:rsid w:val="005B4397"/>
    <w:rsid w:val="005B469D"/>
    <w:rsid w:val="005B6770"/>
    <w:rsid w:val="005C1923"/>
    <w:rsid w:val="005C1AE0"/>
    <w:rsid w:val="005C1C09"/>
    <w:rsid w:val="005C27BA"/>
    <w:rsid w:val="005C29C5"/>
    <w:rsid w:val="005C44FD"/>
    <w:rsid w:val="005C5834"/>
    <w:rsid w:val="005D4505"/>
    <w:rsid w:val="005D483A"/>
    <w:rsid w:val="005D5AC3"/>
    <w:rsid w:val="005D728F"/>
    <w:rsid w:val="005E1326"/>
    <w:rsid w:val="005E19C4"/>
    <w:rsid w:val="005E2D06"/>
    <w:rsid w:val="005E47A0"/>
    <w:rsid w:val="005E5053"/>
    <w:rsid w:val="005E580E"/>
    <w:rsid w:val="005F0F6A"/>
    <w:rsid w:val="005F18E1"/>
    <w:rsid w:val="005F30A5"/>
    <w:rsid w:val="005F30CB"/>
    <w:rsid w:val="005F3384"/>
    <w:rsid w:val="005F63B5"/>
    <w:rsid w:val="005F6A44"/>
    <w:rsid w:val="005F6C2C"/>
    <w:rsid w:val="00600678"/>
    <w:rsid w:val="00600B0B"/>
    <w:rsid w:val="00600FEF"/>
    <w:rsid w:val="00603A92"/>
    <w:rsid w:val="00605907"/>
    <w:rsid w:val="006102B8"/>
    <w:rsid w:val="00611666"/>
    <w:rsid w:val="00612BE0"/>
    <w:rsid w:val="00612D1D"/>
    <w:rsid w:val="0061427E"/>
    <w:rsid w:val="0061719A"/>
    <w:rsid w:val="00620083"/>
    <w:rsid w:val="006202AC"/>
    <w:rsid w:val="0062149D"/>
    <w:rsid w:val="00621E17"/>
    <w:rsid w:val="00622D71"/>
    <w:rsid w:val="00624795"/>
    <w:rsid w:val="00626473"/>
    <w:rsid w:val="00627492"/>
    <w:rsid w:val="0063117B"/>
    <w:rsid w:val="00631C11"/>
    <w:rsid w:val="0063471B"/>
    <w:rsid w:val="00635D07"/>
    <w:rsid w:val="0063621E"/>
    <w:rsid w:val="00637031"/>
    <w:rsid w:val="00641CAD"/>
    <w:rsid w:val="0064289E"/>
    <w:rsid w:val="0064295D"/>
    <w:rsid w:val="006449F7"/>
    <w:rsid w:val="00646971"/>
    <w:rsid w:val="00650270"/>
    <w:rsid w:val="00650919"/>
    <w:rsid w:val="006515B4"/>
    <w:rsid w:val="006531F5"/>
    <w:rsid w:val="00655C39"/>
    <w:rsid w:val="00655F21"/>
    <w:rsid w:val="006606BD"/>
    <w:rsid w:val="006608FC"/>
    <w:rsid w:val="00660E45"/>
    <w:rsid w:val="00661B37"/>
    <w:rsid w:val="00662650"/>
    <w:rsid w:val="00663A2A"/>
    <w:rsid w:val="0066521B"/>
    <w:rsid w:val="00666846"/>
    <w:rsid w:val="006719A4"/>
    <w:rsid w:val="006727D8"/>
    <w:rsid w:val="00676905"/>
    <w:rsid w:val="00676AC3"/>
    <w:rsid w:val="00680C28"/>
    <w:rsid w:val="00683EDC"/>
    <w:rsid w:val="00683EDE"/>
    <w:rsid w:val="006851B0"/>
    <w:rsid w:val="006852CF"/>
    <w:rsid w:val="006872B8"/>
    <w:rsid w:val="00687772"/>
    <w:rsid w:val="00687CCD"/>
    <w:rsid w:val="0069017E"/>
    <w:rsid w:val="00690541"/>
    <w:rsid w:val="00690BA1"/>
    <w:rsid w:val="00692B09"/>
    <w:rsid w:val="00695688"/>
    <w:rsid w:val="00695E79"/>
    <w:rsid w:val="006A495A"/>
    <w:rsid w:val="006A6DAB"/>
    <w:rsid w:val="006B12C0"/>
    <w:rsid w:val="006B4661"/>
    <w:rsid w:val="006B4FEE"/>
    <w:rsid w:val="006B7BBE"/>
    <w:rsid w:val="006B7DCD"/>
    <w:rsid w:val="006B7E86"/>
    <w:rsid w:val="006C27A4"/>
    <w:rsid w:val="006C28AF"/>
    <w:rsid w:val="006C28F1"/>
    <w:rsid w:val="006C4C28"/>
    <w:rsid w:val="006C4D4C"/>
    <w:rsid w:val="006C52A8"/>
    <w:rsid w:val="006C55EE"/>
    <w:rsid w:val="006C5E36"/>
    <w:rsid w:val="006C766D"/>
    <w:rsid w:val="006D02AF"/>
    <w:rsid w:val="006D1459"/>
    <w:rsid w:val="006D2781"/>
    <w:rsid w:val="006D2F1B"/>
    <w:rsid w:val="006D4FC7"/>
    <w:rsid w:val="006D6EC9"/>
    <w:rsid w:val="006D7BB4"/>
    <w:rsid w:val="006E2CBE"/>
    <w:rsid w:val="006E4563"/>
    <w:rsid w:val="006F0BC7"/>
    <w:rsid w:val="006F3D0F"/>
    <w:rsid w:val="006F42DF"/>
    <w:rsid w:val="006F5E5B"/>
    <w:rsid w:val="006F6C9B"/>
    <w:rsid w:val="0070098A"/>
    <w:rsid w:val="00701BFB"/>
    <w:rsid w:val="00703910"/>
    <w:rsid w:val="00703C8C"/>
    <w:rsid w:val="0070478E"/>
    <w:rsid w:val="00705AD3"/>
    <w:rsid w:val="00706BB8"/>
    <w:rsid w:val="00706BC9"/>
    <w:rsid w:val="007109C3"/>
    <w:rsid w:val="00710DE6"/>
    <w:rsid w:val="00711DE1"/>
    <w:rsid w:val="00714D2A"/>
    <w:rsid w:val="00715107"/>
    <w:rsid w:val="00715174"/>
    <w:rsid w:val="00715E3C"/>
    <w:rsid w:val="007203DA"/>
    <w:rsid w:val="00721088"/>
    <w:rsid w:val="007229FD"/>
    <w:rsid w:val="00723B97"/>
    <w:rsid w:val="00724689"/>
    <w:rsid w:val="0072506D"/>
    <w:rsid w:val="007270B6"/>
    <w:rsid w:val="007321BD"/>
    <w:rsid w:val="0073229B"/>
    <w:rsid w:val="00734590"/>
    <w:rsid w:val="007348E1"/>
    <w:rsid w:val="00737FF1"/>
    <w:rsid w:val="00741F3D"/>
    <w:rsid w:val="00741F6B"/>
    <w:rsid w:val="0074255D"/>
    <w:rsid w:val="00743BB8"/>
    <w:rsid w:val="00744DB5"/>
    <w:rsid w:val="00746E5B"/>
    <w:rsid w:val="00750F4E"/>
    <w:rsid w:val="0075385B"/>
    <w:rsid w:val="007552B4"/>
    <w:rsid w:val="007554F7"/>
    <w:rsid w:val="00755591"/>
    <w:rsid w:val="00755ADF"/>
    <w:rsid w:val="007560FF"/>
    <w:rsid w:val="0075679E"/>
    <w:rsid w:val="00757555"/>
    <w:rsid w:val="00757D4E"/>
    <w:rsid w:val="007603EF"/>
    <w:rsid w:val="00760AA8"/>
    <w:rsid w:val="00760D69"/>
    <w:rsid w:val="0076180A"/>
    <w:rsid w:val="0076255C"/>
    <w:rsid w:val="00764E83"/>
    <w:rsid w:val="0076562A"/>
    <w:rsid w:val="00766A26"/>
    <w:rsid w:val="0077075E"/>
    <w:rsid w:val="0077130E"/>
    <w:rsid w:val="00773C58"/>
    <w:rsid w:val="0077506F"/>
    <w:rsid w:val="00775B23"/>
    <w:rsid w:val="00775B2C"/>
    <w:rsid w:val="00777EAD"/>
    <w:rsid w:val="00780DCA"/>
    <w:rsid w:val="00780F22"/>
    <w:rsid w:val="007810C9"/>
    <w:rsid w:val="007810EB"/>
    <w:rsid w:val="00781905"/>
    <w:rsid w:val="007839B9"/>
    <w:rsid w:val="00785074"/>
    <w:rsid w:val="007850C8"/>
    <w:rsid w:val="0078564D"/>
    <w:rsid w:val="0078619A"/>
    <w:rsid w:val="007921B9"/>
    <w:rsid w:val="00793643"/>
    <w:rsid w:val="0079570A"/>
    <w:rsid w:val="007973B3"/>
    <w:rsid w:val="00797D45"/>
    <w:rsid w:val="007A19DA"/>
    <w:rsid w:val="007A1A2A"/>
    <w:rsid w:val="007A1A9C"/>
    <w:rsid w:val="007A2E4F"/>
    <w:rsid w:val="007A37DA"/>
    <w:rsid w:val="007A57F1"/>
    <w:rsid w:val="007A6444"/>
    <w:rsid w:val="007A64ED"/>
    <w:rsid w:val="007A7498"/>
    <w:rsid w:val="007A76A7"/>
    <w:rsid w:val="007B4846"/>
    <w:rsid w:val="007B5FDC"/>
    <w:rsid w:val="007B707A"/>
    <w:rsid w:val="007B7E7B"/>
    <w:rsid w:val="007C0095"/>
    <w:rsid w:val="007C1E97"/>
    <w:rsid w:val="007C287E"/>
    <w:rsid w:val="007C36D4"/>
    <w:rsid w:val="007C3E69"/>
    <w:rsid w:val="007C4504"/>
    <w:rsid w:val="007C48B9"/>
    <w:rsid w:val="007C6070"/>
    <w:rsid w:val="007C65D5"/>
    <w:rsid w:val="007C674C"/>
    <w:rsid w:val="007D2313"/>
    <w:rsid w:val="007D3660"/>
    <w:rsid w:val="007D4F5B"/>
    <w:rsid w:val="007D518E"/>
    <w:rsid w:val="007D712E"/>
    <w:rsid w:val="007D71E2"/>
    <w:rsid w:val="007D7A4C"/>
    <w:rsid w:val="007D7D03"/>
    <w:rsid w:val="007E205D"/>
    <w:rsid w:val="007E628A"/>
    <w:rsid w:val="007E634E"/>
    <w:rsid w:val="007E6498"/>
    <w:rsid w:val="007F0790"/>
    <w:rsid w:val="007F1424"/>
    <w:rsid w:val="007F1AAA"/>
    <w:rsid w:val="007F2ADE"/>
    <w:rsid w:val="007F38BD"/>
    <w:rsid w:val="007F4313"/>
    <w:rsid w:val="007F454C"/>
    <w:rsid w:val="007F5DF6"/>
    <w:rsid w:val="007F62EE"/>
    <w:rsid w:val="007F7D08"/>
    <w:rsid w:val="0080146D"/>
    <w:rsid w:val="00801DE5"/>
    <w:rsid w:val="00804812"/>
    <w:rsid w:val="00804976"/>
    <w:rsid w:val="00805CAB"/>
    <w:rsid w:val="00810C54"/>
    <w:rsid w:val="00812950"/>
    <w:rsid w:val="00813511"/>
    <w:rsid w:val="00813774"/>
    <w:rsid w:val="00814A14"/>
    <w:rsid w:val="008166D8"/>
    <w:rsid w:val="00817498"/>
    <w:rsid w:val="00820DAF"/>
    <w:rsid w:val="00820FAD"/>
    <w:rsid w:val="00821580"/>
    <w:rsid w:val="00821B6B"/>
    <w:rsid w:val="008221F0"/>
    <w:rsid w:val="00823EB0"/>
    <w:rsid w:val="00825012"/>
    <w:rsid w:val="008308D0"/>
    <w:rsid w:val="00831CA0"/>
    <w:rsid w:val="0083282C"/>
    <w:rsid w:val="00834064"/>
    <w:rsid w:val="00834BA5"/>
    <w:rsid w:val="00835A24"/>
    <w:rsid w:val="00835D23"/>
    <w:rsid w:val="00836526"/>
    <w:rsid w:val="00836A39"/>
    <w:rsid w:val="00837D11"/>
    <w:rsid w:val="00837D14"/>
    <w:rsid w:val="008401F3"/>
    <w:rsid w:val="00840E6E"/>
    <w:rsid w:val="00843011"/>
    <w:rsid w:val="008504AD"/>
    <w:rsid w:val="0085242E"/>
    <w:rsid w:val="00852459"/>
    <w:rsid w:val="00852575"/>
    <w:rsid w:val="008525C6"/>
    <w:rsid w:val="00852F73"/>
    <w:rsid w:val="00854239"/>
    <w:rsid w:val="00855E62"/>
    <w:rsid w:val="008567D3"/>
    <w:rsid w:val="00856C6D"/>
    <w:rsid w:val="00860EC2"/>
    <w:rsid w:val="00861B85"/>
    <w:rsid w:val="00862337"/>
    <w:rsid w:val="00862C01"/>
    <w:rsid w:val="00866E7E"/>
    <w:rsid w:val="00870A4B"/>
    <w:rsid w:val="008730C0"/>
    <w:rsid w:val="00875663"/>
    <w:rsid w:val="00877389"/>
    <w:rsid w:val="00877EA4"/>
    <w:rsid w:val="00880E46"/>
    <w:rsid w:val="0088144E"/>
    <w:rsid w:val="008814E7"/>
    <w:rsid w:val="0088193E"/>
    <w:rsid w:val="00882296"/>
    <w:rsid w:val="00883CBB"/>
    <w:rsid w:val="00885477"/>
    <w:rsid w:val="008855DD"/>
    <w:rsid w:val="00885DC2"/>
    <w:rsid w:val="008902F2"/>
    <w:rsid w:val="0089041F"/>
    <w:rsid w:val="00891C09"/>
    <w:rsid w:val="00891CC7"/>
    <w:rsid w:val="00892810"/>
    <w:rsid w:val="00894111"/>
    <w:rsid w:val="00897088"/>
    <w:rsid w:val="00897365"/>
    <w:rsid w:val="008A0CD0"/>
    <w:rsid w:val="008A0E0D"/>
    <w:rsid w:val="008A1F1D"/>
    <w:rsid w:val="008A2008"/>
    <w:rsid w:val="008A2535"/>
    <w:rsid w:val="008A30A7"/>
    <w:rsid w:val="008A5F7B"/>
    <w:rsid w:val="008A7463"/>
    <w:rsid w:val="008B750D"/>
    <w:rsid w:val="008B7972"/>
    <w:rsid w:val="008C16F6"/>
    <w:rsid w:val="008C5B12"/>
    <w:rsid w:val="008C66F1"/>
    <w:rsid w:val="008D0607"/>
    <w:rsid w:val="008D1EEA"/>
    <w:rsid w:val="008D267C"/>
    <w:rsid w:val="008D3475"/>
    <w:rsid w:val="008D3A62"/>
    <w:rsid w:val="008D52F8"/>
    <w:rsid w:val="008E0078"/>
    <w:rsid w:val="008E1F14"/>
    <w:rsid w:val="008E2B51"/>
    <w:rsid w:val="008E4A65"/>
    <w:rsid w:val="008E4CA3"/>
    <w:rsid w:val="008E5B84"/>
    <w:rsid w:val="008E7F0A"/>
    <w:rsid w:val="008F026E"/>
    <w:rsid w:val="008F2D84"/>
    <w:rsid w:val="008F4DD4"/>
    <w:rsid w:val="008F664E"/>
    <w:rsid w:val="008F6CD0"/>
    <w:rsid w:val="008F73EF"/>
    <w:rsid w:val="008F7590"/>
    <w:rsid w:val="008F7A72"/>
    <w:rsid w:val="008F7D7B"/>
    <w:rsid w:val="009018B6"/>
    <w:rsid w:val="009028A5"/>
    <w:rsid w:val="00902CCD"/>
    <w:rsid w:val="00903080"/>
    <w:rsid w:val="00903660"/>
    <w:rsid w:val="00905809"/>
    <w:rsid w:val="00905B1B"/>
    <w:rsid w:val="009066FE"/>
    <w:rsid w:val="009077C6"/>
    <w:rsid w:val="0091056D"/>
    <w:rsid w:val="0091153F"/>
    <w:rsid w:val="00912B54"/>
    <w:rsid w:val="00913E7E"/>
    <w:rsid w:val="009211EA"/>
    <w:rsid w:val="00922E21"/>
    <w:rsid w:val="00922F6F"/>
    <w:rsid w:val="009237E5"/>
    <w:rsid w:val="0092397B"/>
    <w:rsid w:val="00926D13"/>
    <w:rsid w:val="00930FA5"/>
    <w:rsid w:val="0093184F"/>
    <w:rsid w:val="00932AB6"/>
    <w:rsid w:val="009344D5"/>
    <w:rsid w:val="00934905"/>
    <w:rsid w:val="00934C46"/>
    <w:rsid w:val="00934CD7"/>
    <w:rsid w:val="00942749"/>
    <w:rsid w:val="00942D67"/>
    <w:rsid w:val="00944CCC"/>
    <w:rsid w:val="009472AC"/>
    <w:rsid w:val="00951421"/>
    <w:rsid w:val="00952B37"/>
    <w:rsid w:val="00954655"/>
    <w:rsid w:val="009548F0"/>
    <w:rsid w:val="009604B0"/>
    <w:rsid w:val="00960CF9"/>
    <w:rsid w:val="00961488"/>
    <w:rsid w:val="009615FC"/>
    <w:rsid w:val="0096166B"/>
    <w:rsid w:val="00964599"/>
    <w:rsid w:val="0096526B"/>
    <w:rsid w:val="009661D9"/>
    <w:rsid w:val="009667E8"/>
    <w:rsid w:val="009678B8"/>
    <w:rsid w:val="00967CBB"/>
    <w:rsid w:val="0097084F"/>
    <w:rsid w:val="00970E54"/>
    <w:rsid w:val="009718E0"/>
    <w:rsid w:val="009723A2"/>
    <w:rsid w:val="00972FC8"/>
    <w:rsid w:val="00973273"/>
    <w:rsid w:val="009748EE"/>
    <w:rsid w:val="00983F1C"/>
    <w:rsid w:val="00984195"/>
    <w:rsid w:val="009843F1"/>
    <w:rsid w:val="00985778"/>
    <w:rsid w:val="0098622E"/>
    <w:rsid w:val="00990296"/>
    <w:rsid w:val="00990DC6"/>
    <w:rsid w:val="00993EBA"/>
    <w:rsid w:val="00995D9F"/>
    <w:rsid w:val="00997E82"/>
    <w:rsid w:val="009A0245"/>
    <w:rsid w:val="009A4476"/>
    <w:rsid w:val="009A47F8"/>
    <w:rsid w:val="009A4AB2"/>
    <w:rsid w:val="009A64A3"/>
    <w:rsid w:val="009A69C7"/>
    <w:rsid w:val="009A79E0"/>
    <w:rsid w:val="009B2F10"/>
    <w:rsid w:val="009B4391"/>
    <w:rsid w:val="009B43B6"/>
    <w:rsid w:val="009B4BC8"/>
    <w:rsid w:val="009B5E28"/>
    <w:rsid w:val="009B6969"/>
    <w:rsid w:val="009C11B5"/>
    <w:rsid w:val="009C24B5"/>
    <w:rsid w:val="009C336B"/>
    <w:rsid w:val="009C36E5"/>
    <w:rsid w:val="009C65CB"/>
    <w:rsid w:val="009D04B3"/>
    <w:rsid w:val="009D5E8A"/>
    <w:rsid w:val="009D6364"/>
    <w:rsid w:val="009D6943"/>
    <w:rsid w:val="009D7862"/>
    <w:rsid w:val="009E0653"/>
    <w:rsid w:val="009E2CA4"/>
    <w:rsid w:val="009E43C1"/>
    <w:rsid w:val="009E5095"/>
    <w:rsid w:val="009E603E"/>
    <w:rsid w:val="009E704F"/>
    <w:rsid w:val="009F04B9"/>
    <w:rsid w:val="009F166D"/>
    <w:rsid w:val="009F29A1"/>
    <w:rsid w:val="009F2BC7"/>
    <w:rsid w:val="009F2F64"/>
    <w:rsid w:val="009F3326"/>
    <w:rsid w:val="009F3854"/>
    <w:rsid w:val="009F54E7"/>
    <w:rsid w:val="009F627F"/>
    <w:rsid w:val="009F7FCB"/>
    <w:rsid w:val="00A008CA"/>
    <w:rsid w:val="00A0163E"/>
    <w:rsid w:val="00A037BD"/>
    <w:rsid w:val="00A03EBC"/>
    <w:rsid w:val="00A04DC6"/>
    <w:rsid w:val="00A05CAB"/>
    <w:rsid w:val="00A076E4"/>
    <w:rsid w:val="00A103A7"/>
    <w:rsid w:val="00A114DC"/>
    <w:rsid w:val="00A157CA"/>
    <w:rsid w:val="00A160CB"/>
    <w:rsid w:val="00A169E4"/>
    <w:rsid w:val="00A1723A"/>
    <w:rsid w:val="00A22FEB"/>
    <w:rsid w:val="00A23D90"/>
    <w:rsid w:val="00A258F5"/>
    <w:rsid w:val="00A25977"/>
    <w:rsid w:val="00A25CD4"/>
    <w:rsid w:val="00A31EFC"/>
    <w:rsid w:val="00A320AA"/>
    <w:rsid w:val="00A35FF7"/>
    <w:rsid w:val="00A4175D"/>
    <w:rsid w:val="00A42223"/>
    <w:rsid w:val="00A434A3"/>
    <w:rsid w:val="00A436A6"/>
    <w:rsid w:val="00A4567A"/>
    <w:rsid w:val="00A46377"/>
    <w:rsid w:val="00A4680C"/>
    <w:rsid w:val="00A474C3"/>
    <w:rsid w:val="00A47EB9"/>
    <w:rsid w:val="00A50F47"/>
    <w:rsid w:val="00A51FBD"/>
    <w:rsid w:val="00A5259C"/>
    <w:rsid w:val="00A5290E"/>
    <w:rsid w:val="00A535B7"/>
    <w:rsid w:val="00A55D54"/>
    <w:rsid w:val="00A57063"/>
    <w:rsid w:val="00A575A2"/>
    <w:rsid w:val="00A60081"/>
    <w:rsid w:val="00A60089"/>
    <w:rsid w:val="00A60ED8"/>
    <w:rsid w:val="00A6356A"/>
    <w:rsid w:val="00A63CA2"/>
    <w:rsid w:val="00A71E40"/>
    <w:rsid w:val="00A73FFB"/>
    <w:rsid w:val="00A7476E"/>
    <w:rsid w:val="00A75392"/>
    <w:rsid w:val="00A776D4"/>
    <w:rsid w:val="00A80C43"/>
    <w:rsid w:val="00A81BFA"/>
    <w:rsid w:val="00A828E4"/>
    <w:rsid w:val="00A85418"/>
    <w:rsid w:val="00A85430"/>
    <w:rsid w:val="00A87416"/>
    <w:rsid w:val="00A87D55"/>
    <w:rsid w:val="00A90D70"/>
    <w:rsid w:val="00A92838"/>
    <w:rsid w:val="00A928F2"/>
    <w:rsid w:val="00A92A1E"/>
    <w:rsid w:val="00A94E18"/>
    <w:rsid w:val="00A95366"/>
    <w:rsid w:val="00A95471"/>
    <w:rsid w:val="00A967FA"/>
    <w:rsid w:val="00AA0C55"/>
    <w:rsid w:val="00AA1FA9"/>
    <w:rsid w:val="00AA2C49"/>
    <w:rsid w:val="00AA4ABF"/>
    <w:rsid w:val="00AA5009"/>
    <w:rsid w:val="00AA50E9"/>
    <w:rsid w:val="00AA6186"/>
    <w:rsid w:val="00AA6916"/>
    <w:rsid w:val="00AB01E2"/>
    <w:rsid w:val="00AB1B1F"/>
    <w:rsid w:val="00AB227A"/>
    <w:rsid w:val="00AB2504"/>
    <w:rsid w:val="00AB2E5D"/>
    <w:rsid w:val="00AB30DC"/>
    <w:rsid w:val="00AB349E"/>
    <w:rsid w:val="00AB35E2"/>
    <w:rsid w:val="00AB567C"/>
    <w:rsid w:val="00AB57E2"/>
    <w:rsid w:val="00AB6D0D"/>
    <w:rsid w:val="00AB7B6D"/>
    <w:rsid w:val="00AC07D5"/>
    <w:rsid w:val="00AC0D64"/>
    <w:rsid w:val="00AC1B2E"/>
    <w:rsid w:val="00AC35BD"/>
    <w:rsid w:val="00AC6995"/>
    <w:rsid w:val="00AC73FA"/>
    <w:rsid w:val="00AC7E8F"/>
    <w:rsid w:val="00AD0B13"/>
    <w:rsid w:val="00AD0D96"/>
    <w:rsid w:val="00AD2BA5"/>
    <w:rsid w:val="00AD2F6B"/>
    <w:rsid w:val="00AD3238"/>
    <w:rsid w:val="00AD3A1C"/>
    <w:rsid w:val="00AD3F81"/>
    <w:rsid w:val="00AD6E0C"/>
    <w:rsid w:val="00AD7AA8"/>
    <w:rsid w:val="00AD7C47"/>
    <w:rsid w:val="00AE1002"/>
    <w:rsid w:val="00AE151F"/>
    <w:rsid w:val="00AE3327"/>
    <w:rsid w:val="00AE3357"/>
    <w:rsid w:val="00AE48DD"/>
    <w:rsid w:val="00AE4CC5"/>
    <w:rsid w:val="00AF18B2"/>
    <w:rsid w:val="00AF3C0C"/>
    <w:rsid w:val="00AF5FB2"/>
    <w:rsid w:val="00AF6AC2"/>
    <w:rsid w:val="00AF741F"/>
    <w:rsid w:val="00AF79B6"/>
    <w:rsid w:val="00AF7B5A"/>
    <w:rsid w:val="00B01621"/>
    <w:rsid w:val="00B040BF"/>
    <w:rsid w:val="00B04590"/>
    <w:rsid w:val="00B04BA9"/>
    <w:rsid w:val="00B05D87"/>
    <w:rsid w:val="00B0698A"/>
    <w:rsid w:val="00B07FE8"/>
    <w:rsid w:val="00B10B96"/>
    <w:rsid w:val="00B116C0"/>
    <w:rsid w:val="00B126B0"/>
    <w:rsid w:val="00B14627"/>
    <w:rsid w:val="00B151A7"/>
    <w:rsid w:val="00B17B0F"/>
    <w:rsid w:val="00B17CE2"/>
    <w:rsid w:val="00B2065A"/>
    <w:rsid w:val="00B2148C"/>
    <w:rsid w:val="00B227FE"/>
    <w:rsid w:val="00B2286A"/>
    <w:rsid w:val="00B23B83"/>
    <w:rsid w:val="00B25481"/>
    <w:rsid w:val="00B2660B"/>
    <w:rsid w:val="00B26BBF"/>
    <w:rsid w:val="00B26CCB"/>
    <w:rsid w:val="00B27D61"/>
    <w:rsid w:val="00B3081D"/>
    <w:rsid w:val="00B31257"/>
    <w:rsid w:val="00B35BA6"/>
    <w:rsid w:val="00B369E0"/>
    <w:rsid w:val="00B3729A"/>
    <w:rsid w:val="00B4077A"/>
    <w:rsid w:val="00B4186D"/>
    <w:rsid w:val="00B4268C"/>
    <w:rsid w:val="00B4330A"/>
    <w:rsid w:val="00B436C2"/>
    <w:rsid w:val="00B45C78"/>
    <w:rsid w:val="00B46AD5"/>
    <w:rsid w:val="00B47A3C"/>
    <w:rsid w:val="00B50991"/>
    <w:rsid w:val="00B51CD7"/>
    <w:rsid w:val="00B532B7"/>
    <w:rsid w:val="00B552E3"/>
    <w:rsid w:val="00B556EE"/>
    <w:rsid w:val="00B557DA"/>
    <w:rsid w:val="00B55818"/>
    <w:rsid w:val="00B55847"/>
    <w:rsid w:val="00B55E9F"/>
    <w:rsid w:val="00B56473"/>
    <w:rsid w:val="00B57341"/>
    <w:rsid w:val="00B6021D"/>
    <w:rsid w:val="00B63835"/>
    <w:rsid w:val="00B63A0F"/>
    <w:rsid w:val="00B6656E"/>
    <w:rsid w:val="00B710A0"/>
    <w:rsid w:val="00B716E0"/>
    <w:rsid w:val="00B72A0C"/>
    <w:rsid w:val="00B76F27"/>
    <w:rsid w:val="00B81260"/>
    <w:rsid w:val="00B81447"/>
    <w:rsid w:val="00B831B3"/>
    <w:rsid w:val="00B8331F"/>
    <w:rsid w:val="00B83384"/>
    <w:rsid w:val="00B83573"/>
    <w:rsid w:val="00B84B4A"/>
    <w:rsid w:val="00B85B4C"/>
    <w:rsid w:val="00B86C68"/>
    <w:rsid w:val="00B962FF"/>
    <w:rsid w:val="00BA0B77"/>
    <w:rsid w:val="00BA0C34"/>
    <w:rsid w:val="00BA0DB2"/>
    <w:rsid w:val="00BA255B"/>
    <w:rsid w:val="00BA5AC9"/>
    <w:rsid w:val="00BA5D7C"/>
    <w:rsid w:val="00BB0B04"/>
    <w:rsid w:val="00BB293C"/>
    <w:rsid w:val="00BB456F"/>
    <w:rsid w:val="00BB4EBE"/>
    <w:rsid w:val="00BC0BE5"/>
    <w:rsid w:val="00BC19B8"/>
    <w:rsid w:val="00BC2BC6"/>
    <w:rsid w:val="00BC3930"/>
    <w:rsid w:val="00BD0CE7"/>
    <w:rsid w:val="00BD1B5E"/>
    <w:rsid w:val="00BD329A"/>
    <w:rsid w:val="00BD5553"/>
    <w:rsid w:val="00BD565F"/>
    <w:rsid w:val="00BD7D90"/>
    <w:rsid w:val="00BE2BAE"/>
    <w:rsid w:val="00BE31EA"/>
    <w:rsid w:val="00BE6437"/>
    <w:rsid w:val="00BE6A72"/>
    <w:rsid w:val="00BE7B65"/>
    <w:rsid w:val="00BF0379"/>
    <w:rsid w:val="00BF2802"/>
    <w:rsid w:val="00BF317E"/>
    <w:rsid w:val="00BF3CC3"/>
    <w:rsid w:val="00BF68CA"/>
    <w:rsid w:val="00BF69FC"/>
    <w:rsid w:val="00BF6A4E"/>
    <w:rsid w:val="00BF7CDC"/>
    <w:rsid w:val="00C00170"/>
    <w:rsid w:val="00C01C0E"/>
    <w:rsid w:val="00C0204E"/>
    <w:rsid w:val="00C03D41"/>
    <w:rsid w:val="00C0687A"/>
    <w:rsid w:val="00C0733C"/>
    <w:rsid w:val="00C106E7"/>
    <w:rsid w:val="00C10C19"/>
    <w:rsid w:val="00C13128"/>
    <w:rsid w:val="00C13510"/>
    <w:rsid w:val="00C14850"/>
    <w:rsid w:val="00C14E67"/>
    <w:rsid w:val="00C167E9"/>
    <w:rsid w:val="00C21013"/>
    <w:rsid w:val="00C2172C"/>
    <w:rsid w:val="00C22525"/>
    <w:rsid w:val="00C22705"/>
    <w:rsid w:val="00C228E8"/>
    <w:rsid w:val="00C2324A"/>
    <w:rsid w:val="00C244CB"/>
    <w:rsid w:val="00C2688E"/>
    <w:rsid w:val="00C26BCE"/>
    <w:rsid w:val="00C270DC"/>
    <w:rsid w:val="00C30C28"/>
    <w:rsid w:val="00C317BC"/>
    <w:rsid w:val="00C31EC8"/>
    <w:rsid w:val="00C333E0"/>
    <w:rsid w:val="00C3523B"/>
    <w:rsid w:val="00C372D0"/>
    <w:rsid w:val="00C379B3"/>
    <w:rsid w:val="00C40462"/>
    <w:rsid w:val="00C40BE0"/>
    <w:rsid w:val="00C4203B"/>
    <w:rsid w:val="00C470EC"/>
    <w:rsid w:val="00C5071B"/>
    <w:rsid w:val="00C50E35"/>
    <w:rsid w:val="00C5239F"/>
    <w:rsid w:val="00C53AF9"/>
    <w:rsid w:val="00C54440"/>
    <w:rsid w:val="00C54E55"/>
    <w:rsid w:val="00C60816"/>
    <w:rsid w:val="00C61BBA"/>
    <w:rsid w:val="00C62ECC"/>
    <w:rsid w:val="00C63E8D"/>
    <w:rsid w:val="00C645D0"/>
    <w:rsid w:val="00C67843"/>
    <w:rsid w:val="00C67E82"/>
    <w:rsid w:val="00C70031"/>
    <w:rsid w:val="00C703DC"/>
    <w:rsid w:val="00C70629"/>
    <w:rsid w:val="00C70CB9"/>
    <w:rsid w:val="00C713F9"/>
    <w:rsid w:val="00C71912"/>
    <w:rsid w:val="00C72AE7"/>
    <w:rsid w:val="00C72FA9"/>
    <w:rsid w:val="00C73569"/>
    <w:rsid w:val="00C74DB6"/>
    <w:rsid w:val="00C7588F"/>
    <w:rsid w:val="00C75C02"/>
    <w:rsid w:val="00C771BF"/>
    <w:rsid w:val="00C77DEE"/>
    <w:rsid w:val="00C8063D"/>
    <w:rsid w:val="00C82F9F"/>
    <w:rsid w:val="00C86566"/>
    <w:rsid w:val="00C907A1"/>
    <w:rsid w:val="00C90C7B"/>
    <w:rsid w:val="00C914E4"/>
    <w:rsid w:val="00C94BF8"/>
    <w:rsid w:val="00C950ED"/>
    <w:rsid w:val="00C95167"/>
    <w:rsid w:val="00C96819"/>
    <w:rsid w:val="00C96EB2"/>
    <w:rsid w:val="00CA04B9"/>
    <w:rsid w:val="00CA2A6D"/>
    <w:rsid w:val="00CA3686"/>
    <w:rsid w:val="00CA3760"/>
    <w:rsid w:val="00CA405C"/>
    <w:rsid w:val="00CA4934"/>
    <w:rsid w:val="00CA5A25"/>
    <w:rsid w:val="00CA727D"/>
    <w:rsid w:val="00CA7A25"/>
    <w:rsid w:val="00CB082E"/>
    <w:rsid w:val="00CB2FF5"/>
    <w:rsid w:val="00CB433E"/>
    <w:rsid w:val="00CB4A6C"/>
    <w:rsid w:val="00CB6C6E"/>
    <w:rsid w:val="00CB7693"/>
    <w:rsid w:val="00CC01B1"/>
    <w:rsid w:val="00CC12D7"/>
    <w:rsid w:val="00CC1831"/>
    <w:rsid w:val="00CC4195"/>
    <w:rsid w:val="00CC54C7"/>
    <w:rsid w:val="00CC56B5"/>
    <w:rsid w:val="00CC5C4B"/>
    <w:rsid w:val="00CC6364"/>
    <w:rsid w:val="00CC64A5"/>
    <w:rsid w:val="00CD24B3"/>
    <w:rsid w:val="00CD31D8"/>
    <w:rsid w:val="00CD3470"/>
    <w:rsid w:val="00CD457F"/>
    <w:rsid w:val="00CD5F92"/>
    <w:rsid w:val="00CD64C8"/>
    <w:rsid w:val="00CD731B"/>
    <w:rsid w:val="00CD7F3E"/>
    <w:rsid w:val="00CE0CE9"/>
    <w:rsid w:val="00CE1659"/>
    <w:rsid w:val="00CE24DF"/>
    <w:rsid w:val="00CE2985"/>
    <w:rsid w:val="00CE2DBB"/>
    <w:rsid w:val="00CE37A8"/>
    <w:rsid w:val="00CE5D34"/>
    <w:rsid w:val="00CE709D"/>
    <w:rsid w:val="00CF48D4"/>
    <w:rsid w:val="00CF7B7C"/>
    <w:rsid w:val="00D0022C"/>
    <w:rsid w:val="00D00DCF"/>
    <w:rsid w:val="00D04AD2"/>
    <w:rsid w:val="00D04CAA"/>
    <w:rsid w:val="00D05C9B"/>
    <w:rsid w:val="00D10F9E"/>
    <w:rsid w:val="00D13161"/>
    <w:rsid w:val="00D157D5"/>
    <w:rsid w:val="00D16C9A"/>
    <w:rsid w:val="00D16CC9"/>
    <w:rsid w:val="00D17588"/>
    <w:rsid w:val="00D178AA"/>
    <w:rsid w:val="00D201BA"/>
    <w:rsid w:val="00D21657"/>
    <w:rsid w:val="00D21669"/>
    <w:rsid w:val="00D22AE5"/>
    <w:rsid w:val="00D2370F"/>
    <w:rsid w:val="00D23DE6"/>
    <w:rsid w:val="00D25F88"/>
    <w:rsid w:val="00D264AB"/>
    <w:rsid w:val="00D32524"/>
    <w:rsid w:val="00D34850"/>
    <w:rsid w:val="00D3575D"/>
    <w:rsid w:val="00D36DFD"/>
    <w:rsid w:val="00D37127"/>
    <w:rsid w:val="00D378E9"/>
    <w:rsid w:val="00D40593"/>
    <w:rsid w:val="00D42970"/>
    <w:rsid w:val="00D4334D"/>
    <w:rsid w:val="00D46E69"/>
    <w:rsid w:val="00D50004"/>
    <w:rsid w:val="00D5081F"/>
    <w:rsid w:val="00D51595"/>
    <w:rsid w:val="00D523F5"/>
    <w:rsid w:val="00D52FF1"/>
    <w:rsid w:val="00D542B3"/>
    <w:rsid w:val="00D55772"/>
    <w:rsid w:val="00D55DE1"/>
    <w:rsid w:val="00D56AA9"/>
    <w:rsid w:val="00D57489"/>
    <w:rsid w:val="00D5770A"/>
    <w:rsid w:val="00D62C3D"/>
    <w:rsid w:val="00D634C0"/>
    <w:rsid w:val="00D64074"/>
    <w:rsid w:val="00D64C2A"/>
    <w:rsid w:val="00D65674"/>
    <w:rsid w:val="00D66D1B"/>
    <w:rsid w:val="00D677A4"/>
    <w:rsid w:val="00D67B1A"/>
    <w:rsid w:val="00D71270"/>
    <w:rsid w:val="00D712A2"/>
    <w:rsid w:val="00D74933"/>
    <w:rsid w:val="00D753FB"/>
    <w:rsid w:val="00D76975"/>
    <w:rsid w:val="00D81D3B"/>
    <w:rsid w:val="00D82763"/>
    <w:rsid w:val="00D83C07"/>
    <w:rsid w:val="00D84088"/>
    <w:rsid w:val="00D85723"/>
    <w:rsid w:val="00D85E83"/>
    <w:rsid w:val="00D879BD"/>
    <w:rsid w:val="00D87D61"/>
    <w:rsid w:val="00D921B3"/>
    <w:rsid w:val="00D926D4"/>
    <w:rsid w:val="00D930B6"/>
    <w:rsid w:val="00D9329D"/>
    <w:rsid w:val="00D932B3"/>
    <w:rsid w:val="00D94132"/>
    <w:rsid w:val="00D94F4C"/>
    <w:rsid w:val="00D97F2A"/>
    <w:rsid w:val="00DA0A2E"/>
    <w:rsid w:val="00DA1D10"/>
    <w:rsid w:val="00DA1E4D"/>
    <w:rsid w:val="00DA1EA4"/>
    <w:rsid w:val="00DA1F5B"/>
    <w:rsid w:val="00DA242D"/>
    <w:rsid w:val="00DA3CF4"/>
    <w:rsid w:val="00DA5779"/>
    <w:rsid w:val="00DA57EB"/>
    <w:rsid w:val="00DA7CDF"/>
    <w:rsid w:val="00DB01CD"/>
    <w:rsid w:val="00DB2AE6"/>
    <w:rsid w:val="00DB61B7"/>
    <w:rsid w:val="00DC165A"/>
    <w:rsid w:val="00DC1949"/>
    <w:rsid w:val="00DC2B2C"/>
    <w:rsid w:val="00DC530C"/>
    <w:rsid w:val="00DD5CAB"/>
    <w:rsid w:val="00DD61AE"/>
    <w:rsid w:val="00DE44DF"/>
    <w:rsid w:val="00DF08FE"/>
    <w:rsid w:val="00DF1159"/>
    <w:rsid w:val="00DF1C80"/>
    <w:rsid w:val="00DF3291"/>
    <w:rsid w:val="00DF4E81"/>
    <w:rsid w:val="00DF5EBB"/>
    <w:rsid w:val="00E00154"/>
    <w:rsid w:val="00E007FA"/>
    <w:rsid w:val="00E01D12"/>
    <w:rsid w:val="00E01D1E"/>
    <w:rsid w:val="00E02356"/>
    <w:rsid w:val="00E02D8C"/>
    <w:rsid w:val="00E02F00"/>
    <w:rsid w:val="00E03CD0"/>
    <w:rsid w:val="00E03F1E"/>
    <w:rsid w:val="00E05E0C"/>
    <w:rsid w:val="00E061FB"/>
    <w:rsid w:val="00E107F5"/>
    <w:rsid w:val="00E1249B"/>
    <w:rsid w:val="00E134C0"/>
    <w:rsid w:val="00E1383D"/>
    <w:rsid w:val="00E147C6"/>
    <w:rsid w:val="00E14F8C"/>
    <w:rsid w:val="00E17618"/>
    <w:rsid w:val="00E20F51"/>
    <w:rsid w:val="00E229F1"/>
    <w:rsid w:val="00E232C6"/>
    <w:rsid w:val="00E252B5"/>
    <w:rsid w:val="00E26642"/>
    <w:rsid w:val="00E30400"/>
    <w:rsid w:val="00E3119C"/>
    <w:rsid w:val="00E3134B"/>
    <w:rsid w:val="00E32114"/>
    <w:rsid w:val="00E321A6"/>
    <w:rsid w:val="00E32DAF"/>
    <w:rsid w:val="00E33857"/>
    <w:rsid w:val="00E33CFA"/>
    <w:rsid w:val="00E34377"/>
    <w:rsid w:val="00E343FB"/>
    <w:rsid w:val="00E34C36"/>
    <w:rsid w:val="00E34E73"/>
    <w:rsid w:val="00E36142"/>
    <w:rsid w:val="00E371CA"/>
    <w:rsid w:val="00E424BE"/>
    <w:rsid w:val="00E47875"/>
    <w:rsid w:val="00E5148A"/>
    <w:rsid w:val="00E524F1"/>
    <w:rsid w:val="00E52560"/>
    <w:rsid w:val="00E5295A"/>
    <w:rsid w:val="00E52FA4"/>
    <w:rsid w:val="00E54565"/>
    <w:rsid w:val="00E548D3"/>
    <w:rsid w:val="00E5503E"/>
    <w:rsid w:val="00E55F2E"/>
    <w:rsid w:val="00E619C0"/>
    <w:rsid w:val="00E625D3"/>
    <w:rsid w:val="00E63013"/>
    <w:rsid w:val="00E630E1"/>
    <w:rsid w:val="00E63C74"/>
    <w:rsid w:val="00E654BB"/>
    <w:rsid w:val="00E660D3"/>
    <w:rsid w:val="00E673FC"/>
    <w:rsid w:val="00E7001F"/>
    <w:rsid w:val="00E709AF"/>
    <w:rsid w:val="00E730FE"/>
    <w:rsid w:val="00E73546"/>
    <w:rsid w:val="00E73986"/>
    <w:rsid w:val="00E73E5B"/>
    <w:rsid w:val="00E7436C"/>
    <w:rsid w:val="00E754DB"/>
    <w:rsid w:val="00E75DEE"/>
    <w:rsid w:val="00E77B09"/>
    <w:rsid w:val="00E77D21"/>
    <w:rsid w:val="00E8001E"/>
    <w:rsid w:val="00E80031"/>
    <w:rsid w:val="00E81D6C"/>
    <w:rsid w:val="00E8276D"/>
    <w:rsid w:val="00E82ABB"/>
    <w:rsid w:val="00E847B1"/>
    <w:rsid w:val="00E854F2"/>
    <w:rsid w:val="00E855CA"/>
    <w:rsid w:val="00E911B1"/>
    <w:rsid w:val="00E91B5E"/>
    <w:rsid w:val="00E91D3F"/>
    <w:rsid w:val="00E94FD7"/>
    <w:rsid w:val="00E97F2E"/>
    <w:rsid w:val="00EA1D0A"/>
    <w:rsid w:val="00EA1EFB"/>
    <w:rsid w:val="00EA279B"/>
    <w:rsid w:val="00EA3755"/>
    <w:rsid w:val="00EA3E49"/>
    <w:rsid w:val="00EA4C4D"/>
    <w:rsid w:val="00EA4E7D"/>
    <w:rsid w:val="00EA4FEC"/>
    <w:rsid w:val="00EA626B"/>
    <w:rsid w:val="00EA6AFA"/>
    <w:rsid w:val="00EB1804"/>
    <w:rsid w:val="00EB1A02"/>
    <w:rsid w:val="00EB2F52"/>
    <w:rsid w:val="00EB416C"/>
    <w:rsid w:val="00EB5C10"/>
    <w:rsid w:val="00EB6849"/>
    <w:rsid w:val="00EB74A0"/>
    <w:rsid w:val="00EB7565"/>
    <w:rsid w:val="00EC08E9"/>
    <w:rsid w:val="00EC0DE4"/>
    <w:rsid w:val="00EC0F48"/>
    <w:rsid w:val="00EC26B8"/>
    <w:rsid w:val="00EC275A"/>
    <w:rsid w:val="00EC396A"/>
    <w:rsid w:val="00EC42A3"/>
    <w:rsid w:val="00EC6311"/>
    <w:rsid w:val="00EC647F"/>
    <w:rsid w:val="00EC71D6"/>
    <w:rsid w:val="00ED1205"/>
    <w:rsid w:val="00ED1D32"/>
    <w:rsid w:val="00ED2B00"/>
    <w:rsid w:val="00ED3305"/>
    <w:rsid w:val="00ED37F6"/>
    <w:rsid w:val="00ED3CD9"/>
    <w:rsid w:val="00ED43EE"/>
    <w:rsid w:val="00ED52AB"/>
    <w:rsid w:val="00ED6428"/>
    <w:rsid w:val="00ED7B04"/>
    <w:rsid w:val="00EE0415"/>
    <w:rsid w:val="00EE1308"/>
    <w:rsid w:val="00EE1465"/>
    <w:rsid w:val="00EE5050"/>
    <w:rsid w:val="00EE743F"/>
    <w:rsid w:val="00EE74EF"/>
    <w:rsid w:val="00EF1501"/>
    <w:rsid w:val="00EF2605"/>
    <w:rsid w:val="00EF412E"/>
    <w:rsid w:val="00EF4AA2"/>
    <w:rsid w:val="00EF4F75"/>
    <w:rsid w:val="00EF70EA"/>
    <w:rsid w:val="00F00386"/>
    <w:rsid w:val="00F00AA9"/>
    <w:rsid w:val="00F01EB3"/>
    <w:rsid w:val="00F02210"/>
    <w:rsid w:val="00F031A1"/>
    <w:rsid w:val="00F0472A"/>
    <w:rsid w:val="00F04B8C"/>
    <w:rsid w:val="00F05A5C"/>
    <w:rsid w:val="00F1122B"/>
    <w:rsid w:val="00F11348"/>
    <w:rsid w:val="00F11672"/>
    <w:rsid w:val="00F116B4"/>
    <w:rsid w:val="00F12427"/>
    <w:rsid w:val="00F13702"/>
    <w:rsid w:val="00F144F9"/>
    <w:rsid w:val="00F15DD0"/>
    <w:rsid w:val="00F174B0"/>
    <w:rsid w:val="00F20542"/>
    <w:rsid w:val="00F20588"/>
    <w:rsid w:val="00F20BD7"/>
    <w:rsid w:val="00F22738"/>
    <w:rsid w:val="00F22EFE"/>
    <w:rsid w:val="00F238D6"/>
    <w:rsid w:val="00F256F6"/>
    <w:rsid w:val="00F26AB2"/>
    <w:rsid w:val="00F27337"/>
    <w:rsid w:val="00F27810"/>
    <w:rsid w:val="00F308A6"/>
    <w:rsid w:val="00F30F6D"/>
    <w:rsid w:val="00F31C01"/>
    <w:rsid w:val="00F32586"/>
    <w:rsid w:val="00F3296A"/>
    <w:rsid w:val="00F379E2"/>
    <w:rsid w:val="00F37F86"/>
    <w:rsid w:val="00F4023E"/>
    <w:rsid w:val="00F40C1A"/>
    <w:rsid w:val="00F410DF"/>
    <w:rsid w:val="00F4278A"/>
    <w:rsid w:val="00F43280"/>
    <w:rsid w:val="00F43938"/>
    <w:rsid w:val="00F44818"/>
    <w:rsid w:val="00F44ADA"/>
    <w:rsid w:val="00F4602F"/>
    <w:rsid w:val="00F500D5"/>
    <w:rsid w:val="00F51149"/>
    <w:rsid w:val="00F5178D"/>
    <w:rsid w:val="00F521A2"/>
    <w:rsid w:val="00F522D8"/>
    <w:rsid w:val="00F54742"/>
    <w:rsid w:val="00F54899"/>
    <w:rsid w:val="00F552EF"/>
    <w:rsid w:val="00F56AFF"/>
    <w:rsid w:val="00F57DC5"/>
    <w:rsid w:val="00F62FA0"/>
    <w:rsid w:val="00F635A4"/>
    <w:rsid w:val="00F6442D"/>
    <w:rsid w:val="00F65C1E"/>
    <w:rsid w:val="00F6644A"/>
    <w:rsid w:val="00F66999"/>
    <w:rsid w:val="00F70573"/>
    <w:rsid w:val="00F71B39"/>
    <w:rsid w:val="00F71BAA"/>
    <w:rsid w:val="00F725DF"/>
    <w:rsid w:val="00F72F14"/>
    <w:rsid w:val="00F73E20"/>
    <w:rsid w:val="00F74C39"/>
    <w:rsid w:val="00F7581D"/>
    <w:rsid w:val="00F7660D"/>
    <w:rsid w:val="00F77014"/>
    <w:rsid w:val="00F81FE5"/>
    <w:rsid w:val="00F832B2"/>
    <w:rsid w:val="00F83B42"/>
    <w:rsid w:val="00F85F7B"/>
    <w:rsid w:val="00F9252F"/>
    <w:rsid w:val="00F933A3"/>
    <w:rsid w:val="00F9363B"/>
    <w:rsid w:val="00F978B3"/>
    <w:rsid w:val="00F97C7F"/>
    <w:rsid w:val="00FA11BB"/>
    <w:rsid w:val="00FA2C64"/>
    <w:rsid w:val="00FA32B4"/>
    <w:rsid w:val="00FA3E0E"/>
    <w:rsid w:val="00FA669E"/>
    <w:rsid w:val="00FB1424"/>
    <w:rsid w:val="00FB18DC"/>
    <w:rsid w:val="00FB2449"/>
    <w:rsid w:val="00FB50D7"/>
    <w:rsid w:val="00FC086F"/>
    <w:rsid w:val="00FC0BC0"/>
    <w:rsid w:val="00FC287C"/>
    <w:rsid w:val="00FC6639"/>
    <w:rsid w:val="00FC7ADF"/>
    <w:rsid w:val="00FC7C47"/>
    <w:rsid w:val="00FD4C2B"/>
    <w:rsid w:val="00FE3ABA"/>
    <w:rsid w:val="00FE64F2"/>
    <w:rsid w:val="00FF24C4"/>
    <w:rsid w:val="00FF2D01"/>
    <w:rsid w:val="00FF354D"/>
    <w:rsid w:val="00FF3BE9"/>
    <w:rsid w:val="00FF42BF"/>
    <w:rsid w:val="00FF670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3D34C"/>
  <w15:chartTrackingRefBased/>
  <w15:docId w15:val="{0ECEF6C0-8080-49B9-B71F-2C829D6C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56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4C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F022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2A1"/>
    <w:rPr>
      <w:sz w:val="18"/>
      <w:szCs w:val="18"/>
    </w:rPr>
  </w:style>
  <w:style w:type="character" w:styleId="a7">
    <w:name w:val="Hyperlink"/>
    <w:basedOn w:val="a0"/>
    <w:uiPriority w:val="99"/>
    <w:unhideWhenUsed/>
    <w:rsid w:val="001B4F9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B4F9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A405C"/>
    <w:pPr>
      <w:ind w:firstLineChars="200" w:firstLine="420"/>
    </w:pPr>
  </w:style>
  <w:style w:type="paragraph" w:customStyle="1" w:styleId="005">
    <w:name w:val="005正文"/>
    <w:basedOn w:val="a"/>
    <w:link w:val="005Char"/>
    <w:rsid w:val="00556184"/>
    <w:pPr>
      <w:spacing w:beforeLines="50" w:line="360" w:lineRule="auto"/>
      <w:ind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005Char">
    <w:name w:val="005正文 Char"/>
    <w:link w:val="005"/>
    <w:qFormat/>
    <w:rsid w:val="00556184"/>
    <w:rPr>
      <w:rFonts w:ascii="Times New Roman" w:eastAsia="宋体" w:hAnsi="Times New Roman" w:cs="Times New Roman"/>
      <w:sz w:val="24"/>
    </w:rPr>
  </w:style>
  <w:style w:type="character" w:customStyle="1" w:styleId="20">
    <w:name w:val="标题 2 字符"/>
    <w:basedOn w:val="a0"/>
    <w:link w:val="2"/>
    <w:uiPriority w:val="9"/>
    <w:rsid w:val="00F02210"/>
    <w:rPr>
      <w:rFonts w:ascii="宋体" w:eastAsia="宋体" w:hAnsi="宋体" w:cs="宋体"/>
      <w:b/>
      <w:bCs/>
      <w:kern w:val="0"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4C3C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934CD7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978B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978B3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018B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9018B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9018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18B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9018B6"/>
    <w:rPr>
      <w:b/>
      <w:bCs/>
    </w:rPr>
  </w:style>
  <w:style w:type="paragraph" w:styleId="af3">
    <w:name w:val="Body Text"/>
    <w:basedOn w:val="a"/>
    <w:link w:val="af4"/>
    <w:uiPriority w:val="1"/>
    <w:qFormat/>
    <w:rsid w:val="00BD1B5E"/>
    <w:pPr>
      <w:ind w:left="12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f4">
    <w:name w:val="正文文本 字符"/>
    <w:basedOn w:val="a0"/>
    <w:link w:val="af3"/>
    <w:uiPriority w:val="1"/>
    <w:rsid w:val="00BD1B5E"/>
    <w:rPr>
      <w:rFonts w:ascii="宋体" w:eastAsia="宋体" w:hAnsi="宋体"/>
      <w:kern w:val="0"/>
      <w:sz w:val="24"/>
      <w:szCs w:val="24"/>
      <w:lang w:eastAsia="en-US"/>
    </w:rPr>
  </w:style>
  <w:style w:type="character" w:styleId="af5">
    <w:name w:val="Strong"/>
    <w:basedOn w:val="a0"/>
    <w:uiPriority w:val="22"/>
    <w:qFormat/>
    <w:rsid w:val="001C2BC1"/>
    <w:rPr>
      <w:b/>
      <w:bCs/>
    </w:rPr>
  </w:style>
  <w:style w:type="paragraph" w:styleId="af6">
    <w:name w:val="No Spacing"/>
    <w:uiPriority w:val="1"/>
    <w:qFormat/>
    <w:rsid w:val="00432D5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Default">
    <w:name w:val="Default"/>
    <w:rsid w:val="00B47A3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29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812950"/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944CC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9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51BD9A001E479E0B05418F17870A" ma:contentTypeVersion="0" ma:contentTypeDescription="Create a new document." ma:contentTypeScope="" ma:versionID="fd94b2a1062c9f0cca66d2512e721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f56e70525d15e42a9011006857c4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38C9-2F8C-4726-9163-7AD2D1AC1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D147F-B767-4D7D-8BC3-2F0E5AFB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FFCAD-6D70-4D92-9F41-49F426FD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7BEEA-258C-4C08-B713-DDA87E12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Fyt</dc:creator>
  <cp:keywords/>
  <dc:description/>
  <cp:lastModifiedBy>翟雅楠</cp:lastModifiedBy>
  <cp:revision>45</cp:revision>
  <dcterms:created xsi:type="dcterms:W3CDTF">2024-02-29T09:15:00Z</dcterms:created>
  <dcterms:modified xsi:type="dcterms:W3CDTF">2024-03-01T07:34:00Z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0x0101006AB551BD9A001E479E0B05418F17870A</vt:lpwstr>
  </property>
</Properties>
</file>