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37" w:rsidRDefault="00874DA0">
      <w:pPr>
        <w:spacing w:line="360" w:lineRule="auto"/>
        <w:jc w:val="center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证券代码：601187                                  证券简称：厦门银行</w:t>
      </w:r>
    </w:p>
    <w:p w:rsidR="00C91D37" w:rsidRDefault="00874DA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厦门银行股份有限公司</w:t>
      </w:r>
    </w:p>
    <w:p w:rsidR="00C91D37" w:rsidRDefault="00874DA0">
      <w:pPr>
        <w:spacing w:line="360" w:lineRule="auto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91D37" w:rsidRDefault="00874DA0">
      <w:pPr>
        <w:spacing w:line="400" w:lineRule="exact"/>
        <w:jc w:val="right"/>
        <w:rPr>
          <w:rFonts w:ascii="宋体" w:eastAsia="宋体" w:hAnsi="宋体"/>
          <w:bCs/>
          <w:iCs/>
          <w:color w:val="000000"/>
          <w:sz w:val="24"/>
        </w:rPr>
      </w:pP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                                           编号：202</w:t>
      </w:r>
      <w:r>
        <w:rPr>
          <w:rFonts w:ascii="宋体" w:eastAsia="宋体" w:hAnsi="宋体"/>
          <w:bCs/>
          <w:iCs/>
          <w:color w:val="000000"/>
          <w:sz w:val="24"/>
        </w:rPr>
        <w:t>4</w:t>
      </w:r>
      <w:r>
        <w:rPr>
          <w:rFonts w:ascii="宋体" w:eastAsia="宋体" w:hAnsi="宋体" w:hint="eastAsia"/>
          <w:bCs/>
          <w:iCs/>
          <w:color w:val="000000"/>
          <w:sz w:val="24"/>
        </w:rPr>
        <w:t>-</w:t>
      </w:r>
      <w:r>
        <w:rPr>
          <w:rFonts w:ascii="宋体" w:eastAsia="宋体" w:hAnsi="宋体"/>
          <w:bCs/>
          <w:iCs/>
          <w:color w:val="000000"/>
          <w:sz w:val="24"/>
        </w:rPr>
        <w:t>0</w:t>
      </w:r>
      <w:r w:rsidR="00A6705C">
        <w:rPr>
          <w:rFonts w:ascii="宋体" w:eastAsia="宋体" w:hAnsi="宋体"/>
          <w:bCs/>
          <w:iCs/>
          <w:color w:val="000000"/>
          <w:sz w:val="24"/>
        </w:rPr>
        <w:t>6</w:t>
      </w:r>
      <w:r>
        <w:rPr>
          <w:rFonts w:ascii="宋体" w:eastAsia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7129"/>
      </w:tblGrid>
      <w:tr w:rsidR="00C91D37">
        <w:trPr>
          <w:trHeight w:val="149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91D37" w:rsidRDefault="00C91D37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</w:rPr>
              <w:t xml:space="preserve">特定对象调研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分析师会议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□</w:t>
            </w:r>
            <w:r>
              <w:rPr>
                <w:rFonts w:ascii="宋体" w:eastAsia="宋体" w:hAnsi="宋体" w:cs="宋体" w:hint="eastAsia"/>
                <w:sz w:val="24"/>
              </w:rPr>
              <w:t>媒体采访</w:t>
            </w:r>
          </w:p>
          <w:p w:rsidR="00C91D37" w:rsidRDefault="00874DA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业绩说明会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新闻发布会        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路演活动</w:t>
            </w:r>
          </w:p>
          <w:p w:rsidR="00C91D37" w:rsidRDefault="00874DA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现场参观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 xml:space="preserve">           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其他 </w:t>
            </w:r>
          </w:p>
        </w:tc>
      </w:tr>
      <w:tr w:rsidR="00C91D37">
        <w:trPr>
          <w:trHeight w:val="5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2407F0" w:rsidP="004907A8">
            <w:pPr>
              <w:spacing w:line="360" w:lineRule="auto"/>
              <w:rPr>
                <w:rFonts w:ascii="宋体" w:eastAsia="宋体" w:hAnsi="宋体" w:cs="宋体"/>
                <w:bCs/>
                <w:i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浙商证券、中国人民养老保险</w:t>
            </w:r>
            <w:r w:rsidR="004907A8"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、贝莱德基金</w:t>
            </w:r>
            <w:r w:rsidR="00874DA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3</w:t>
            </w:r>
            <w:r w:rsidR="00E05A92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家机构，</w:t>
            </w:r>
            <w:r w:rsidR="00041412"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4</w:t>
            </w:r>
            <w:r w:rsidR="00874DA0"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人次参加线下调研</w:t>
            </w:r>
          </w:p>
        </w:tc>
      </w:tr>
      <w:tr w:rsidR="00C91D37">
        <w:trPr>
          <w:trHeight w:val="38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202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月</w:t>
            </w:r>
            <w:r w:rsidR="00342682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2</w:t>
            </w:r>
            <w:r w:rsidR="004907A8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日1</w:t>
            </w:r>
            <w:r w:rsidR="00342682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342682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0–1</w:t>
            </w:r>
            <w:r w:rsidR="004907A8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4907A8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0</w:t>
            </w:r>
          </w:p>
        </w:tc>
      </w:tr>
      <w:tr w:rsidR="00C91D37">
        <w:trPr>
          <w:trHeight w:val="37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厦门银行C61</w:t>
            </w:r>
            <w:r w:rsidR="00342682">
              <w:rPr>
                <w:rFonts w:ascii="宋体" w:eastAsia="宋体" w:hAnsi="宋体" w:cs="宋体"/>
                <w:bCs/>
                <w:iCs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bCs/>
                <w:iCs/>
                <w:kern w:val="0"/>
                <w:sz w:val="24"/>
              </w:rPr>
              <w:t>会议室</w:t>
            </w:r>
          </w:p>
        </w:tc>
      </w:tr>
      <w:tr w:rsidR="00C91D3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874DA0">
            <w:pPr>
              <w:spacing w:line="360" w:lineRule="auto"/>
              <w:rPr>
                <w:rFonts w:ascii="宋体" w:eastAsia="宋体" w:hAnsi="宋体" w:cs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iCs/>
                <w:color w:val="000000"/>
                <w:sz w:val="24"/>
              </w:rPr>
              <w:t>公司接待人员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37" w:rsidRDefault="009D099D">
            <w:pPr>
              <w:spacing w:line="360" w:lineRule="auto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谢彤华副行长兼首席风险官、</w:t>
            </w:r>
            <w:r w:rsidR="00342682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董事会秘书（拟任），</w:t>
            </w:r>
            <w:r w:rsidR="00874DA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董事会办公室、零售业务管理部、公司业务管理部、计划财务部、风险管理部、规划发展部等相关部门领导</w:t>
            </w:r>
          </w:p>
        </w:tc>
      </w:tr>
      <w:tr w:rsidR="00C91D3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37" w:rsidRDefault="00874DA0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6" w:rsidRPr="004907A8" w:rsidRDefault="004907A8" w:rsidP="004907A8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4907A8">
              <w:rPr>
                <w:rFonts w:asciiTheme="minorEastAsia" w:eastAsiaTheme="minorEastAsia" w:hAnsiTheme="minorEastAsia" w:hint="eastAsia"/>
                <w:b/>
                <w:sz w:val="24"/>
              </w:rPr>
              <w:t>一、</w:t>
            </w:r>
            <w:r w:rsidR="00083722" w:rsidRPr="004907A8">
              <w:rPr>
                <w:rFonts w:asciiTheme="minorEastAsia" w:eastAsiaTheme="minorEastAsia" w:hAnsiTheme="minorEastAsia" w:hint="eastAsia"/>
                <w:b/>
                <w:sz w:val="24"/>
              </w:rPr>
              <w:t>贵行未来网点新</w:t>
            </w:r>
            <w:bookmarkStart w:id="0" w:name="_GoBack"/>
            <w:bookmarkEnd w:id="0"/>
            <w:r w:rsidR="00083722" w:rsidRPr="004907A8">
              <w:rPr>
                <w:rFonts w:asciiTheme="minorEastAsia" w:eastAsiaTheme="minorEastAsia" w:hAnsiTheme="minorEastAsia" w:hint="eastAsia"/>
                <w:b/>
                <w:sz w:val="24"/>
              </w:rPr>
              <w:t>增计划是怎样的？</w:t>
            </w:r>
          </w:p>
          <w:p w:rsidR="00083722" w:rsidRPr="004907A8" w:rsidRDefault="00083722" w:rsidP="004907A8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</w:pPr>
            <w:r w:rsidRPr="004907A8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我行始终坚持“您身边的银行”的客户服务理念，2020年至今立足于补充空白区域为主的策略，深入社区、融入商圈，稳步推进网点建设工作，截止2023年6月末全行网点有11</w:t>
            </w:r>
            <w:r w:rsidRPr="004907A8">
              <w:rPr>
                <w:rFonts w:ascii="宋体" w:eastAsia="宋体" w:hAnsi="宋体" w:cs="宋体"/>
                <w:bCs/>
                <w:iCs/>
                <w:color w:val="000000"/>
                <w:sz w:val="24"/>
              </w:rPr>
              <w:t>4</w:t>
            </w:r>
            <w:r w:rsidR="00554860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家。营业网点建设是我行</w:t>
            </w:r>
            <w:r w:rsidRPr="004907A8">
              <w:rPr>
                <w:rFonts w:ascii="宋体" w:eastAsia="宋体" w:hAnsi="宋体" w:cs="宋体" w:hint="eastAsia"/>
                <w:bCs/>
                <w:iCs/>
                <w:color w:val="000000"/>
                <w:sz w:val="24"/>
              </w:rPr>
              <w:t>回归本源、服务中小、服务本地居民、实现金融服务下沉的重要路径，在未来，我行将继续按需进行网点筹建。同时，我行将评估各机构的区域资源，将人员向区域资源丰富、创造价值高的区域去倾斜。同时，以过程管理工具PDCA为抓手，继续加强营销过程管理和财富顾问的辅导职责，提高全行价值总量和人均效能。</w:t>
            </w:r>
          </w:p>
          <w:p w:rsidR="00C91D37" w:rsidRDefault="004907A8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</w:t>
            </w:r>
            <w:r w:rsidR="00E20F6E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E5077B" w:rsidRPr="00E5077B">
              <w:rPr>
                <w:rFonts w:asciiTheme="minorEastAsia" w:eastAsiaTheme="minorEastAsia" w:hAnsiTheme="minorEastAsia" w:hint="eastAsia"/>
                <w:b/>
                <w:sz w:val="24"/>
              </w:rPr>
              <w:t>贵行在从事两岸金融业务方面，较同业有哪些优势，未来计划如何发展？</w:t>
            </w:r>
          </w:p>
          <w:p w:rsidR="004907A8" w:rsidRPr="004907A8" w:rsidRDefault="004907A8" w:rsidP="005A360F">
            <w:pPr>
              <w:pStyle w:val="ac"/>
              <w:spacing w:after="0" w:line="360" w:lineRule="auto"/>
              <w:ind w:left="0" w:firstLineChars="200" w:firstLine="480"/>
              <w:rPr>
                <w:rFonts w:asciiTheme="minorEastAsia" w:eastAsiaTheme="minorEastAsia" w:hAnsiTheme="minorEastAsia" w:cs="Arial"/>
                <w:kern w:val="2"/>
                <w:sz w:val="24"/>
                <w:szCs w:val="24"/>
              </w:rPr>
            </w:pPr>
            <w:r w:rsidRPr="004907A8">
              <w:rPr>
                <w:rFonts w:asciiTheme="minorEastAsia" w:eastAsiaTheme="minorEastAsia" w:hAnsiTheme="minorEastAsia" w:cs="Arial" w:hint="eastAsia"/>
                <w:kern w:val="2"/>
                <w:sz w:val="24"/>
                <w:szCs w:val="24"/>
              </w:rPr>
              <w:t>多年来我行不断深化两岸金融产品，在服务台胞台企的道路上先行先试，针对台胞推出大陆首张面向台胞的专属信用卡，大</w:t>
            </w:r>
            <w:r w:rsidRPr="004907A8">
              <w:rPr>
                <w:rFonts w:asciiTheme="minorEastAsia" w:eastAsiaTheme="minorEastAsia" w:hAnsiTheme="minorEastAsia" w:cs="Arial" w:hint="eastAsia"/>
                <w:kern w:val="2"/>
                <w:sz w:val="24"/>
                <w:szCs w:val="24"/>
              </w:rPr>
              <w:lastRenderedPageBreak/>
              <w:t>陆首个台胞专属线上化汇薪产品——“薪速汇”，大陆首款台胞专属线上信用贷款产品“台e贷”等；针对台企，推出两岸通速汇，便利两岸资金往来；推出台农贷、台商税易贷、台商流水贷、台商e企贷等免抵押信用贷产品，便利台资企业融资，打造成为台胞台商在大陆的首选银行。</w:t>
            </w:r>
            <w:r>
              <w:rPr>
                <w:rFonts w:ascii="宋体" w:hAnsi="宋体" w:cs="宋体" w:hint="eastAsia"/>
                <w:bCs/>
                <w:sz w:val="24"/>
                <w:lang w:eastAsia="zh-Hans"/>
              </w:rPr>
              <w:t>截至2023年6月30日，</w:t>
            </w:r>
            <w:r>
              <w:rPr>
                <w:rFonts w:ascii="宋体" w:hAnsi="宋体" w:cs="宋体" w:hint="eastAsia"/>
                <w:bCs/>
                <w:sz w:val="24"/>
              </w:rPr>
              <w:t>本行</w:t>
            </w:r>
            <w:r w:rsidRPr="004907A8">
              <w:rPr>
                <w:rFonts w:asciiTheme="minorEastAsia" w:eastAsiaTheme="minorEastAsia" w:hAnsiTheme="minorEastAsia" w:cs="Arial" w:hint="eastAsia"/>
                <w:kern w:val="2"/>
                <w:sz w:val="24"/>
                <w:szCs w:val="24"/>
              </w:rPr>
              <w:t>台企客户数相比年初增长17%；台企授信户数相比年初增长14%；台胞客户数相比年初增长8%；台胞信用卡发卡数相比年初增长9%；台胞金融资产余额相比年初增长6%。</w:t>
            </w:r>
          </w:p>
          <w:p w:rsidR="004907A8" w:rsidRPr="004907A8" w:rsidRDefault="004907A8" w:rsidP="005A360F">
            <w:pPr>
              <w:pStyle w:val="ac"/>
              <w:spacing w:after="0" w:line="360" w:lineRule="auto"/>
              <w:ind w:left="0" w:firstLineChars="200" w:firstLine="480"/>
              <w:rPr>
                <w:rFonts w:asciiTheme="minorEastAsia" w:eastAsiaTheme="minorEastAsia" w:hAnsiTheme="minorEastAsia" w:cs="Arial"/>
                <w:kern w:val="2"/>
                <w:sz w:val="24"/>
                <w:szCs w:val="24"/>
              </w:rPr>
            </w:pPr>
            <w:r w:rsidRPr="004907A8">
              <w:rPr>
                <w:rFonts w:asciiTheme="minorEastAsia" w:eastAsiaTheme="minorEastAsia" w:hAnsiTheme="minorEastAsia" w:cs="Arial" w:hint="eastAsia"/>
                <w:kern w:val="2"/>
                <w:sz w:val="24"/>
                <w:szCs w:val="24"/>
              </w:rPr>
              <w:t>我行将继续以不断扩大台企、台胞的覆盖面、保持且拉大两岸金融业务在地的市场优势为目标，对台商客群进行全方位的深度经营，不断打造两岸特色、公私联动的产品及服务，在产品、渠道、品牌和体制机制等方面持续契合台企、台胞的需求。</w:t>
            </w:r>
          </w:p>
          <w:p w:rsidR="004907A8" w:rsidRPr="00956BAE" w:rsidRDefault="004907A8" w:rsidP="005A360F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三、</w:t>
            </w:r>
            <w:r w:rsidRPr="00956BAE">
              <w:rPr>
                <w:rFonts w:asciiTheme="minorEastAsia" w:eastAsiaTheme="minorEastAsia" w:hAnsiTheme="minorEastAsia" w:hint="eastAsia"/>
                <w:b/>
                <w:sz w:val="24"/>
              </w:rPr>
              <w:t>贵行应对息差收窄有什么措施？</w:t>
            </w:r>
          </w:p>
          <w:p w:rsidR="004907A8" w:rsidRPr="003370B5" w:rsidRDefault="004907A8" w:rsidP="004907A8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</w:t>
            </w:r>
            <w:r w:rsidRPr="003370B5">
              <w:rPr>
                <w:rFonts w:asciiTheme="minorEastAsia" w:eastAsiaTheme="minorEastAsia" w:hAnsiTheme="minorEastAsia" w:cs="Arial" w:hint="eastAsia"/>
                <w:sz w:val="24"/>
              </w:rPr>
              <w:t>为了稳住息差，我行将从两端双向发力。资产端，我行将进一步增加消费贷；同时，压缩贴现和转贴现的占比，提升贷款平均收益率。负债端，在贷款利率不断下行的背景下，持续压降存款挂牌利率，同时提升活期存款日均占比以及优化存款期限结构，降低总存款成本，缓解息差收窄幅度。</w:t>
            </w:r>
          </w:p>
          <w:p w:rsidR="004907A8" w:rsidRDefault="004907A8" w:rsidP="004907A8">
            <w:pPr>
              <w:tabs>
                <w:tab w:val="left" w:pos="1470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四</w:t>
            </w:r>
            <w:r w:rsidRPr="00956BAE">
              <w:rPr>
                <w:rFonts w:asciiTheme="minorEastAsia" w:eastAsiaTheme="minorEastAsia" w:hAnsiTheme="minorEastAsia"/>
                <w:b/>
                <w:sz w:val="24"/>
              </w:rPr>
              <w:t>、</w:t>
            </w:r>
            <w:r w:rsidRPr="00956BAE">
              <w:rPr>
                <w:rFonts w:asciiTheme="minorEastAsia" w:eastAsiaTheme="minorEastAsia" w:hAnsiTheme="minorEastAsia" w:hint="eastAsia"/>
                <w:b/>
                <w:sz w:val="24"/>
              </w:rPr>
              <w:t>最新的银行业资本新规对贵行有什么影响？</w:t>
            </w:r>
          </w:p>
          <w:p w:rsidR="00C91D37" w:rsidRPr="004907A8" w:rsidRDefault="004907A8" w:rsidP="004907A8">
            <w:pPr>
              <w:tabs>
                <w:tab w:val="left" w:pos="1470"/>
              </w:tabs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b/>
                <w:sz w:val="24"/>
              </w:rPr>
            </w:pPr>
            <w:r w:rsidRPr="003370B5">
              <w:rPr>
                <w:rFonts w:asciiTheme="minorEastAsia" w:eastAsiaTheme="minorEastAsia" w:hAnsiTheme="minorEastAsia" w:cs="Arial" w:hint="eastAsia"/>
                <w:sz w:val="24"/>
              </w:rPr>
              <w:t>《资本办法》构建了差异化资本监管体系，按照银行规模和业务复杂程度，匹配不同的资本监管方案。根据前期摸底测算结果，对我行资本充足整体情况影响较小。我行将加快“轻资本”转型，更好地平衡资本、风险和收益，提高资本运用效率和经营效益，提升银行内源资本补充能力，实现银行高质量可持续发展。</w:t>
            </w:r>
          </w:p>
        </w:tc>
      </w:tr>
    </w:tbl>
    <w:p w:rsidR="00C91D37" w:rsidRDefault="00C91D37">
      <w:pPr>
        <w:ind w:firstLine="322"/>
        <w:rPr>
          <w:rFonts w:asciiTheme="minorEastAsia" w:eastAsiaTheme="minorEastAsia" w:hAnsiTheme="minorEastAsia"/>
          <w:sz w:val="24"/>
        </w:rPr>
      </w:pPr>
    </w:p>
    <w:p w:rsidR="00C91D37" w:rsidRDefault="00C91D37">
      <w:pPr>
        <w:pStyle w:val="1"/>
        <w:widowControl/>
        <w:spacing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C91D37" w:rsidRDefault="00C91D37">
      <w:pPr>
        <w:pStyle w:val="1"/>
        <w:widowControl/>
        <w:spacing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sectPr w:rsidR="00C9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5" w:rsidRDefault="009F7495" w:rsidP="00BC796F">
      <w:r>
        <w:separator/>
      </w:r>
    </w:p>
  </w:endnote>
  <w:endnote w:type="continuationSeparator" w:id="0">
    <w:p w:rsidR="009F7495" w:rsidRDefault="009F7495" w:rsidP="00B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5" w:rsidRDefault="009F7495" w:rsidP="00BC796F">
      <w:r>
        <w:separator/>
      </w:r>
    </w:p>
  </w:footnote>
  <w:footnote w:type="continuationSeparator" w:id="0">
    <w:p w:rsidR="009F7495" w:rsidRDefault="009F7495" w:rsidP="00BC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094"/>
    <w:multiLevelType w:val="hybridMultilevel"/>
    <w:tmpl w:val="4594D22E"/>
    <w:lvl w:ilvl="0" w:tplc="ADA292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E07491"/>
    <w:multiLevelType w:val="hybridMultilevel"/>
    <w:tmpl w:val="DECA71EC"/>
    <w:lvl w:ilvl="0" w:tplc="DADCE4DE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756FF7"/>
    <w:multiLevelType w:val="hybridMultilevel"/>
    <w:tmpl w:val="00A2BCA6"/>
    <w:lvl w:ilvl="0" w:tplc="33663A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2718CD"/>
    <w:multiLevelType w:val="hybridMultilevel"/>
    <w:tmpl w:val="65F4BC28"/>
    <w:lvl w:ilvl="0" w:tplc="8452B3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10EE"/>
    <w:multiLevelType w:val="hybridMultilevel"/>
    <w:tmpl w:val="22E4EDBC"/>
    <w:lvl w:ilvl="0" w:tplc="EF02CB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1"/>
    <w:rsid w:val="00026086"/>
    <w:rsid w:val="0003505D"/>
    <w:rsid w:val="000354A0"/>
    <w:rsid w:val="000367CC"/>
    <w:rsid w:val="00037955"/>
    <w:rsid w:val="00041412"/>
    <w:rsid w:val="00043DE1"/>
    <w:rsid w:val="00044C7A"/>
    <w:rsid w:val="0005378B"/>
    <w:rsid w:val="00057195"/>
    <w:rsid w:val="00064FBC"/>
    <w:rsid w:val="0006674F"/>
    <w:rsid w:val="000719F0"/>
    <w:rsid w:val="00073086"/>
    <w:rsid w:val="0007438C"/>
    <w:rsid w:val="00082ED5"/>
    <w:rsid w:val="00083722"/>
    <w:rsid w:val="000A3A00"/>
    <w:rsid w:val="000B298D"/>
    <w:rsid w:val="000C7434"/>
    <w:rsid w:val="000D201C"/>
    <w:rsid w:val="000D57CA"/>
    <w:rsid w:val="000E1161"/>
    <w:rsid w:val="000F2DEA"/>
    <w:rsid w:val="00105805"/>
    <w:rsid w:val="0013546E"/>
    <w:rsid w:val="0014156A"/>
    <w:rsid w:val="00145650"/>
    <w:rsid w:val="0018093A"/>
    <w:rsid w:val="00180959"/>
    <w:rsid w:val="00184F9C"/>
    <w:rsid w:val="001952A1"/>
    <w:rsid w:val="00197C8D"/>
    <w:rsid w:val="001A1649"/>
    <w:rsid w:val="001C008C"/>
    <w:rsid w:val="001C0C8A"/>
    <w:rsid w:val="001C6978"/>
    <w:rsid w:val="001D3154"/>
    <w:rsid w:val="001E3EFD"/>
    <w:rsid w:val="001E5D66"/>
    <w:rsid w:val="001F412A"/>
    <w:rsid w:val="001F6C24"/>
    <w:rsid w:val="00201D0A"/>
    <w:rsid w:val="00204F8F"/>
    <w:rsid w:val="00205336"/>
    <w:rsid w:val="002300E1"/>
    <w:rsid w:val="002407F0"/>
    <w:rsid w:val="00252056"/>
    <w:rsid w:val="00262FFF"/>
    <w:rsid w:val="0029008E"/>
    <w:rsid w:val="00292069"/>
    <w:rsid w:val="002B6CCA"/>
    <w:rsid w:val="002C5264"/>
    <w:rsid w:val="002D0FB2"/>
    <w:rsid w:val="002E2585"/>
    <w:rsid w:val="002E3EFF"/>
    <w:rsid w:val="002E462C"/>
    <w:rsid w:val="00312F50"/>
    <w:rsid w:val="003228CC"/>
    <w:rsid w:val="00325FA0"/>
    <w:rsid w:val="00326F2C"/>
    <w:rsid w:val="003370B5"/>
    <w:rsid w:val="00342682"/>
    <w:rsid w:val="00345151"/>
    <w:rsid w:val="00345FAF"/>
    <w:rsid w:val="003611E1"/>
    <w:rsid w:val="00390CC1"/>
    <w:rsid w:val="0039318E"/>
    <w:rsid w:val="00396AE7"/>
    <w:rsid w:val="00397ACE"/>
    <w:rsid w:val="003B0B4F"/>
    <w:rsid w:val="003C230C"/>
    <w:rsid w:val="003E3F42"/>
    <w:rsid w:val="003F0008"/>
    <w:rsid w:val="003F0681"/>
    <w:rsid w:val="004023FB"/>
    <w:rsid w:val="00410938"/>
    <w:rsid w:val="00411811"/>
    <w:rsid w:val="00436013"/>
    <w:rsid w:val="004505F4"/>
    <w:rsid w:val="00461A53"/>
    <w:rsid w:val="00466061"/>
    <w:rsid w:val="00466B97"/>
    <w:rsid w:val="0047341D"/>
    <w:rsid w:val="0047786B"/>
    <w:rsid w:val="004874E0"/>
    <w:rsid w:val="00487B7E"/>
    <w:rsid w:val="004907A8"/>
    <w:rsid w:val="00494EB8"/>
    <w:rsid w:val="004E0106"/>
    <w:rsid w:val="004F0608"/>
    <w:rsid w:val="004F4869"/>
    <w:rsid w:val="00554860"/>
    <w:rsid w:val="005A360F"/>
    <w:rsid w:val="005B7B0D"/>
    <w:rsid w:val="005C1902"/>
    <w:rsid w:val="005E6C45"/>
    <w:rsid w:val="006046F6"/>
    <w:rsid w:val="00606A89"/>
    <w:rsid w:val="0061244C"/>
    <w:rsid w:val="006145F4"/>
    <w:rsid w:val="00630D9D"/>
    <w:rsid w:val="00633248"/>
    <w:rsid w:val="006556F5"/>
    <w:rsid w:val="00683878"/>
    <w:rsid w:val="00684E46"/>
    <w:rsid w:val="006850FF"/>
    <w:rsid w:val="00694D3B"/>
    <w:rsid w:val="006A39AF"/>
    <w:rsid w:val="006A588C"/>
    <w:rsid w:val="006B2D02"/>
    <w:rsid w:val="006C2EC8"/>
    <w:rsid w:val="006D72A3"/>
    <w:rsid w:val="0072749C"/>
    <w:rsid w:val="007518AB"/>
    <w:rsid w:val="00756EC4"/>
    <w:rsid w:val="00773630"/>
    <w:rsid w:val="00784B74"/>
    <w:rsid w:val="007A2B2E"/>
    <w:rsid w:val="007A3788"/>
    <w:rsid w:val="007D21FC"/>
    <w:rsid w:val="007E0328"/>
    <w:rsid w:val="007E7920"/>
    <w:rsid w:val="0080330F"/>
    <w:rsid w:val="0080480B"/>
    <w:rsid w:val="00812422"/>
    <w:rsid w:val="00812E1D"/>
    <w:rsid w:val="00821A73"/>
    <w:rsid w:val="00831AD8"/>
    <w:rsid w:val="0083425E"/>
    <w:rsid w:val="008346D5"/>
    <w:rsid w:val="008439F2"/>
    <w:rsid w:val="00846FB3"/>
    <w:rsid w:val="00856D06"/>
    <w:rsid w:val="00861808"/>
    <w:rsid w:val="00864179"/>
    <w:rsid w:val="00874DA0"/>
    <w:rsid w:val="0088387B"/>
    <w:rsid w:val="00884BBC"/>
    <w:rsid w:val="0088571B"/>
    <w:rsid w:val="008969E8"/>
    <w:rsid w:val="008D1376"/>
    <w:rsid w:val="008D439A"/>
    <w:rsid w:val="008D7EF2"/>
    <w:rsid w:val="008E0E5E"/>
    <w:rsid w:val="008E2E7C"/>
    <w:rsid w:val="008E49BB"/>
    <w:rsid w:val="008F2B6B"/>
    <w:rsid w:val="008F3C8D"/>
    <w:rsid w:val="008F6E6E"/>
    <w:rsid w:val="00916C6A"/>
    <w:rsid w:val="00916FB2"/>
    <w:rsid w:val="00932163"/>
    <w:rsid w:val="00956BAE"/>
    <w:rsid w:val="009614B8"/>
    <w:rsid w:val="00965B91"/>
    <w:rsid w:val="00967C11"/>
    <w:rsid w:val="00993AED"/>
    <w:rsid w:val="009B0D33"/>
    <w:rsid w:val="009C52BB"/>
    <w:rsid w:val="009D099D"/>
    <w:rsid w:val="009D3C26"/>
    <w:rsid w:val="009E7DBA"/>
    <w:rsid w:val="009F28BB"/>
    <w:rsid w:val="009F7495"/>
    <w:rsid w:val="00A02A1E"/>
    <w:rsid w:val="00A042DF"/>
    <w:rsid w:val="00A1789A"/>
    <w:rsid w:val="00A37D99"/>
    <w:rsid w:val="00A6705C"/>
    <w:rsid w:val="00A675A5"/>
    <w:rsid w:val="00A71D7B"/>
    <w:rsid w:val="00A75302"/>
    <w:rsid w:val="00A90C6C"/>
    <w:rsid w:val="00A91BCF"/>
    <w:rsid w:val="00A94CC8"/>
    <w:rsid w:val="00AA057D"/>
    <w:rsid w:val="00AA4EC1"/>
    <w:rsid w:val="00AD3D72"/>
    <w:rsid w:val="00B12B0F"/>
    <w:rsid w:val="00B13D11"/>
    <w:rsid w:val="00B253ED"/>
    <w:rsid w:val="00B262BB"/>
    <w:rsid w:val="00B36597"/>
    <w:rsid w:val="00B4000B"/>
    <w:rsid w:val="00B513C9"/>
    <w:rsid w:val="00B64205"/>
    <w:rsid w:val="00B77060"/>
    <w:rsid w:val="00B87667"/>
    <w:rsid w:val="00BA2A5C"/>
    <w:rsid w:val="00BA3A7B"/>
    <w:rsid w:val="00BB14E8"/>
    <w:rsid w:val="00BC796F"/>
    <w:rsid w:val="00BE283A"/>
    <w:rsid w:val="00BE48CF"/>
    <w:rsid w:val="00C13FB6"/>
    <w:rsid w:val="00C272E4"/>
    <w:rsid w:val="00C306C4"/>
    <w:rsid w:val="00C3426E"/>
    <w:rsid w:val="00C56297"/>
    <w:rsid w:val="00C57CB6"/>
    <w:rsid w:val="00C767BB"/>
    <w:rsid w:val="00C77107"/>
    <w:rsid w:val="00C8319D"/>
    <w:rsid w:val="00C91D37"/>
    <w:rsid w:val="00CA185F"/>
    <w:rsid w:val="00CA1978"/>
    <w:rsid w:val="00CB4B1B"/>
    <w:rsid w:val="00CD6B39"/>
    <w:rsid w:val="00CE363A"/>
    <w:rsid w:val="00CE5BAD"/>
    <w:rsid w:val="00CE6936"/>
    <w:rsid w:val="00D0760A"/>
    <w:rsid w:val="00D15C8D"/>
    <w:rsid w:val="00D26075"/>
    <w:rsid w:val="00D345FF"/>
    <w:rsid w:val="00D36031"/>
    <w:rsid w:val="00D41AC3"/>
    <w:rsid w:val="00D6304B"/>
    <w:rsid w:val="00D64ADC"/>
    <w:rsid w:val="00D711C3"/>
    <w:rsid w:val="00D769E6"/>
    <w:rsid w:val="00D831EB"/>
    <w:rsid w:val="00DB3CCA"/>
    <w:rsid w:val="00DD2A44"/>
    <w:rsid w:val="00DE192A"/>
    <w:rsid w:val="00DE45ED"/>
    <w:rsid w:val="00DF5561"/>
    <w:rsid w:val="00E05A92"/>
    <w:rsid w:val="00E150B1"/>
    <w:rsid w:val="00E15B78"/>
    <w:rsid w:val="00E20F6E"/>
    <w:rsid w:val="00E24606"/>
    <w:rsid w:val="00E40AEC"/>
    <w:rsid w:val="00E5077B"/>
    <w:rsid w:val="00E51159"/>
    <w:rsid w:val="00E660C9"/>
    <w:rsid w:val="00E669D3"/>
    <w:rsid w:val="00E70F11"/>
    <w:rsid w:val="00E72078"/>
    <w:rsid w:val="00E745E0"/>
    <w:rsid w:val="00E824CB"/>
    <w:rsid w:val="00EA46F1"/>
    <w:rsid w:val="00EA5C64"/>
    <w:rsid w:val="00ED4390"/>
    <w:rsid w:val="00F2487E"/>
    <w:rsid w:val="00F26420"/>
    <w:rsid w:val="00F26912"/>
    <w:rsid w:val="00F33950"/>
    <w:rsid w:val="00F37B60"/>
    <w:rsid w:val="00F61DF2"/>
    <w:rsid w:val="00F66912"/>
    <w:rsid w:val="00F7031F"/>
    <w:rsid w:val="00F742BE"/>
    <w:rsid w:val="00FA14BB"/>
    <w:rsid w:val="00FC0858"/>
    <w:rsid w:val="00FD27C0"/>
    <w:rsid w:val="00FD5E49"/>
    <w:rsid w:val="00FE6AE6"/>
    <w:rsid w:val="00FF22A6"/>
    <w:rsid w:val="015D5A57"/>
    <w:rsid w:val="02CF50BD"/>
    <w:rsid w:val="06552F15"/>
    <w:rsid w:val="0871603F"/>
    <w:rsid w:val="08AC19AE"/>
    <w:rsid w:val="09077D9B"/>
    <w:rsid w:val="0B451836"/>
    <w:rsid w:val="0D3D4770"/>
    <w:rsid w:val="0DF57533"/>
    <w:rsid w:val="0E0F2D35"/>
    <w:rsid w:val="0E6A399D"/>
    <w:rsid w:val="0E857138"/>
    <w:rsid w:val="0F227EA4"/>
    <w:rsid w:val="0F5205A8"/>
    <w:rsid w:val="104154AE"/>
    <w:rsid w:val="123D1B85"/>
    <w:rsid w:val="15344502"/>
    <w:rsid w:val="15B26672"/>
    <w:rsid w:val="162034A3"/>
    <w:rsid w:val="17191A1B"/>
    <w:rsid w:val="1A0148DD"/>
    <w:rsid w:val="1A463ED0"/>
    <w:rsid w:val="1B8E1A7A"/>
    <w:rsid w:val="1D08208C"/>
    <w:rsid w:val="1D2B49AB"/>
    <w:rsid w:val="1D5B4846"/>
    <w:rsid w:val="1E237E7E"/>
    <w:rsid w:val="1EFF4A06"/>
    <w:rsid w:val="1F533E08"/>
    <w:rsid w:val="1F7F64FD"/>
    <w:rsid w:val="1F954C73"/>
    <w:rsid w:val="20091475"/>
    <w:rsid w:val="20D613AC"/>
    <w:rsid w:val="217457D8"/>
    <w:rsid w:val="2330723F"/>
    <w:rsid w:val="236B0EA4"/>
    <w:rsid w:val="24AB2515"/>
    <w:rsid w:val="24D01C41"/>
    <w:rsid w:val="24EC5A0C"/>
    <w:rsid w:val="25505231"/>
    <w:rsid w:val="25DE0DB3"/>
    <w:rsid w:val="26782427"/>
    <w:rsid w:val="26C11F9D"/>
    <w:rsid w:val="291C0ADB"/>
    <w:rsid w:val="2A232E61"/>
    <w:rsid w:val="2A7700BA"/>
    <w:rsid w:val="2B025748"/>
    <w:rsid w:val="2BEE2172"/>
    <w:rsid w:val="2D7D35AC"/>
    <w:rsid w:val="2E100C11"/>
    <w:rsid w:val="30001143"/>
    <w:rsid w:val="311533DB"/>
    <w:rsid w:val="315251C1"/>
    <w:rsid w:val="325B0635"/>
    <w:rsid w:val="34562EA6"/>
    <w:rsid w:val="35BE7B1D"/>
    <w:rsid w:val="37C27387"/>
    <w:rsid w:val="37C330F5"/>
    <w:rsid w:val="390E5D5F"/>
    <w:rsid w:val="3A271C12"/>
    <w:rsid w:val="3C646B2F"/>
    <w:rsid w:val="3E4048E7"/>
    <w:rsid w:val="3E97235C"/>
    <w:rsid w:val="3FA50D03"/>
    <w:rsid w:val="3FB47E5D"/>
    <w:rsid w:val="403E2BF1"/>
    <w:rsid w:val="4206663F"/>
    <w:rsid w:val="42BF41FD"/>
    <w:rsid w:val="42E43CFD"/>
    <w:rsid w:val="432F2BEE"/>
    <w:rsid w:val="43DC2149"/>
    <w:rsid w:val="4544795B"/>
    <w:rsid w:val="45E407D2"/>
    <w:rsid w:val="478A748B"/>
    <w:rsid w:val="49CB08F7"/>
    <w:rsid w:val="49F6616E"/>
    <w:rsid w:val="4A2E72C4"/>
    <w:rsid w:val="4B121005"/>
    <w:rsid w:val="4B141055"/>
    <w:rsid w:val="4D0B658B"/>
    <w:rsid w:val="4D3D6C75"/>
    <w:rsid w:val="4DFA5431"/>
    <w:rsid w:val="50E670CB"/>
    <w:rsid w:val="515F600E"/>
    <w:rsid w:val="53A52936"/>
    <w:rsid w:val="53CE56A9"/>
    <w:rsid w:val="54AF4160"/>
    <w:rsid w:val="55A74129"/>
    <w:rsid w:val="55F60F9E"/>
    <w:rsid w:val="57465FB3"/>
    <w:rsid w:val="5BD10621"/>
    <w:rsid w:val="5CFC6FC7"/>
    <w:rsid w:val="5E7743AA"/>
    <w:rsid w:val="5F9816B2"/>
    <w:rsid w:val="60336B55"/>
    <w:rsid w:val="61516313"/>
    <w:rsid w:val="634033FF"/>
    <w:rsid w:val="63655192"/>
    <w:rsid w:val="64DA3681"/>
    <w:rsid w:val="65E66C8F"/>
    <w:rsid w:val="667D142E"/>
    <w:rsid w:val="67AD2B2C"/>
    <w:rsid w:val="69093257"/>
    <w:rsid w:val="6A080FCF"/>
    <w:rsid w:val="6A154DA2"/>
    <w:rsid w:val="6AC90847"/>
    <w:rsid w:val="6EFF222E"/>
    <w:rsid w:val="6F6B10F2"/>
    <w:rsid w:val="7184016E"/>
    <w:rsid w:val="74222042"/>
    <w:rsid w:val="75D91B12"/>
    <w:rsid w:val="766057FB"/>
    <w:rsid w:val="77CD4B73"/>
    <w:rsid w:val="79557DF0"/>
    <w:rsid w:val="7958726C"/>
    <w:rsid w:val="7B042B3B"/>
    <w:rsid w:val="7B146786"/>
    <w:rsid w:val="7C141CB7"/>
    <w:rsid w:val="7C3C1899"/>
    <w:rsid w:val="7C893740"/>
    <w:rsid w:val="7D781FE1"/>
    <w:rsid w:val="7D8B5C14"/>
    <w:rsid w:val="7E892B9A"/>
    <w:rsid w:val="7FC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3685D-5C85-4DC5-AF27-48EDD942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微软雅黑" w:hAnsi="Calibri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微软雅黑" w:hAnsi="Calibri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微软雅黑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eastAsia="宋体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005">
    <w:name w:val="005正文"/>
    <w:basedOn w:val="a"/>
    <w:qFormat/>
    <w:pPr>
      <w:adjustRightInd w:val="0"/>
      <w:snapToGrid w:val="0"/>
      <w:spacing w:beforeLines="50" w:line="360" w:lineRule="auto"/>
      <w:ind w:firstLineChars="200" w:firstLine="200"/>
    </w:pPr>
    <w:rPr>
      <w:rFonts w:asciiTheme="minorHAnsi" w:eastAsiaTheme="minorEastAsia" w:hAnsiTheme="minorHAnsi" w:cstheme="minorBidi"/>
      <w:kern w:val="0"/>
      <w:sz w:val="24"/>
    </w:rPr>
  </w:style>
  <w:style w:type="paragraph" w:styleId="ab">
    <w:name w:val="Body Text"/>
    <w:basedOn w:val="a"/>
    <w:link w:val="Char4"/>
    <w:uiPriority w:val="99"/>
    <w:semiHidden/>
    <w:unhideWhenUsed/>
    <w:rsid w:val="004907A8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rsid w:val="004907A8"/>
    <w:rPr>
      <w:rFonts w:ascii="Calibri" w:eastAsia="微软雅黑" w:hAnsi="Calibri" w:cs="Times New Roman"/>
      <w:kern w:val="2"/>
      <w:sz w:val="21"/>
      <w:szCs w:val="24"/>
    </w:rPr>
  </w:style>
  <w:style w:type="paragraph" w:styleId="ac">
    <w:name w:val="Body Text First Indent"/>
    <w:basedOn w:val="ab"/>
    <w:link w:val="Char5"/>
    <w:qFormat/>
    <w:rsid w:val="004907A8"/>
    <w:pPr>
      <w:widowControl/>
      <w:spacing w:line="240" w:lineRule="atLeast"/>
      <w:ind w:left="720" w:firstLineChars="100" w:firstLine="420"/>
      <w:jc w:val="left"/>
    </w:pPr>
    <w:rPr>
      <w:rFonts w:eastAsia="宋体"/>
      <w:kern w:val="0"/>
      <w:sz w:val="20"/>
      <w:szCs w:val="20"/>
    </w:rPr>
  </w:style>
  <w:style w:type="character" w:customStyle="1" w:styleId="Char5">
    <w:name w:val="正文首行缩进 Char"/>
    <w:basedOn w:val="Char4"/>
    <w:link w:val="ac"/>
    <w:rsid w:val="004907A8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D87F-0A33-4E7C-B3E5-1DBDE400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217</Words>
  <Characters>1242</Characters>
  <Application>Microsoft Office Word</Application>
  <DocSecurity>0</DocSecurity>
  <Lines>10</Lines>
  <Paragraphs>2</Paragraphs>
  <ScaleCrop>false</ScaleCrop>
  <Company>AB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邱素萍</cp:lastModifiedBy>
  <cp:revision>13</cp:revision>
  <cp:lastPrinted>2024-03-01T01:24:00Z</cp:lastPrinted>
  <dcterms:created xsi:type="dcterms:W3CDTF">2024-02-27T10:32:00Z</dcterms:created>
  <dcterms:modified xsi:type="dcterms:W3CDTF">2024-03-01T02:14:00Z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83052B29BFFE47B28A24E63CAFF36F51</vt:lpwstr>
  </property>
</Properties>
</file>