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F7" w:rsidRDefault="00561488">
      <w:pPr>
        <w:widowControl/>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证券代码：688132                                   证券简称：</w:t>
      </w:r>
      <w:proofErr w:type="gramStart"/>
      <w:r>
        <w:rPr>
          <w:rFonts w:ascii="宋体" w:eastAsia="宋体" w:hAnsi="宋体" w:cs="宋体" w:hint="eastAsia"/>
          <w:sz w:val="24"/>
          <w:szCs w:val="24"/>
        </w:rPr>
        <w:t>邦彦</w:t>
      </w:r>
      <w:proofErr w:type="gramEnd"/>
      <w:r>
        <w:rPr>
          <w:rFonts w:ascii="宋体" w:eastAsia="宋体" w:hAnsi="宋体" w:cs="宋体" w:hint="eastAsia"/>
          <w:sz w:val="24"/>
          <w:szCs w:val="24"/>
        </w:rPr>
        <w:t>技术</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邦彦技术股份有限公司</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投资者关系活动记录表</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（202</w:t>
      </w:r>
      <w:r w:rsidR="000A070B">
        <w:rPr>
          <w:rFonts w:ascii="宋体" w:eastAsia="宋体" w:hAnsi="宋体" w:cs="宋体"/>
          <w:b/>
          <w:iCs/>
          <w:color w:val="000000"/>
          <w:sz w:val="44"/>
          <w:szCs w:val="44"/>
        </w:rPr>
        <w:t>4</w:t>
      </w:r>
      <w:r>
        <w:rPr>
          <w:rFonts w:ascii="宋体" w:eastAsia="宋体" w:hAnsi="宋体" w:cs="宋体" w:hint="eastAsia"/>
          <w:b/>
          <w:iCs/>
          <w:color w:val="000000"/>
          <w:sz w:val="44"/>
          <w:szCs w:val="44"/>
        </w:rPr>
        <w:t>年</w:t>
      </w:r>
      <w:r w:rsidR="004444AF">
        <w:rPr>
          <w:rFonts w:ascii="宋体" w:eastAsia="宋体" w:hAnsi="宋体" w:cs="宋体"/>
          <w:b/>
          <w:iCs/>
          <w:color w:val="000000"/>
          <w:sz w:val="44"/>
          <w:szCs w:val="44"/>
        </w:rPr>
        <w:t>3</w:t>
      </w:r>
      <w:r>
        <w:rPr>
          <w:rFonts w:ascii="宋体" w:eastAsia="宋体" w:hAnsi="宋体" w:cs="宋体" w:hint="eastAsia"/>
          <w:b/>
          <w:iCs/>
          <w:color w:val="000000"/>
          <w:sz w:val="44"/>
          <w:szCs w:val="44"/>
        </w:rPr>
        <w:t>月</w:t>
      </w:r>
      <w:r w:rsidR="003B54B4">
        <w:rPr>
          <w:rFonts w:ascii="宋体" w:eastAsia="宋体" w:hAnsi="宋体" w:cs="宋体"/>
          <w:b/>
          <w:iCs/>
          <w:color w:val="000000"/>
          <w:sz w:val="44"/>
          <w:szCs w:val="44"/>
        </w:rPr>
        <w:t>1</w:t>
      </w:r>
      <w:r>
        <w:rPr>
          <w:rFonts w:ascii="宋体" w:eastAsia="宋体" w:hAnsi="宋体" w:cs="宋体" w:hint="eastAsia"/>
          <w:b/>
          <w:iCs/>
          <w:color w:val="000000"/>
          <w:sz w:val="44"/>
          <w:szCs w:val="44"/>
        </w:rPr>
        <w:t>日）</w:t>
      </w:r>
    </w:p>
    <w:p w:rsidR="003B4EF7" w:rsidRDefault="00561488">
      <w:pPr>
        <w:spacing w:line="360" w:lineRule="auto"/>
        <w:ind w:firstLineChars="0" w:firstLine="0"/>
        <w:jc w:val="right"/>
        <w:rPr>
          <w:rFonts w:ascii="宋体" w:eastAsia="宋体" w:hAnsi="宋体" w:cs="宋体"/>
          <w:bCs/>
          <w:iCs/>
          <w:color w:val="000000"/>
          <w:sz w:val="24"/>
          <w:szCs w:val="24"/>
        </w:rPr>
      </w:pPr>
      <w:r>
        <w:rPr>
          <w:rFonts w:ascii="宋体" w:eastAsia="宋体" w:hAnsi="宋体" w:cs="宋体" w:hint="eastAsia"/>
          <w:bCs/>
          <w:iCs/>
          <w:color w:val="000000"/>
          <w:sz w:val="24"/>
          <w:szCs w:val="24"/>
        </w:rPr>
        <w:t>编号：202</w:t>
      </w:r>
      <w:r w:rsidR="001F70F2">
        <w:rPr>
          <w:rFonts w:ascii="宋体" w:eastAsia="宋体" w:hAnsi="宋体" w:cs="宋体"/>
          <w:bCs/>
          <w:iCs/>
          <w:color w:val="000000"/>
          <w:sz w:val="24"/>
          <w:szCs w:val="24"/>
        </w:rPr>
        <w:t>4</w:t>
      </w:r>
      <w:r>
        <w:rPr>
          <w:rFonts w:ascii="宋体" w:eastAsia="宋体" w:hAnsi="宋体" w:cs="宋体" w:hint="eastAsia"/>
          <w:bCs/>
          <w:iCs/>
          <w:color w:val="000000"/>
          <w:sz w:val="24"/>
          <w:szCs w:val="24"/>
        </w:rPr>
        <w:t>-</w:t>
      </w:r>
      <w:r w:rsidR="00AF3A5A">
        <w:rPr>
          <w:rFonts w:ascii="宋体" w:eastAsia="宋体" w:hAnsi="宋体" w:cs="宋体" w:hint="eastAsia"/>
          <w:bCs/>
          <w:iCs/>
          <w:color w:val="000000"/>
          <w:sz w:val="24"/>
          <w:szCs w:val="24"/>
        </w:rPr>
        <w:t>0</w:t>
      </w:r>
      <w:r w:rsidR="001F70F2">
        <w:rPr>
          <w:rFonts w:ascii="宋体" w:eastAsia="宋体" w:hAnsi="宋体" w:cs="宋体"/>
          <w:bCs/>
          <w:iCs/>
          <w:color w:val="000000"/>
          <w:sz w:val="24"/>
          <w:szCs w:val="24"/>
        </w:rPr>
        <w:t>0</w:t>
      </w:r>
      <w:r w:rsidR="004444AF">
        <w:rPr>
          <w:rFonts w:ascii="宋体" w:eastAsia="宋体" w:hAnsi="宋体" w:cs="宋体"/>
          <w:bCs/>
          <w:iCs/>
          <w:color w:val="000000"/>
          <w:sz w:val="24"/>
          <w:szCs w:val="24"/>
        </w:rPr>
        <w:t>3</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637"/>
      </w:tblGrid>
      <w:tr w:rsidR="003B4EF7" w:rsidTr="001A42F0">
        <w:trPr>
          <w:trHeight w:val="1872"/>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投资者关系活动类别</w:t>
            </w:r>
          </w:p>
          <w:p w:rsidR="003B4EF7" w:rsidRDefault="003B4EF7">
            <w:pPr>
              <w:spacing w:line="360" w:lineRule="auto"/>
              <w:ind w:firstLineChars="0" w:firstLine="0"/>
              <w:jc w:val="center"/>
              <w:rPr>
                <w:rFonts w:ascii="宋体" w:eastAsia="宋体" w:hAnsi="宋体" w:cs="宋体"/>
                <w:b/>
                <w:iCs/>
                <w:color w:val="000000"/>
                <w:sz w:val="24"/>
                <w:szCs w:val="24"/>
              </w:rPr>
            </w:pP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3B4EF7" w:rsidRDefault="001F70F2">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sym w:font="Wingdings 2" w:char="0052"/>
            </w:r>
            <w:r w:rsidR="00561488">
              <w:rPr>
                <w:rFonts w:ascii="宋体" w:eastAsia="宋体" w:hAnsi="宋体" w:cs="宋体" w:hint="eastAsia"/>
                <w:bCs/>
                <w:iCs/>
                <w:color w:val="000000"/>
                <w:sz w:val="24"/>
                <w:szCs w:val="24"/>
              </w:rPr>
              <w:t>特定对象调研  □分析师会议</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□媒体采访      </w:t>
            </w:r>
            <w:r w:rsidR="00170FC4">
              <w:rPr>
                <w:rFonts w:ascii="宋体" w:eastAsia="宋体" w:hAnsi="宋体" w:cs="宋体" w:hint="eastAsia"/>
                <w:bCs/>
                <w:iCs/>
                <w:color w:val="000000"/>
                <w:sz w:val="24"/>
                <w:szCs w:val="24"/>
              </w:rPr>
              <w:t>□</w:t>
            </w:r>
            <w:r>
              <w:rPr>
                <w:rFonts w:ascii="宋体" w:eastAsia="宋体" w:hAnsi="宋体" w:cs="宋体" w:hint="eastAsia"/>
                <w:bCs/>
                <w:iCs/>
                <w:color w:val="000000"/>
                <w:sz w:val="24"/>
                <w:szCs w:val="24"/>
              </w:rPr>
              <w:t>业绩说明会</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□新闻发布会    </w:t>
            </w:r>
            <w:r w:rsidR="001F70F2">
              <w:rPr>
                <w:rFonts w:ascii="宋体" w:eastAsia="宋体" w:hAnsi="宋体" w:cs="宋体" w:hint="eastAsia"/>
                <w:bCs/>
                <w:iCs/>
                <w:color w:val="000000"/>
                <w:sz w:val="24"/>
                <w:szCs w:val="24"/>
              </w:rPr>
              <w:t>□</w:t>
            </w:r>
            <w:r>
              <w:rPr>
                <w:rFonts w:ascii="宋体" w:eastAsia="宋体" w:hAnsi="宋体" w:cs="宋体" w:hint="eastAsia"/>
                <w:bCs/>
                <w:iCs/>
                <w:color w:val="000000"/>
                <w:sz w:val="24"/>
                <w:szCs w:val="24"/>
              </w:rPr>
              <w:t>路演活动</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□现场参观      </w:t>
            </w:r>
            <w:r w:rsidR="007C1C5B">
              <w:rPr>
                <w:rFonts w:ascii="宋体" w:eastAsia="宋体" w:hAnsi="宋体" w:cs="宋体" w:hint="eastAsia"/>
                <w:bCs/>
                <w:iCs/>
                <w:color w:val="000000"/>
                <w:sz w:val="24"/>
                <w:szCs w:val="24"/>
              </w:rPr>
              <w:sym w:font="Wingdings 2" w:char="00A3"/>
            </w:r>
            <w:r w:rsidR="007C1C5B">
              <w:rPr>
                <w:rFonts w:ascii="宋体" w:eastAsia="宋体" w:hAnsi="宋体" w:cs="宋体" w:hint="eastAsia"/>
                <w:bCs/>
                <w:iCs/>
                <w:color w:val="000000"/>
                <w:sz w:val="24"/>
                <w:szCs w:val="24"/>
              </w:rPr>
              <w:t>其他</w:t>
            </w:r>
            <w:r w:rsidR="007C1C5B">
              <w:rPr>
                <w:rFonts w:ascii="宋体" w:eastAsia="宋体" w:hAnsi="宋体" w:cs="宋体" w:hint="eastAsia"/>
                <w:bCs/>
                <w:iCs/>
                <w:color w:val="000000"/>
                <w:sz w:val="24"/>
                <w:szCs w:val="24"/>
                <w:u w:val="single"/>
              </w:rPr>
              <w:t xml:space="preserve">             </w:t>
            </w:r>
          </w:p>
        </w:tc>
      </w:tr>
      <w:tr w:rsidR="003B4EF7" w:rsidTr="001A42F0">
        <w:trPr>
          <w:trHeight w:val="1104"/>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参与单位名称及人员姓名</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Pr="00AB562B" w:rsidRDefault="001210E0" w:rsidP="001F70F2">
            <w:pPr>
              <w:widowControl/>
              <w:ind w:firstLineChars="0" w:firstLine="0"/>
              <w:jc w:val="left"/>
              <w:textAlignment w:val="center"/>
              <w:rPr>
                <w:rFonts w:asciiTheme="majorEastAsia" w:eastAsiaTheme="majorEastAsia" w:hAnsiTheme="majorEastAsia" w:cs="等线"/>
                <w:color w:val="000000"/>
                <w:sz w:val="22"/>
                <w:szCs w:val="22"/>
              </w:rPr>
            </w:pPr>
            <w:r>
              <w:rPr>
                <w:rFonts w:asciiTheme="majorEastAsia" w:eastAsiaTheme="majorEastAsia" w:hAnsiTheme="majorEastAsia" w:cs="等线" w:hint="eastAsia"/>
                <w:color w:val="000000"/>
                <w:sz w:val="24"/>
                <w:szCs w:val="22"/>
              </w:rPr>
              <w:t>华安</w:t>
            </w:r>
            <w:proofErr w:type="gramStart"/>
            <w:r>
              <w:rPr>
                <w:rFonts w:asciiTheme="majorEastAsia" w:eastAsiaTheme="majorEastAsia" w:hAnsiTheme="majorEastAsia" w:cs="等线" w:hint="eastAsia"/>
                <w:color w:val="000000"/>
                <w:sz w:val="24"/>
                <w:szCs w:val="22"/>
              </w:rPr>
              <w:t>证券陈晶</w:t>
            </w:r>
            <w:proofErr w:type="gramEnd"/>
            <w:r>
              <w:rPr>
                <w:rFonts w:asciiTheme="majorEastAsia" w:eastAsiaTheme="majorEastAsia" w:hAnsiTheme="majorEastAsia" w:cs="等线" w:hint="eastAsia"/>
                <w:color w:val="000000"/>
                <w:sz w:val="24"/>
                <w:szCs w:val="22"/>
              </w:rPr>
              <w:t>、李元晨，山西证券张天，德</w:t>
            </w:r>
            <w:proofErr w:type="gramStart"/>
            <w:r>
              <w:rPr>
                <w:rFonts w:asciiTheme="majorEastAsia" w:eastAsiaTheme="majorEastAsia" w:hAnsiTheme="majorEastAsia" w:cs="等线" w:hint="eastAsia"/>
                <w:color w:val="000000"/>
                <w:sz w:val="24"/>
                <w:szCs w:val="22"/>
              </w:rPr>
              <w:t>邦证券马</w:t>
            </w:r>
            <w:proofErr w:type="gramEnd"/>
            <w:r>
              <w:rPr>
                <w:rFonts w:asciiTheme="majorEastAsia" w:eastAsiaTheme="majorEastAsia" w:hAnsiTheme="majorEastAsia" w:cs="等线" w:hint="eastAsia"/>
                <w:color w:val="000000"/>
                <w:sz w:val="24"/>
                <w:szCs w:val="22"/>
              </w:rPr>
              <w:t>卓群、杨若愚，中银国际吕然，</w:t>
            </w:r>
            <w:proofErr w:type="gramStart"/>
            <w:r>
              <w:rPr>
                <w:rFonts w:asciiTheme="majorEastAsia" w:eastAsiaTheme="majorEastAsia" w:hAnsiTheme="majorEastAsia" w:cs="等线" w:hint="eastAsia"/>
                <w:color w:val="000000"/>
                <w:sz w:val="24"/>
                <w:szCs w:val="22"/>
              </w:rPr>
              <w:t>远希基金周</w:t>
            </w:r>
            <w:proofErr w:type="gramEnd"/>
            <w:r>
              <w:rPr>
                <w:rFonts w:asciiTheme="majorEastAsia" w:eastAsiaTheme="majorEastAsia" w:hAnsiTheme="majorEastAsia" w:cs="等线" w:hint="eastAsia"/>
                <w:color w:val="000000"/>
                <w:sz w:val="24"/>
                <w:szCs w:val="22"/>
              </w:rPr>
              <w:t>文强、高志强，毅行资本王凯旋，大智慧基金柳月，国联</w:t>
            </w:r>
            <w:proofErr w:type="gramStart"/>
            <w:r>
              <w:rPr>
                <w:rFonts w:asciiTheme="majorEastAsia" w:eastAsiaTheme="majorEastAsia" w:hAnsiTheme="majorEastAsia" w:cs="等线" w:hint="eastAsia"/>
                <w:color w:val="000000"/>
                <w:sz w:val="24"/>
                <w:szCs w:val="22"/>
              </w:rPr>
              <w:t>安基金</w:t>
            </w:r>
            <w:proofErr w:type="gramEnd"/>
            <w:r>
              <w:rPr>
                <w:rFonts w:asciiTheme="majorEastAsia" w:eastAsiaTheme="majorEastAsia" w:hAnsiTheme="majorEastAsia" w:cs="等线" w:hint="eastAsia"/>
                <w:color w:val="000000"/>
                <w:sz w:val="24"/>
                <w:szCs w:val="22"/>
              </w:rPr>
              <w:t>芮鹏亮，国联</w:t>
            </w:r>
            <w:proofErr w:type="gramStart"/>
            <w:r>
              <w:rPr>
                <w:rFonts w:asciiTheme="majorEastAsia" w:eastAsiaTheme="majorEastAsia" w:hAnsiTheme="majorEastAsia" w:cs="等线" w:hint="eastAsia"/>
                <w:color w:val="000000"/>
                <w:sz w:val="24"/>
                <w:szCs w:val="22"/>
              </w:rPr>
              <w:t>证券吴爽</w:t>
            </w:r>
            <w:proofErr w:type="gramEnd"/>
            <w:r>
              <w:rPr>
                <w:rFonts w:asciiTheme="majorEastAsia" w:eastAsiaTheme="majorEastAsia" w:hAnsiTheme="majorEastAsia" w:cs="等线" w:hint="eastAsia"/>
                <w:color w:val="000000"/>
                <w:sz w:val="24"/>
                <w:szCs w:val="22"/>
              </w:rPr>
              <w:t>、曲芮萱，</w:t>
            </w:r>
            <w:proofErr w:type="gramStart"/>
            <w:r>
              <w:rPr>
                <w:rFonts w:asciiTheme="majorEastAsia" w:eastAsiaTheme="majorEastAsia" w:hAnsiTheme="majorEastAsia" w:cs="等线" w:hint="eastAsia"/>
                <w:color w:val="000000"/>
                <w:sz w:val="24"/>
                <w:szCs w:val="22"/>
              </w:rPr>
              <w:t>农银汇理</w:t>
            </w:r>
            <w:proofErr w:type="gramEnd"/>
            <w:r>
              <w:rPr>
                <w:rFonts w:asciiTheme="majorEastAsia" w:eastAsiaTheme="majorEastAsia" w:hAnsiTheme="majorEastAsia" w:cs="等线" w:hint="eastAsia"/>
                <w:color w:val="000000"/>
                <w:sz w:val="24"/>
                <w:szCs w:val="22"/>
              </w:rPr>
              <w:t>基金高晗，中财招商冯淑荣，中</w:t>
            </w:r>
            <w:proofErr w:type="gramStart"/>
            <w:r>
              <w:rPr>
                <w:rFonts w:asciiTheme="majorEastAsia" w:eastAsiaTheme="majorEastAsia" w:hAnsiTheme="majorEastAsia" w:cs="等线" w:hint="eastAsia"/>
                <w:color w:val="000000"/>
                <w:sz w:val="24"/>
                <w:szCs w:val="22"/>
              </w:rPr>
              <w:t>邮基金刘</w:t>
            </w:r>
            <w:proofErr w:type="gramEnd"/>
            <w:r>
              <w:rPr>
                <w:rFonts w:asciiTheme="majorEastAsia" w:eastAsiaTheme="majorEastAsia" w:hAnsiTheme="majorEastAsia" w:cs="等线" w:hint="eastAsia"/>
                <w:color w:val="000000"/>
                <w:sz w:val="24"/>
                <w:szCs w:val="22"/>
              </w:rPr>
              <w:t>星辰，华夏基金何亮，</w:t>
            </w:r>
            <w:proofErr w:type="gramStart"/>
            <w:r>
              <w:rPr>
                <w:rFonts w:asciiTheme="majorEastAsia" w:eastAsiaTheme="majorEastAsia" w:hAnsiTheme="majorEastAsia" w:cs="等线" w:hint="eastAsia"/>
                <w:color w:val="000000"/>
                <w:sz w:val="24"/>
                <w:szCs w:val="22"/>
              </w:rPr>
              <w:t>国投瑞银朱</w:t>
            </w:r>
            <w:proofErr w:type="gramEnd"/>
            <w:r>
              <w:rPr>
                <w:rFonts w:asciiTheme="majorEastAsia" w:eastAsiaTheme="majorEastAsia" w:hAnsiTheme="majorEastAsia" w:cs="等线" w:hint="eastAsia"/>
                <w:color w:val="000000"/>
                <w:sz w:val="24"/>
                <w:szCs w:val="22"/>
              </w:rPr>
              <w:t>益青，</w:t>
            </w:r>
            <w:proofErr w:type="gramStart"/>
            <w:r>
              <w:rPr>
                <w:rFonts w:asciiTheme="majorEastAsia" w:eastAsiaTheme="majorEastAsia" w:hAnsiTheme="majorEastAsia" w:cs="等线" w:hint="eastAsia"/>
                <w:color w:val="000000"/>
                <w:sz w:val="24"/>
                <w:szCs w:val="22"/>
              </w:rPr>
              <w:t>永赢基金曹</w:t>
            </w:r>
            <w:proofErr w:type="gramEnd"/>
            <w:r>
              <w:rPr>
                <w:rFonts w:asciiTheme="majorEastAsia" w:eastAsiaTheme="majorEastAsia" w:hAnsiTheme="majorEastAsia" w:cs="等线" w:hint="eastAsia"/>
                <w:color w:val="000000"/>
                <w:sz w:val="24"/>
                <w:szCs w:val="22"/>
              </w:rPr>
              <w:t>永毅</w:t>
            </w:r>
          </w:p>
        </w:tc>
      </w:tr>
      <w:tr w:rsidR="003B4EF7" w:rsidTr="001A42F0">
        <w:trPr>
          <w:trHeight w:val="482"/>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时间</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3B4EF7" w:rsidRDefault="00561488" w:rsidP="001210E0">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202</w:t>
            </w:r>
            <w:r w:rsidR="001F70F2">
              <w:rPr>
                <w:rFonts w:ascii="宋体" w:eastAsia="宋体" w:hAnsi="宋体" w:cs="宋体"/>
                <w:bCs/>
                <w:iCs/>
                <w:color w:val="000000"/>
                <w:sz w:val="24"/>
                <w:szCs w:val="24"/>
              </w:rPr>
              <w:t>4</w:t>
            </w:r>
            <w:r>
              <w:rPr>
                <w:rFonts w:ascii="宋体" w:eastAsia="宋体" w:hAnsi="宋体" w:cs="宋体" w:hint="eastAsia"/>
                <w:bCs/>
                <w:iCs/>
                <w:color w:val="000000"/>
                <w:sz w:val="24"/>
                <w:szCs w:val="24"/>
              </w:rPr>
              <w:t>年</w:t>
            </w:r>
            <w:r w:rsidR="001210E0">
              <w:rPr>
                <w:rFonts w:ascii="宋体" w:eastAsia="宋体" w:hAnsi="宋体" w:cs="宋体"/>
                <w:bCs/>
                <w:iCs/>
                <w:color w:val="000000"/>
                <w:sz w:val="24"/>
                <w:szCs w:val="24"/>
              </w:rPr>
              <w:t>2</w:t>
            </w:r>
            <w:r>
              <w:rPr>
                <w:rFonts w:ascii="宋体" w:eastAsia="宋体" w:hAnsi="宋体" w:cs="宋体" w:hint="eastAsia"/>
                <w:bCs/>
                <w:iCs/>
                <w:color w:val="000000"/>
                <w:sz w:val="24"/>
                <w:szCs w:val="24"/>
              </w:rPr>
              <w:t>月</w:t>
            </w:r>
            <w:r w:rsidR="001210E0">
              <w:rPr>
                <w:rFonts w:ascii="宋体" w:eastAsia="宋体" w:hAnsi="宋体" w:cs="宋体"/>
                <w:bCs/>
                <w:iCs/>
                <w:color w:val="000000"/>
                <w:sz w:val="24"/>
                <w:szCs w:val="24"/>
              </w:rPr>
              <w:t>29</w:t>
            </w:r>
            <w:r>
              <w:rPr>
                <w:rFonts w:ascii="宋体" w:eastAsia="宋体" w:hAnsi="宋体" w:cs="宋体" w:hint="eastAsia"/>
                <w:bCs/>
                <w:iCs/>
                <w:color w:val="000000"/>
                <w:sz w:val="24"/>
                <w:szCs w:val="24"/>
              </w:rPr>
              <w:t>日</w:t>
            </w:r>
          </w:p>
        </w:tc>
      </w:tr>
      <w:tr w:rsidR="001A42F0" w:rsidTr="001A42F0">
        <w:trPr>
          <w:trHeight w:val="536"/>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地点</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1210E0" w:rsidP="003B54B4">
            <w:pPr>
              <w:spacing w:line="360" w:lineRule="auto"/>
              <w:ind w:firstLineChars="0" w:firstLine="0"/>
              <w:jc w:val="left"/>
              <w:rPr>
                <w:rFonts w:ascii="宋体" w:eastAsia="宋体" w:hAnsi="宋体" w:cs="宋体"/>
                <w:bCs/>
                <w:iCs/>
                <w:color w:val="000000"/>
                <w:sz w:val="24"/>
                <w:szCs w:val="24"/>
              </w:rPr>
            </w:pPr>
            <w:r>
              <w:rPr>
                <w:rFonts w:ascii="宋体" w:eastAsia="宋体" w:hAnsi="宋体" w:cs="宋体" w:hint="eastAsia"/>
                <w:sz w:val="24"/>
                <w:szCs w:val="24"/>
              </w:rPr>
              <w:t>上海</w:t>
            </w:r>
          </w:p>
        </w:tc>
      </w:tr>
      <w:tr w:rsidR="001A42F0" w:rsidTr="001A42F0">
        <w:trPr>
          <w:trHeight w:val="941"/>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上市公司接待人员姓名</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1A42F0" w:rsidP="00170FC4">
            <w:pPr>
              <w:spacing w:line="360" w:lineRule="auto"/>
              <w:ind w:firstLineChars="0" w:firstLine="0"/>
              <w:jc w:val="left"/>
              <w:rPr>
                <w:rFonts w:ascii="宋体" w:eastAsia="宋体" w:hAnsi="宋体" w:cs="宋体"/>
                <w:sz w:val="24"/>
                <w:szCs w:val="24"/>
              </w:rPr>
            </w:pPr>
            <w:r>
              <w:rPr>
                <w:rFonts w:ascii="宋体" w:eastAsia="宋体" w:hAnsi="宋体" w:cs="宋体"/>
                <w:sz w:val="24"/>
                <w:szCs w:val="24"/>
              </w:rPr>
              <w:t>董事会</w:t>
            </w:r>
            <w:r>
              <w:rPr>
                <w:rFonts w:ascii="宋体" w:eastAsia="宋体" w:hAnsi="宋体" w:cs="宋体" w:hint="eastAsia"/>
                <w:sz w:val="24"/>
                <w:szCs w:val="24"/>
              </w:rPr>
              <w:t>秘书:</w:t>
            </w:r>
            <w:r>
              <w:rPr>
                <w:rFonts w:ascii="宋体" w:eastAsia="宋体" w:hAnsi="宋体" w:cs="宋体"/>
                <w:sz w:val="24"/>
                <w:szCs w:val="24"/>
              </w:rPr>
              <w:t>邹家瑞</w:t>
            </w:r>
          </w:p>
        </w:tc>
      </w:tr>
      <w:tr w:rsidR="001A42F0" w:rsidTr="001A42F0">
        <w:trPr>
          <w:trHeight w:val="857"/>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投资者关系活动主要内容介绍</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1A42F0" w:rsidP="001A42F0">
            <w:pPr>
              <w:pStyle w:val="a5"/>
              <w:numPr>
                <w:ilvl w:val="0"/>
                <w:numId w:val="1"/>
              </w:numPr>
              <w:spacing w:line="360" w:lineRule="auto"/>
              <w:ind w:firstLineChars="0"/>
              <w:rPr>
                <w:rFonts w:ascii="宋体" w:eastAsia="宋体" w:hAnsi="宋体" w:cs="宋体"/>
                <w:b/>
                <w:sz w:val="24"/>
                <w:szCs w:val="24"/>
              </w:rPr>
            </w:pPr>
            <w:r>
              <w:rPr>
                <w:rFonts w:ascii="宋体" w:eastAsia="宋体" w:hAnsi="宋体" w:cs="宋体"/>
                <w:b/>
                <w:sz w:val="24"/>
                <w:szCs w:val="24"/>
              </w:rPr>
              <w:t>公司基本情况介绍</w:t>
            </w:r>
          </w:p>
          <w:p w:rsidR="001A42F0" w:rsidRDefault="007D6190" w:rsidP="001A42F0">
            <w:pPr>
              <w:pStyle w:val="3"/>
              <w:tabs>
                <w:tab w:val="clear" w:pos="1440"/>
                <w:tab w:val="left" w:pos="851"/>
              </w:tabs>
              <w:spacing w:before="0" w:afterLines="50" w:after="156" w:line="360" w:lineRule="auto"/>
              <w:ind w:left="0" w:firstLine="480"/>
            </w:pPr>
            <w:r w:rsidRPr="007D6190">
              <w:rPr>
                <w:rFonts w:ascii="宋体" w:eastAsia="宋体" w:hAnsi="宋体" w:cs="宋体" w:hint="eastAsia"/>
                <w:b w:val="0"/>
                <w:kern w:val="2"/>
                <w:sz w:val="24"/>
                <w:szCs w:val="24"/>
              </w:rPr>
              <w:t>首先公司董事会秘书邹家瑞介绍了公司当前基本业务及经营情况。</w:t>
            </w:r>
          </w:p>
          <w:p w:rsidR="001A42F0" w:rsidRDefault="001A42F0" w:rsidP="00A9286C">
            <w:pPr>
              <w:pStyle w:val="a5"/>
              <w:numPr>
                <w:ilvl w:val="0"/>
                <w:numId w:val="1"/>
              </w:numPr>
              <w:spacing w:line="360" w:lineRule="auto"/>
              <w:ind w:firstLineChars="0"/>
              <w:rPr>
                <w:rFonts w:ascii="宋体" w:hAnsi="宋体" w:cs="Arial"/>
                <w:sz w:val="24"/>
                <w:szCs w:val="24"/>
              </w:rPr>
            </w:pPr>
            <w:r>
              <w:rPr>
                <w:rFonts w:ascii="宋体" w:eastAsia="宋体" w:hAnsi="宋体" w:cs="宋体" w:hint="eastAsia"/>
                <w:b/>
                <w:sz w:val="24"/>
                <w:szCs w:val="24"/>
              </w:rPr>
              <w:t>与会人员就公司情况进行了交流，主要内容如下：</w:t>
            </w:r>
            <w:bookmarkStart w:id="0" w:name="_Toc113625092"/>
            <w:bookmarkStart w:id="1" w:name="_Toc113625088"/>
          </w:p>
          <w:p w:rsidR="008740DE" w:rsidRPr="008740DE" w:rsidRDefault="008740DE" w:rsidP="008740DE">
            <w:pPr>
              <w:spacing w:line="360" w:lineRule="auto"/>
              <w:ind w:firstLine="482"/>
              <w:rPr>
                <w:rFonts w:asciiTheme="minorEastAsia" w:eastAsiaTheme="minorEastAsia" w:hAnsiTheme="minorEastAsia"/>
                <w:b/>
                <w:sz w:val="24"/>
                <w:szCs w:val="24"/>
              </w:rPr>
            </w:pPr>
            <w:bookmarkStart w:id="2" w:name="_Toc144735703"/>
            <w:bookmarkEnd w:id="0"/>
            <w:bookmarkEnd w:id="1"/>
            <w:r w:rsidRPr="008740DE">
              <w:rPr>
                <w:rFonts w:asciiTheme="minorEastAsia" w:eastAsiaTheme="minorEastAsia" w:hAnsiTheme="minorEastAsia"/>
                <w:b/>
                <w:sz w:val="24"/>
                <w:szCs w:val="24"/>
              </w:rPr>
              <w:t>1</w:t>
            </w:r>
            <w:r w:rsidRPr="008740DE">
              <w:rPr>
                <w:rFonts w:asciiTheme="minorEastAsia" w:eastAsiaTheme="minorEastAsia" w:hAnsiTheme="minorEastAsia" w:hint="eastAsia"/>
                <w:b/>
                <w:sz w:val="24"/>
                <w:szCs w:val="24"/>
              </w:rPr>
              <w:t>、请问公司</w:t>
            </w:r>
            <w:r w:rsidR="001F70F2">
              <w:rPr>
                <w:rFonts w:asciiTheme="minorEastAsia" w:eastAsiaTheme="minorEastAsia" w:hAnsiTheme="minorEastAsia" w:hint="eastAsia"/>
                <w:b/>
                <w:sz w:val="24"/>
                <w:szCs w:val="24"/>
              </w:rPr>
              <w:t>2</w:t>
            </w:r>
            <w:r w:rsidR="001F70F2">
              <w:rPr>
                <w:rFonts w:asciiTheme="minorEastAsia" w:eastAsiaTheme="minorEastAsia" w:hAnsiTheme="minorEastAsia"/>
                <w:b/>
                <w:sz w:val="24"/>
                <w:szCs w:val="24"/>
              </w:rPr>
              <w:t>023年业绩下滑的原因</w:t>
            </w:r>
            <w:r w:rsidRPr="008740DE">
              <w:rPr>
                <w:rFonts w:asciiTheme="minorEastAsia" w:eastAsiaTheme="minorEastAsia" w:hAnsiTheme="minorEastAsia" w:hint="eastAsia"/>
                <w:b/>
                <w:sz w:val="24"/>
                <w:szCs w:val="24"/>
              </w:rPr>
              <w:t>？</w:t>
            </w:r>
            <w:bookmarkEnd w:id="2"/>
          </w:p>
          <w:p w:rsidR="008740DE" w:rsidRPr="008740DE" w:rsidRDefault="00624AC3" w:rsidP="008740DE">
            <w:pPr>
              <w:spacing w:line="360" w:lineRule="auto"/>
              <w:ind w:firstLine="480"/>
              <w:rPr>
                <w:rFonts w:asciiTheme="minorEastAsia" w:eastAsiaTheme="minorEastAsia" w:hAnsiTheme="minorEastAsia"/>
                <w:sz w:val="24"/>
                <w:szCs w:val="24"/>
              </w:rPr>
            </w:pPr>
            <w:r w:rsidRPr="00624AC3">
              <w:rPr>
                <w:rFonts w:asciiTheme="minorEastAsia" w:eastAsiaTheme="minorEastAsia" w:hAnsiTheme="minorEastAsia" w:hint="eastAsia"/>
                <w:sz w:val="24"/>
                <w:szCs w:val="24"/>
              </w:rPr>
              <w:t>报告期内，营业收入较上年同期大幅下降。主要系受到客户交付节奏及验收延迟等因素影响，公司第四季度大部分产品订单都延期交付及验收，未能如期实现收入确认，从而造成了公司2023年度经营业绩的下滑。</w:t>
            </w:r>
            <w:r w:rsidRPr="00624AC3">
              <w:rPr>
                <w:rFonts w:asciiTheme="minorEastAsia" w:eastAsiaTheme="minorEastAsia" w:hAnsiTheme="minorEastAsia" w:hint="eastAsia"/>
                <w:sz w:val="24"/>
                <w:szCs w:val="24"/>
              </w:rPr>
              <w:cr/>
            </w:r>
            <w:r>
              <w:rPr>
                <w:rFonts w:asciiTheme="minorEastAsia" w:eastAsiaTheme="minorEastAsia" w:hAnsiTheme="minorEastAsia"/>
                <w:sz w:val="24"/>
                <w:szCs w:val="24"/>
              </w:rPr>
              <w:lastRenderedPageBreak/>
              <w:t xml:space="preserve">    </w:t>
            </w:r>
            <w:r w:rsidRPr="00624AC3">
              <w:rPr>
                <w:rFonts w:asciiTheme="minorEastAsia" w:eastAsiaTheme="minorEastAsia" w:hAnsiTheme="minorEastAsia" w:hint="eastAsia"/>
                <w:sz w:val="24"/>
                <w:szCs w:val="24"/>
              </w:rPr>
              <w:t>此外，报告期内，公司部分费用增长较大。公司积极提升产品竞争力，持续加大研发投入力度，研发费用增加；为吸引和留住人才，公司实施了2023年股票期权激励计划，本报告期内确认了所属当年的激励计划成本。</w:t>
            </w:r>
            <w:r w:rsidRPr="00624AC3">
              <w:rPr>
                <w:rFonts w:asciiTheme="minorEastAsia" w:eastAsiaTheme="minorEastAsia" w:hAnsiTheme="minorEastAsia" w:hint="eastAsia"/>
                <w:sz w:val="24"/>
                <w:szCs w:val="24"/>
              </w:rPr>
              <w:cr/>
            </w:r>
            <w:r>
              <w:rPr>
                <w:rFonts w:asciiTheme="minorEastAsia" w:eastAsiaTheme="minorEastAsia" w:hAnsiTheme="minorEastAsia"/>
                <w:sz w:val="24"/>
                <w:szCs w:val="24"/>
              </w:rPr>
              <w:t xml:space="preserve">    </w:t>
            </w:r>
            <w:r w:rsidRPr="00624AC3">
              <w:rPr>
                <w:rFonts w:asciiTheme="minorEastAsia" w:eastAsiaTheme="minorEastAsia" w:hAnsiTheme="minorEastAsia" w:hint="eastAsia"/>
                <w:sz w:val="24"/>
                <w:szCs w:val="24"/>
              </w:rPr>
              <w:t>截至本报告期末，公司尚有在手订单</w:t>
            </w:r>
            <w:proofErr w:type="gramStart"/>
            <w:r w:rsidRPr="00624AC3">
              <w:rPr>
                <w:rFonts w:asciiTheme="minorEastAsia" w:eastAsiaTheme="minorEastAsia" w:hAnsiTheme="minorEastAsia" w:hint="eastAsia"/>
                <w:sz w:val="24"/>
                <w:szCs w:val="24"/>
              </w:rPr>
              <w:t>及备产通知书</w:t>
            </w:r>
            <w:proofErr w:type="gramEnd"/>
            <w:r w:rsidRPr="00624AC3">
              <w:rPr>
                <w:rFonts w:asciiTheme="minorEastAsia" w:eastAsiaTheme="minorEastAsia" w:hAnsiTheme="minorEastAsia" w:hint="eastAsia"/>
                <w:sz w:val="24"/>
                <w:szCs w:val="24"/>
              </w:rPr>
              <w:t>约30,601万元，经营活动产生的现金流量净额较上年有较大增长。公司在手订单及现金流充足，为公司后续业绩发展提供了有力支撑。</w:t>
            </w:r>
          </w:p>
          <w:p w:rsidR="00C85E6F" w:rsidRPr="00C85E6F" w:rsidRDefault="008740DE" w:rsidP="00C85E6F">
            <w:pPr>
              <w:pStyle w:val="a6"/>
              <w:ind w:firstLine="482"/>
              <w:jc w:val="both"/>
              <w:rPr>
                <w:rFonts w:ascii="Calibri Light" w:hAnsi="Calibri Light" w:hint="eastAsia"/>
                <w:sz w:val="24"/>
                <w:szCs w:val="24"/>
              </w:rPr>
            </w:pPr>
            <w:bookmarkStart w:id="3" w:name="_Toc144735704"/>
            <w:r w:rsidRPr="008740DE">
              <w:rPr>
                <w:rFonts w:asciiTheme="minorEastAsia" w:eastAsiaTheme="minorEastAsia" w:hAnsiTheme="minorEastAsia"/>
                <w:sz w:val="24"/>
                <w:szCs w:val="24"/>
              </w:rPr>
              <w:t>2</w:t>
            </w:r>
            <w:r w:rsidRPr="008740DE">
              <w:rPr>
                <w:rFonts w:asciiTheme="minorEastAsia" w:eastAsiaTheme="minorEastAsia" w:hAnsiTheme="minorEastAsia" w:hint="eastAsia"/>
                <w:sz w:val="24"/>
                <w:szCs w:val="24"/>
              </w:rPr>
              <w:t>、</w:t>
            </w:r>
            <w:bookmarkEnd w:id="3"/>
            <w:r w:rsidR="00C85E6F">
              <w:rPr>
                <w:rFonts w:ascii="Calibri Light" w:hAnsi="Calibri Light" w:hint="eastAsia"/>
                <w:sz w:val="24"/>
                <w:szCs w:val="24"/>
              </w:rPr>
              <w:t>请介绍公司在产品方面有怎样的发展战略？</w:t>
            </w:r>
          </w:p>
          <w:p w:rsidR="00C85E6F" w:rsidRPr="00C85E6F" w:rsidRDefault="00C85E6F" w:rsidP="00C85E6F">
            <w:pPr>
              <w:spacing w:line="360" w:lineRule="auto"/>
              <w:ind w:firstLine="480"/>
              <w:rPr>
                <w:rFonts w:ascii="Calibri" w:eastAsia="宋体" w:hAnsi="Calibri" w:hint="eastAsia"/>
                <w:sz w:val="24"/>
                <w:szCs w:val="24"/>
              </w:rPr>
            </w:pPr>
            <w:r w:rsidRPr="00C85E6F">
              <w:rPr>
                <w:rFonts w:ascii="Calibri" w:eastAsia="宋体" w:hAnsi="Calibri" w:hint="eastAsia"/>
                <w:sz w:val="24"/>
                <w:szCs w:val="24"/>
              </w:rPr>
              <w:t>公司围绕构建安全的信息通信体系的战略目标，部署公共接入网产品战略，在已有的综合通信控制系统、</w:t>
            </w:r>
            <w:proofErr w:type="gramStart"/>
            <w:r w:rsidRPr="00C85E6F">
              <w:rPr>
                <w:rFonts w:ascii="Calibri" w:eastAsia="宋体" w:hAnsi="Calibri" w:hint="eastAsia"/>
                <w:sz w:val="24"/>
                <w:szCs w:val="24"/>
              </w:rPr>
              <w:t>富媒体</w:t>
            </w:r>
            <w:proofErr w:type="gramEnd"/>
            <w:r w:rsidRPr="00C85E6F">
              <w:rPr>
                <w:rFonts w:ascii="Calibri" w:eastAsia="宋体" w:hAnsi="Calibri" w:hint="eastAsia"/>
                <w:sz w:val="24"/>
                <w:szCs w:val="24"/>
              </w:rPr>
              <w:t>指挥调度系统、敏捷路由器等产品的基础上进行技术创新，按照“云</w:t>
            </w:r>
            <w:r w:rsidRPr="00C85E6F">
              <w:rPr>
                <w:rFonts w:ascii="Calibri" w:eastAsia="宋体" w:hAnsi="Calibri" w:hint="eastAsia"/>
                <w:sz w:val="24"/>
                <w:szCs w:val="24"/>
              </w:rPr>
              <w:t>-</w:t>
            </w:r>
            <w:r w:rsidRPr="00C85E6F">
              <w:rPr>
                <w:rFonts w:ascii="Calibri" w:eastAsia="宋体" w:hAnsi="Calibri" w:hint="eastAsia"/>
                <w:sz w:val="24"/>
                <w:szCs w:val="24"/>
              </w:rPr>
              <w:t>管</w:t>
            </w:r>
            <w:r w:rsidRPr="00C85E6F">
              <w:rPr>
                <w:rFonts w:ascii="Calibri" w:eastAsia="宋体" w:hAnsi="Calibri" w:hint="eastAsia"/>
                <w:sz w:val="24"/>
                <w:szCs w:val="24"/>
              </w:rPr>
              <w:t>-</w:t>
            </w:r>
            <w:r w:rsidRPr="00C85E6F">
              <w:rPr>
                <w:rFonts w:ascii="Calibri" w:eastAsia="宋体" w:hAnsi="Calibri" w:hint="eastAsia"/>
                <w:sz w:val="24"/>
                <w:szCs w:val="24"/>
              </w:rPr>
              <w:t>端”体系架构，完成产品升级换代，实现两类设备和四个平台的构建，即公共接入网类设备、网络互联交换机设备，以及统一通信服务平台、</w:t>
            </w:r>
            <w:proofErr w:type="gramStart"/>
            <w:r w:rsidRPr="00C85E6F">
              <w:rPr>
                <w:rFonts w:ascii="Calibri" w:eastAsia="宋体" w:hAnsi="Calibri" w:hint="eastAsia"/>
                <w:sz w:val="24"/>
                <w:szCs w:val="24"/>
              </w:rPr>
              <w:t>富媒体</w:t>
            </w:r>
            <w:proofErr w:type="gramEnd"/>
            <w:r w:rsidRPr="00C85E6F">
              <w:rPr>
                <w:rFonts w:ascii="Calibri" w:eastAsia="宋体" w:hAnsi="Calibri" w:hint="eastAsia"/>
                <w:sz w:val="24"/>
                <w:szCs w:val="24"/>
              </w:rPr>
              <w:t>指挥调度平台、通信网络管理服务平台、基础平台，以及基于信息通信业务的信息安全要求，进行技术储备和技术创新。在兼容已有系统和设备的同时，打破烟囱式壁垒，实现效率的快速提升。</w:t>
            </w:r>
          </w:p>
          <w:p w:rsidR="008740DE" w:rsidRPr="00C85E6F" w:rsidRDefault="008740DE" w:rsidP="008740DE">
            <w:pPr>
              <w:spacing w:line="360" w:lineRule="auto"/>
              <w:ind w:firstLine="480"/>
              <w:rPr>
                <w:rFonts w:asciiTheme="minorEastAsia" w:eastAsiaTheme="minorEastAsia" w:hAnsiTheme="minorEastAsia"/>
                <w:sz w:val="24"/>
                <w:szCs w:val="24"/>
              </w:rPr>
            </w:pPr>
          </w:p>
          <w:p w:rsidR="008740DE" w:rsidRPr="008740DE" w:rsidRDefault="008239BE" w:rsidP="008740DE">
            <w:pPr>
              <w:spacing w:line="360" w:lineRule="auto"/>
              <w:ind w:firstLine="482"/>
              <w:rPr>
                <w:rFonts w:asciiTheme="minorEastAsia" w:eastAsiaTheme="minorEastAsia" w:hAnsiTheme="minorEastAsia"/>
                <w:b/>
                <w:sz w:val="24"/>
                <w:szCs w:val="24"/>
              </w:rPr>
            </w:pPr>
            <w:bookmarkStart w:id="4" w:name="_Toc144735707"/>
            <w:r>
              <w:rPr>
                <w:rFonts w:asciiTheme="minorEastAsia" w:eastAsiaTheme="minorEastAsia" w:hAnsiTheme="minorEastAsia"/>
                <w:b/>
                <w:sz w:val="24"/>
                <w:szCs w:val="24"/>
              </w:rPr>
              <w:t>3</w:t>
            </w:r>
            <w:r w:rsidR="008740DE" w:rsidRPr="008740DE">
              <w:rPr>
                <w:rFonts w:asciiTheme="minorEastAsia" w:eastAsiaTheme="minorEastAsia" w:hAnsiTheme="minorEastAsia" w:hint="eastAsia"/>
                <w:b/>
                <w:sz w:val="24"/>
                <w:szCs w:val="24"/>
              </w:rPr>
              <w:t>、请问公司融合通信产品涵盖哪些模块？</w:t>
            </w:r>
            <w:bookmarkEnd w:id="4"/>
          </w:p>
          <w:p w:rsidR="001A42F0" w:rsidRDefault="008740DE" w:rsidP="008740DE">
            <w:pPr>
              <w:spacing w:line="360" w:lineRule="auto"/>
              <w:ind w:firstLine="480"/>
              <w:rPr>
                <w:rFonts w:asciiTheme="minorEastAsia" w:eastAsiaTheme="minorEastAsia" w:hAnsiTheme="minorEastAsia"/>
                <w:sz w:val="24"/>
                <w:szCs w:val="24"/>
              </w:rPr>
            </w:pPr>
            <w:r w:rsidRPr="008740DE">
              <w:rPr>
                <w:rFonts w:asciiTheme="minorEastAsia" w:eastAsiaTheme="minorEastAsia" w:hAnsiTheme="minorEastAsia" w:hint="eastAsia"/>
                <w:sz w:val="24"/>
                <w:szCs w:val="24"/>
              </w:rPr>
              <w:t>融合通信产品基础设备包括指挥调度服务器、智能导控服务器、中继网关、敏捷路由器、音视频编解码设备、融合通信服务平台、通信网络控制设备以及各类通信指挥终端等，以及自主研发的核心软件，并可根据需求进一步构成</w:t>
            </w:r>
            <w:proofErr w:type="gramStart"/>
            <w:r w:rsidRPr="008740DE">
              <w:rPr>
                <w:rFonts w:asciiTheme="minorEastAsia" w:eastAsiaTheme="minorEastAsia" w:hAnsiTheme="minorEastAsia" w:hint="eastAsia"/>
                <w:sz w:val="24"/>
                <w:szCs w:val="24"/>
              </w:rPr>
              <w:t>富媒体</w:t>
            </w:r>
            <w:proofErr w:type="gramEnd"/>
            <w:r w:rsidRPr="008740DE">
              <w:rPr>
                <w:rFonts w:asciiTheme="minorEastAsia" w:eastAsiaTheme="minorEastAsia" w:hAnsiTheme="minorEastAsia" w:hint="eastAsia"/>
                <w:sz w:val="24"/>
                <w:szCs w:val="24"/>
              </w:rPr>
              <w:t>指挥调度、智能导控、敏捷网络控制等典型应用系统。交付形态包括由基础设备根据需求组成的系统级产品和单个基础设备。</w:t>
            </w:r>
          </w:p>
          <w:p w:rsidR="008239BE" w:rsidRPr="008740DE" w:rsidRDefault="008239BE" w:rsidP="008239BE">
            <w:pPr>
              <w:spacing w:line="360" w:lineRule="auto"/>
              <w:ind w:firstLine="482"/>
              <w:rPr>
                <w:rFonts w:asciiTheme="minorEastAsia" w:eastAsiaTheme="minorEastAsia" w:hAnsiTheme="minorEastAsia"/>
                <w:b/>
                <w:sz w:val="24"/>
                <w:szCs w:val="24"/>
              </w:rPr>
            </w:pPr>
            <w:bookmarkStart w:id="5" w:name="_Toc144735706"/>
            <w:r>
              <w:rPr>
                <w:rFonts w:asciiTheme="minorEastAsia" w:eastAsiaTheme="minorEastAsia" w:hAnsiTheme="minorEastAsia"/>
                <w:b/>
                <w:sz w:val="24"/>
                <w:szCs w:val="24"/>
              </w:rPr>
              <w:t>4</w:t>
            </w:r>
            <w:r w:rsidRPr="008740DE">
              <w:rPr>
                <w:rFonts w:asciiTheme="minorEastAsia" w:eastAsiaTheme="minorEastAsia" w:hAnsiTheme="minorEastAsia" w:hint="eastAsia"/>
                <w:b/>
                <w:sz w:val="24"/>
                <w:szCs w:val="24"/>
              </w:rPr>
              <w:t>、请问融合通信行业的发展前景如何？</w:t>
            </w:r>
            <w:bookmarkEnd w:id="5"/>
          </w:p>
          <w:p w:rsidR="008239BE" w:rsidRDefault="008239BE" w:rsidP="008239BE">
            <w:pPr>
              <w:spacing w:line="360" w:lineRule="auto"/>
              <w:ind w:firstLine="480"/>
              <w:rPr>
                <w:rFonts w:asciiTheme="minorEastAsia" w:eastAsiaTheme="minorEastAsia" w:hAnsiTheme="minorEastAsia"/>
                <w:sz w:val="24"/>
                <w:szCs w:val="24"/>
              </w:rPr>
            </w:pPr>
            <w:r w:rsidRPr="00DE7F16">
              <w:rPr>
                <w:rFonts w:asciiTheme="minorEastAsia" w:eastAsiaTheme="minorEastAsia" w:hAnsiTheme="minorEastAsia" w:hint="eastAsia"/>
                <w:sz w:val="24"/>
                <w:szCs w:val="24"/>
              </w:rPr>
              <w:t>随着通信系统的不断创新与发展，将带动融合通信系统的应用需求以及技术的发展。公司将紧贴相关客户需求，更新作为底层基础架构与设施的行业内通信设备。此外，随着宽带接入和下一代网络技术的日益成熟，行业通信需求正在从单纯以语音为主的通信方式向即时消息、语音、视频、会议、协同等多种通信方式融合的方向发展。未来的行业内通信网络必然向全IP技术体制演进，各种业务和应用也必然向融合化趋势发展，因此，融合通信在未来行业中通信网络中具有广阔的应用前景。</w:t>
            </w:r>
          </w:p>
          <w:p w:rsidR="00C85E6F" w:rsidRPr="00C85E6F" w:rsidRDefault="00C85E6F" w:rsidP="00C85E6F">
            <w:pPr>
              <w:spacing w:before="240" w:after="60" w:line="240" w:lineRule="auto"/>
              <w:ind w:firstLine="482"/>
              <w:outlineLvl w:val="0"/>
              <w:rPr>
                <w:rFonts w:ascii="Calibri Light" w:eastAsia="宋体" w:hAnsi="Calibri Light" w:hint="eastAsia"/>
                <w:b/>
                <w:bCs/>
                <w:sz w:val="24"/>
                <w:szCs w:val="24"/>
              </w:rPr>
            </w:pPr>
            <w:r>
              <w:rPr>
                <w:rFonts w:ascii="Calibri Light" w:eastAsia="宋体" w:hAnsi="Calibri Light" w:hint="eastAsia"/>
                <w:b/>
                <w:bCs/>
                <w:sz w:val="24"/>
                <w:szCs w:val="24"/>
              </w:rPr>
              <w:t>5</w:t>
            </w:r>
            <w:r>
              <w:rPr>
                <w:rFonts w:ascii="Calibri Light" w:eastAsia="宋体" w:hAnsi="Calibri Light" w:hint="eastAsia"/>
                <w:b/>
                <w:bCs/>
                <w:sz w:val="24"/>
                <w:szCs w:val="24"/>
              </w:rPr>
              <w:t>、</w:t>
            </w:r>
            <w:r w:rsidRPr="00C85E6F">
              <w:rPr>
                <w:rFonts w:ascii="Calibri Light" w:eastAsia="宋体" w:hAnsi="Calibri Light" w:hint="eastAsia"/>
                <w:b/>
                <w:bCs/>
                <w:sz w:val="24"/>
                <w:szCs w:val="24"/>
              </w:rPr>
              <w:t>请问公司是否具备技术先发优势？</w:t>
            </w:r>
          </w:p>
          <w:p w:rsidR="00C85E6F" w:rsidRPr="00C85E6F" w:rsidRDefault="00C85E6F" w:rsidP="00C85E6F">
            <w:pPr>
              <w:spacing w:line="360" w:lineRule="auto"/>
              <w:ind w:firstLine="480"/>
              <w:rPr>
                <w:rFonts w:ascii="Calibri" w:eastAsia="宋体" w:hAnsi="Calibri" w:hint="eastAsia"/>
                <w:sz w:val="24"/>
                <w:szCs w:val="24"/>
              </w:rPr>
            </w:pPr>
            <w:r w:rsidRPr="00C85E6F">
              <w:rPr>
                <w:rFonts w:ascii="Calibri" w:eastAsia="宋体" w:hAnsi="Calibri" w:hint="eastAsia"/>
                <w:sz w:val="24"/>
                <w:szCs w:val="24"/>
              </w:rPr>
              <w:t>公司具有紧扣需求创新的快速反应能力及技术先发优势。公司一直坚持有计划地深入一线开展客户需求调研，了解产品使用情况和客户最新需求，主动开发针对性产品，并组织对方案进行交流汇报。一旦产品得到客户明确认可后，公司在客户采购订单计划批复前即开始投入资源开展技术创新和产品开发工作。</w:t>
            </w:r>
          </w:p>
          <w:p w:rsidR="00C85E6F" w:rsidRPr="00C85E6F" w:rsidRDefault="00C85E6F" w:rsidP="00C85E6F">
            <w:pPr>
              <w:spacing w:before="240" w:after="60" w:line="240" w:lineRule="auto"/>
              <w:ind w:firstLine="482"/>
              <w:outlineLvl w:val="0"/>
              <w:rPr>
                <w:rFonts w:ascii="Calibri Light" w:eastAsia="宋体" w:hAnsi="Calibri Light" w:hint="eastAsia"/>
                <w:bCs/>
                <w:sz w:val="24"/>
                <w:szCs w:val="24"/>
              </w:rPr>
            </w:pPr>
            <w:r>
              <w:rPr>
                <w:rFonts w:ascii="Calibri Light" w:eastAsia="宋体" w:hAnsi="Calibri Light" w:hint="eastAsia"/>
                <w:b/>
                <w:bCs/>
                <w:sz w:val="24"/>
                <w:szCs w:val="24"/>
              </w:rPr>
              <w:t>6</w:t>
            </w:r>
            <w:r>
              <w:rPr>
                <w:rFonts w:ascii="Calibri Light" w:eastAsia="宋体" w:hAnsi="Calibri Light" w:hint="eastAsia"/>
                <w:b/>
                <w:bCs/>
                <w:sz w:val="24"/>
                <w:szCs w:val="24"/>
              </w:rPr>
              <w:t>、</w:t>
            </w:r>
            <w:r w:rsidRPr="00C85E6F">
              <w:rPr>
                <w:rFonts w:ascii="Calibri Light" w:eastAsia="宋体" w:hAnsi="Calibri Light" w:hint="eastAsia"/>
                <w:b/>
                <w:bCs/>
                <w:sz w:val="24"/>
                <w:szCs w:val="24"/>
              </w:rPr>
              <w:t>请问公司在舰船通信领域是否具有一定的行业地位？</w:t>
            </w:r>
          </w:p>
          <w:p w:rsidR="00C85E6F" w:rsidRPr="00C85E6F" w:rsidRDefault="00C85E6F" w:rsidP="00C85E6F">
            <w:pPr>
              <w:spacing w:line="360" w:lineRule="auto"/>
              <w:ind w:firstLine="480"/>
              <w:rPr>
                <w:rFonts w:ascii="Calibri" w:eastAsia="宋体" w:hAnsi="Calibri" w:hint="eastAsia"/>
                <w:sz w:val="24"/>
                <w:szCs w:val="24"/>
              </w:rPr>
            </w:pPr>
            <w:r w:rsidRPr="00C85E6F">
              <w:rPr>
                <w:rFonts w:ascii="Calibri" w:eastAsia="宋体" w:hAnsi="Calibri" w:hint="eastAsia"/>
                <w:sz w:val="24"/>
                <w:szCs w:val="24"/>
              </w:rPr>
              <w:t>公司深耕舰船通信细分领域多年，较为完整地掌握了该领域技术体系。公司是综合通信网络装备的核心提供者，其中内外通交换设备和</w:t>
            </w:r>
            <w:proofErr w:type="gramStart"/>
            <w:r w:rsidRPr="00C85E6F">
              <w:rPr>
                <w:rFonts w:ascii="Calibri" w:eastAsia="宋体" w:hAnsi="Calibri" w:hint="eastAsia"/>
                <w:sz w:val="24"/>
                <w:szCs w:val="24"/>
              </w:rPr>
              <w:t>光环网</w:t>
            </w:r>
            <w:proofErr w:type="gramEnd"/>
            <w:r w:rsidRPr="00C85E6F">
              <w:rPr>
                <w:rFonts w:ascii="Calibri" w:eastAsia="宋体" w:hAnsi="Calibri" w:hint="eastAsia"/>
                <w:sz w:val="24"/>
                <w:szCs w:val="24"/>
              </w:rPr>
              <w:t>系统等产品在部分细分市场占有率较高，在所处细分行业领域具有一定行业地位。</w:t>
            </w:r>
          </w:p>
          <w:p w:rsidR="00C85E6F" w:rsidRPr="00C85E6F" w:rsidRDefault="00C85E6F" w:rsidP="00C85E6F">
            <w:pPr>
              <w:spacing w:before="240" w:after="60" w:line="240" w:lineRule="auto"/>
              <w:ind w:firstLine="482"/>
              <w:outlineLvl w:val="0"/>
              <w:rPr>
                <w:rFonts w:ascii="Calibri Light" w:eastAsia="宋体" w:hAnsi="Calibri Light" w:hint="eastAsia"/>
                <w:bCs/>
                <w:sz w:val="24"/>
                <w:szCs w:val="24"/>
              </w:rPr>
            </w:pPr>
            <w:bookmarkStart w:id="6" w:name="_GoBack"/>
            <w:bookmarkEnd w:id="6"/>
            <w:r>
              <w:rPr>
                <w:rFonts w:ascii="Calibri Light" w:eastAsia="宋体" w:hAnsi="Calibri Light" w:hint="eastAsia"/>
                <w:b/>
                <w:bCs/>
                <w:sz w:val="24"/>
                <w:szCs w:val="24"/>
              </w:rPr>
              <w:t>7</w:t>
            </w:r>
            <w:r>
              <w:rPr>
                <w:rFonts w:ascii="Calibri Light" w:eastAsia="宋体" w:hAnsi="Calibri Light" w:hint="eastAsia"/>
                <w:b/>
                <w:bCs/>
                <w:sz w:val="24"/>
                <w:szCs w:val="24"/>
              </w:rPr>
              <w:t>、</w:t>
            </w:r>
            <w:r w:rsidRPr="00C85E6F">
              <w:rPr>
                <w:rFonts w:ascii="Calibri Light" w:eastAsia="宋体" w:hAnsi="Calibri Light" w:hint="eastAsia"/>
                <w:b/>
                <w:bCs/>
                <w:sz w:val="24"/>
                <w:szCs w:val="24"/>
              </w:rPr>
              <w:t>请问公司收入是否存在季节性波动？</w:t>
            </w:r>
          </w:p>
          <w:p w:rsidR="00C85E6F" w:rsidRPr="00C85E6F" w:rsidRDefault="00C85E6F" w:rsidP="00C85E6F">
            <w:pPr>
              <w:spacing w:line="360" w:lineRule="auto"/>
              <w:ind w:firstLine="480"/>
              <w:rPr>
                <w:rFonts w:ascii="Calibri" w:eastAsia="宋体" w:hAnsi="Calibri" w:hint="eastAsia"/>
                <w:sz w:val="24"/>
                <w:szCs w:val="24"/>
              </w:rPr>
            </w:pPr>
            <w:proofErr w:type="gramStart"/>
            <w:r w:rsidRPr="00C85E6F">
              <w:rPr>
                <w:rFonts w:ascii="Calibri" w:eastAsia="宋体" w:hAnsi="Calibri" w:hint="eastAsia"/>
                <w:sz w:val="24"/>
                <w:szCs w:val="24"/>
              </w:rPr>
              <w:t>受最终</w:t>
            </w:r>
            <w:proofErr w:type="gramEnd"/>
            <w:r w:rsidRPr="00C85E6F">
              <w:rPr>
                <w:rFonts w:ascii="Calibri" w:eastAsia="宋体" w:hAnsi="Calibri" w:hint="eastAsia"/>
                <w:sz w:val="24"/>
                <w:szCs w:val="24"/>
              </w:rPr>
              <w:t>用户的具体需求、每年的采购计划、国防采购预算及国内外形势变化等诸多因素的影响，以及因军工单位的军品采购存在部分单个订单金额较大、执行周期较长、交货时间分布不均衡等特点，公司营业收入在不同会计期间及季节间具有较大的波动性。</w:t>
            </w:r>
          </w:p>
          <w:p w:rsidR="00C85E6F" w:rsidRPr="00C85E6F" w:rsidRDefault="00C85E6F" w:rsidP="008239BE">
            <w:pPr>
              <w:spacing w:line="360" w:lineRule="auto"/>
              <w:ind w:firstLine="480"/>
              <w:rPr>
                <w:rFonts w:asciiTheme="minorEastAsia" w:eastAsiaTheme="minorEastAsia" w:hAnsiTheme="minorEastAsia" w:hint="eastAsia"/>
                <w:sz w:val="24"/>
                <w:szCs w:val="24"/>
              </w:rPr>
            </w:pPr>
          </w:p>
        </w:tc>
      </w:tr>
      <w:tr w:rsidR="001A42F0" w:rsidTr="007D104F">
        <w:trPr>
          <w:trHeight w:val="708"/>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rPr>
                <w:rFonts w:ascii="宋体" w:eastAsia="宋体" w:hAnsi="宋体" w:cs="宋体"/>
                <w:b/>
                <w:iCs/>
                <w:color w:val="000000"/>
                <w:sz w:val="24"/>
                <w:szCs w:val="24"/>
              </w:rPr>
            </w:pPr>
            <w:r>
              <w:rPr>
                <w:rFonts w:ascii="宋体" w:eastAsia="宋体" w:hAnsi="宋体" w:cs="宋体" w:hint="eastAsia"/>
                <w:b/>
                <w:iCs/>
                <w:color w:val="000000"/>
                <w:sz w:val="24"/>
                <w:szCs w:val="24"/>
              </w:rPr>
              <w:lastRenderedPageBreak/>
              <w:t>附件清单（如有）</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1A42F0" w:rsidP="001A42F0">
            <w:pPr>
              <w:spacing w:line="360" w:lineRule="auto"/>
              <w:ind w:firstLineChars="0" w:firstLine="0"/>
              <w:jc w:val="center"/>
              <w:rPr>
                <w:rFonts w:ascii="宋体" w:eastAsia="宋体" w:hAnsi="宋体" w:cs="宋体"/>
                <w:bCs/>
                <w:iCs/>
                <w:color w:val="000000"/>
                <w:sz w:val="24"/>
                <w:szCs w:val="24"/>
              </w:rPr>
            </w:pPr>
            <w:r>
              <w:rPr>
                <w:rFonts w:ascii="宋体" w:eastAsia="宋体" w:hAnsi="宋体" w:cs="宋体" w:hint="eastAsia"/>
                <w:bCs/>
                <w:iCs/>
                <w:color w:val="000000"/>
                <w:sz w:val="24"/>
                <w:szCs w:val="24"/>
              </w:rPr>
              <w:t>无</w:t>
            </w:r>
          </w:p>
        </w:tc>
      </w:tr>
    </w:tbl>
    <w:p w:rsidR="003B4EF7" w:rsidRDefault="003B4EF7">
      <w:pPr>
        <w:spacing w:line="360" w:lineRule="auto"/>
        <w:ind w:firstLineChars="0" w:firstLine="0"/>
        <w:rPr>
          <w:rFonts w:ascii="宋体" w:eastAsia="宋体" w:hAnsi="宋体" w:cs="宋体"/>
          <w:sz w:val="24"/>
          <w:szCs w:val="24"/>
        </w:rPr>
      </w:pPr>
    </w:p>
    <w:sectPr w:rsidR="003B4E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86" w:rsidRDefault="00C17C86">
      <w:pPr>
        <w:spacing w:line="240" w:lineRule="auto"/>
        <w:ind w:firstLine="640"/>
      </w:pPr>
      <w:r>
        <w:separator/>
      </w:r>
    </w:p>
  </w:endnote>
  <w:endnote w:type="continuationSeparator" w:id="0">
    <w:p w:rsidR="00C17C86" w:rsidRDefault="00C17C8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86" w:rsidRDefault="00C17C86">
      <w:pPr>
        <w:spacing w:line="240" w:lineRule="auto"/>
        <w:ind w:firstLine="640"/>
      </w:pPr>
      <w:r>
        <w:separator/>
      </w:r>
    </w:p>
  </w:footnote>
  <w:footnote w:type="continuationSeparator" w:id="0">
    <w:p w:rsidR="00C17C86" w:rsidRDefault="00C17C86">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C6897F"/>
    <w:multiLevelType w:val="singleLevel"/>
    <w:tmpl w:val="85C6897F"/>
    <w:lvl w:ilvl="0">
      <w:start w:val="1"/>
      <w:numFmt w:val="decimal"/>
      <w:lvlText w:val="%1."/>
      <w:lvlJc w:val="left"/>
      <w:pPr>
        <w:tabs>
          <w:tab w:val="left" w:pos="420"/>
        </w:tabs>
        <w:ind w:left="845" w:hanging="425"/>
      </w:pPr>
      <w:rPr>
        <w:rFonts w:hint="default"/>
      </w:rPr>
    </w:lvl>
  </w:abstractNum>
  <w:abstractNum w:abstractNumId="1">
    <w:nsid w:val="D8749468"/>
    <w:multiLevelType w:val="singleLevel"/>
    <w:tmpl w:val="D8749468"/>
    <w:lvl w:ilvl="0">
      <w:start w:val="2"/>
      <w:numFmt w:val="decimal"/>
      <w:suff w:val="nothing"/>
      <w:lvlText w:val="%1、"/>
      <w:lvlJc w:val="left"/>
    </w:lvl>
  </w:abstractNum>
  <w:abstractNum w:abstractNumId="2">
    <w:nsid w:val="1CCE4E82"/>
    <w:multiLevelType w:val="multilevel"/>
    <w:tmpl w:val="FCC24CC0"/>
    <w:lvl w:ilvl="0">
      <w:start w:val="1"/>
      <w:numFmt w:val="japaneseCounting"/>
      <w:lvlText w:val="%1、"/>
      <w:lvlJc w:val="left"/>
      <w:pPr>
        <w:ind w:left="800" w:hanging="480"/>
      </w:pPr>
      <w:rPr>
        <w:rFonts w:asciiTheme="majorEastAsia" w:eastAsiaTheme="majorEastAsia" w:hAnsiTheme="majorEastAsia"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3">
    <w:nsid w:val="4788670A"/>
    <w:multiLevelType w:val="hybridMultilevel"/>
    <w:tmpl w:val="DC183856"/>
    <w:lvl w:ilvl="0" w:tplc="D8749468">
      <w:start w:val="2"/>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NjMwZTMzZGM3Yjg0YjEyMjQzYWQ1ODUzMGY0NDUifQ=="/>
  </w:docVars>
  <w:rsids>
    <w:rsidRoot w:val="00172A27"/>
    <w:rsid w:val="0008553C"/>
    <w:rsid w:val="000938F4"/>
    <w:rsid w:val="000A0087"/>
    <w:rsid w:val="000A070B"/>
    <w:rsid w:val="000C135F"/>
    <w:rsid w:val="000D5B84"/>
    <w:rsid w:val="000E0EB3"/>
    <w:rsid w:val="001210E0"/>
    <w:rsid w:val="00167499"/>
    <w:rsid w:val="00170FC4"/>
    <w:rsid w:val="0017260B"/>
    <w:rsid w:val="00172A27"/>
    <w:rsid w:val="001A42F0"/>
    <w:rsid w:val="001B13C9"/>
    <w:rsid w:val="001F70F2"/>
    <w:rsid w:val="002076BE"/>
    <w:rsid w:val="0021183F"/>
    <w:rsid w:val="002235A5"/>
    <w:rsid w:val="00242BBE"/>
    <w:rsid w:val="002919E1"/>
    <w:rsid w:val="00293B4F"/>
    <w:rsid w:val="002D4F3D"/>
    <w:rsid w:val="003402B7"/>
    <w:rsid w:val="003608F5"/>
    <w:rsid w:val="003A01A1"/>
    <w:rsid w:val="003B4EF7"/>
    <w:rsid w:val="003B54B4"/>
    <w:rsid w:val="003F5B58"/>
    <w:rsid w:val="003F74E5"/>
    <w:rsid w:val="004222B3"/>
    <w:rsid w:val="004247C8"/>
    <w:rsid w:val="004444AF"/>
    <w:rsid w:val="0044480A"/>
    <w:rsid w:val="004E1C6E"/>
    <w:rsid w:val="00547A27"/>
    <w:rsid w:val="00561488"/>
    <w:rsid w:val="005711D7"/>
    <w:rsid w:val="005D151E"/>
    <w:rsid w:val="005E0766"/>
    <w:rsid w:val="00624AC3"/>
    <w:rsid w:val="00693E31"/>
    <w:rsid w:val="006E4AF4"/>
    <w:rsid w:val="00726F0C"/>
    <w:rsid w:val="00744656"/>
    <w:rsid w:val="00765341"/>
    <w:rsid w:val="007A3F26"/>
    <w:rsid w:val="007B407A"/>
    <w:rsid w:val="007B40FB"/>
    <w:rsid w:val="007C1C5B"/>
    <w:rsid w:val="007D104F"/>
    <w:rsid w:val="007D5D1C"/>
    <w:rsid w:val="007D6190"/>
    <w:rsid w:val="007E451E"/>
    <w:rsid w:val="008239BE"/>
    <w:rsid w:val="00841C03"/>
    <w:rsid w:val="008740DE"/>
    <w:rsid w:val="008F7592"/>
    <w:rsid w:val="00950DA3"/>
    <w:rsid w:val="009A2DD2"/>
    <w:rsid w:val="00A21E2A"/>
    <w:rsid w:val="00A53050"/>
    <w:rsid w:val="00A65B3F"/>
    <w:rsid w:val="00A9286C"/>
    <w:rsid w:val="00AB562B"/>
    <w:rsid w:val="00AF3A5A"/>
    <w:rsid w:val="00B14FD9"/>
    <w:rsid w:val="00BB7670"/>
    <w:rsid w:val="00BF15D8"/>
    <w:rsid w:val="00C07EF1"/>
    <w:rsid w:val="00C17C86"/>
    <w:rsid w:val="00C349B2"/>
    <w:rsid w:val="00C83E5B"/>
    <w:rsid w:val="00C85E6F"/>
    <w:rsid w:val="00C9608C"/>
    <w:rsid w:val="00CC6698"/>
    <w:rsid w:val="00CF0E2B"/>
    <w:rsid w:val="00D82CA1"/>
    <w:rsid w:val="00DE4241"/>
    <w:rsid w:val="00DE7F16"/>
    <w:rsid w:val="00E33D48"/>
    <w:rsid w:val="00E63DAE"/>
    <w:rsid w:val="00E72CDC"/>
    <w:rsid w:val="00EF2435"/>
    <w:rsid w:val="00F269FF"/>
    <w:rsid w:val="00FA1F42"/>
    <w:rsid w:val="00FC6F30"/>
    <w:rsid w:val="00FD0CBB"/>
    <w:rsid w:val="02076F1C"/>
    <w:rsid w:val="033C1CF6"/>
    <w:rsid w:val="05AD6D6E"/>
    <w:rsid w:val="06F21CC1"/>
    <w:rsid w:val="0A1266E3"/>
    <w:rsid w:val="0C131349"/>
    <w:rsid w:val="0C6F7B97"/>
    <w:rsid w:val="0D103E05"/>
    <w:rsid w:val="0D433883"/>
    <w:rsid w:val="0DB20B97"/>
    <w:rsid w:val="101C2610"/>
    <w:rsid w:val="101F036D"/>
    <w:rsid w:val="10563F48"/>
    <w:rsid w:val="10892AE9"/>
    <w:rsid w:val="13267B4D"/>
    <w:rsid w:val="191A0E8B"/>
    <w:rsid w:val="19750B7A"/>
    <w:rsid w:val="1D50131F"/>
    <w:rsid w:val="1F3B5A8F"/>
    <w:rsid w:val="1F6F0C48"/>
    <w:rsid w:val="1FB34E94"/>
    <w:rsid w:val="210445BE"/>
    <w:rsid w:val="22501B2B"/>
    <w:rsid w:val="22573C15"/>
    <w:rsid w:val="23035FB3"/>
    <w:rsid w:val="25162A70"/>
    <w:rsid w:val="26F65E37"/>
    <w:rsid w:val="27D93F3E"/>
    <w:rsid w:val="29EB0013"/>
    <w:rsid w:val="2A9919AD"/>
    <w:rsid w:val="2C537863"/>
    <w:rsid w:val="2CCC5FED"/>
    <w:rsid w:val="2E0C4DEE"/>
    <w:rsid w:val="2EEA35A2"/>
    <w:rsid w:val="352276E8"/>
    <w:rsid w:val="356E093D"/>
    <w:rsid w:val="359313AA"/>
    <w:rsid w:val="35C16BFB"/>
    <w:rsid w:val="36491112"/>
    <w:rsid w:val="3AC86541"/>
    <w:rsid w:val="3BE73A1E"/>
    <w:rsid w:val="3C1232C6"/>
    <w:rsid w:val="3CDD79F1"/>
    <w:rsid w:val="3E3F509F"/>
    <w:rsid w:val="3E6034F4"/>
    <w:rsid w:val="3F794C38"/>
    <w:rsid w:val="41667638"/>
    <w:rsid w:val="41E00614"/>
    <w:rsid w:val="42247621"/>
    <w:rsid w:val="425210A6"/>
    <w:rsid w:val="43754D8C"/>
    <w:rsid w:val="46052769"/>
    <w:rsid w:val="4BDF4987"/>
    <w:rsid w:val="4DC94942"/>
    <w:rsid w:val="4E0821BF"/>
    <w:rsid w:val="4F2E5F21"/>
    <w:rsid w:val="4FDE2F28"/>
    <w:rsid w:val="51DE2E7B"/>
    <w:rsid w:val="530D4CEF"/>
    <w:rsid w:val="543D5146"/>
    <w:rsid w:val="557E462E"/>
    <w:rsid w:val="56186984"/>
    <w:rsid w:val="56B272DD"/>
    <w:rsid w:val="56C71A1E"/>
    <w:rsid w:val="59DB4118"/>
    <w:rsid w:val="5AE00364"/>
    <w:rsid w:val="5BB93074"/>
    <w:rsid w:val="5C612FB3"/>
    <w:rsid w:val="5CD10796"/>
    <w:rsid w:val="5DD16269"/>
    <w:rsid w:val="5E7F32D6"/>
    <w:rsid w:val="5FB445F8"/>
    <w:rsid w:val="5FB92B90"/>
    <w:rsid w:val="602E2C97"/>
    <w:rsid w:val="609A1295"/>
    <w:rsid w:val="628404D4"/>
    <w:rsid w:val="63A96660"/>
    <w:rsid w:val="63E14839"/>
    <w:rsid w:val="67972454"/>
    <w:rsid w:val="67EA7CF2"/>
    <w:rsid w:val="68DC5E82"/>
    <w:rsid w:val="692C1BCB"/>
    <w:rsid w:val="6A837C0B"/>
    <w:rsid w:val="6C990208"/>
    <w:rsid w:val="6DC4374B"/>
    <w:rsid w:val="6FFE1AE2"/>
    <w:rsid w:val="70E81643"/>
    <w:rsid w:val="716A1AC4"/>
    <w:rsid w:val="73861075"/>
    <w:rsid w:val="73F74A1A"/>
    <w:rsid w:val="76E128E3"/>
    <w:rsid w:val="78FB5372"/>
    <w:rsid w:val="7BE511C7"/>
    <w:rsid w:val="7CD43511"/>
    <w:rsid w:val="7EFA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A737DD-14E2-4A25-B986-1CB71115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eastAsia="仿宋"/>
      <w:kern w:val="2"/>
      <w:sz w:val="32"/>
    </w:rPr>
  </w:style>
  <w:style w:type="paragraph" w:styleId="3">
    <w:name w:val="heading 3"/>
    <w:basedOn w:val="a"/>
    <w:next w:val="a"/>
    <w:link w:val="3Char"/>
    <w:qFormat/>
    <w:pPr>
      <w:keepNext/>
      <w:keepLines/>
      <w:tabs>
        <w:tab w:val="left" w:pos="1440"/>
      </w:tabs>
      <w:spacing w:before="260" w:after="260" w:line="413" w:lineRule="auto"/>
      <w:ind w:left="1440" w:hanging="720"/>
      <w:outlineLvl w:val="2"/>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spacing w:line="240" w:lineRule="atLeast"/>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spacing w:line="240" w:lineRule="atLeast"/>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qFormat/>
    <w:rPr>
      <w:rFonts w:eastAsia="仿宋"/>
      <w:kern w:val="2"/>
      <w:sz w:val="18"/>
      <w:szCs w:val="18"/>
    </w:rPr>
  </w:style>
  <w:style w:type="character" w:customStyle="1" w:styleId="Char">
    <w:name w:val="页脚 Char"/>
    <w:basedOn w:val="a0"/>
    <w:link w:val="a3"/>
    <w:qFormat/>
    <w:rPr>
      <w:rFonts w:eastAsia="仿宋"/>
      <w:kern w:val="2"/>
      <w:sz w:val="18"/>
      <w:szCs w:val="18"/>
    </w:rPr>
  </w:style>
  <w:style w:type="paragraph" w:styleId="a5">
    <w:name w:val="List Paragraph"/>
    <w:basedOn w:val="a"/>
    <w:uiPriority w:val="99"/>
    <w:qFormat/>
    <w:pPr>
      <w:ind w:firstLine="420"/>
    </w:pPr>
  </w:style>
  <w:style w:type="character" w:customStyle="1" w:styleId="3Char">
    <w:name w:val="标题 3 Char"/>
    <w:basedOn w:val="a0"/>
    <w:link w:val="3"/>
    <w:rsid w:val="00726F0C"/>
    <w:rPr>
      <w:rFonts w:eastAsia="仿宋"/>
      <w:b/>
      <w:sz w:val="32"/>
    </w:rPr>
  </w:style>
  <w:style w:type="paragraph" w:styleId="a6">
    <w:name w:val="Title"/>
    <w:basedOn w:val="a"/>
    <w:next w:val="a"/>
    <w:link w:val="Char1"/>
    <w:uiPriority w:val="10"/>
    <w:qFormat/>
    <w:rsid w:val="007D5D1C"/>
    <w:pPr>
      <w:spacing w:before="240" w:after="60" w:line="240" w:lineRule="auto"/>
      <w:ind w:firstLineChars="0" w:firstLine="0"/>
      <w:jc w:val="center"/>
      <w:outlineLvl w:val="0"/>
    </w:pPr>
    <w:rPr>
      <w:rFonts w:asciiTheme="majorHAnsi" w:eastAsia="宋体" w:hAnsiTheme="majorHAnsi" w:cstheme="majorBidi"/>
      <w:b/>
      <w:bCs/>
      <w:szCs w:val="32"/>
    </w:rPr>
  </w:style>
  <w:style w:type="character" w:customStyle="1" w:styleId="Char1">
    <w:name w:val="标题 Char"/>
    <w:basedOn w:val="a0"/>
    <w:link w:val="a6"/>
    <w:uiPriority w:val="10"/>
    <w:rsid w:val="007D5D1C"/>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9758">
      <w:bodyDiv w:val="1"/>
      <w:marLeft w:val="0"/>
      <w:marRight w:val="0"/>
      <w:marTop w:val="0"/>
      <w:marBottom w:val="0"/>
      <w:divBdr>
        <w:top w:val="none" w:sz="0" w:space="0" w:color="auto"/>
        <w:left w:val="none" w:sz="0" w:space="0" w:color="auto"/>
        <w:bottom w:val="none" w:sz="0" w:space="0" w:color="auto"/>
        <w:right w:val="none" w:sz="0" w:space="0" w:color="auto"/>
      </w:divBdr>
    </w:div>
    <w:div w:id="159882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li.jiang</dc:creator>
  <cp:lastModifiedBy>Windows 用户</cp:lastModifiedBy>
  <cp:revision>54</cp:revision>
  <dcterms:created xsi:type="dcterms:W3CDTF">2022-01-10T06:29:00Z</dcterms:created>
  <dcterms:modified xsi:type="dcterms:W3CDTF">2024-03-01T08:01:00Z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6EBF5BBDDB574A46B633F130ADDEDCCA</vt:lpwstr>
  </property>
</Properties>
</file>