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BD" w:rsidRDefault="0010693D">
      <w:pPr>
        <w:ind w:firstLine="320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苏州国芯科技股份有限公司</w:t>
      </w:r>
    </w:p>
    <w:p w:rsidR="00943ABD" w:rsidRDefault="0010693D">
      <w:pPr>
        <w:ind w:firstLine="320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2024年2月</w:t>
      </w:r>
      <w:r>
        <w:rPr>
          <w:rFonts w:ascii="华文中宋" w:eastAsia="华文中宋" w:hAnsi="华文中宋" w:cs="华文中宋"/>
          <w:b/>
          <w:sz w:val="32"/>
          <w:szCs w:val="32"/>
        </w:rPr>
        <w:t>29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日至3月1日投资者关系活动记录表</w:t>
      </w:r>
    </w:p>
    <w:p w:rsidR="00943ABD" w:rsidRDefault="00943ABD"/>
    <w:p w:rsidR="00943ABD" w:rsidRDefault="0010693D">
      <w:pPr>
        <w:ind w:firstLine="241"/>
        <w:rPr>
          <w:rFonts w:cs="宋体"/>
          <w:b/>
          <w:bCs/>
        </w:rPr>
      </w:pPr>
      <w:r>
        <w:rPr>
          <w:rFonts w:cs="宋体" w:hint="eastAsia"/>
          <w:b/>
          <w:bCs/>
        </w:rPr>
        <w:t>证券简称：</w:t>
      </w:r>
      <w:proofErr w:type="gramStart"/>
      <w:r>
        <w:rPr>
          <w:rFonts w:cs="宋体" w:hint="eastAsia"/>
          <w:b/>
          <w:bCs/>
        </w:rPr>
        <w:t>国芯科技</w:t>
      </w:r>
      <w:proofErr w:type="gramEnd"/>
      <w:r>
        <w:rPr>
          <w:rFonts w:cs="宋体" w:hint="eastAsia"/>
          <w:b/>
          <w:bCs/>
        </w:rPr>
        <w:t xml:space="preserve">           证券代码：688262      编号：2024-00</w:t>
      </w:r>
      <w:r>
        <w:rPr>
          <w:rFonts w:cs="宋体"/>
          <w:b/>
          <w:bCs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7035"/>
      </w:tblGrid>
      <w:tr w:rsidR="00943ABD">
        <w:trPr>
          <w:trHeight w:val="1981"/>
        </w:trPr>
        <w:tc>
          <w:tcPr>
            <w:tcW w:w="760" w:type="pct"/>
            <w:vAlign w:val="center"/>
          </w:tcPr>
          <w:p w:rsidR="00943ABD" w:rsidRDefault="0010693D">
            <w:pPr>
              <w:ind w:firstLineChars="0" w:firstLine="0"/>
              <w:rPr>
                <w:b/>
                <w:bCs/>
              </w:rPr>
            </w:pPr>
            <w:r>
              <w:rPr>
                <w:b/>
                <w:bCs/>
              </w:rPr>
              <w:t>投资者关系活动类别</w:t>
            </w:r>
          </w:p>
        </w:tc>
        <w:tc>
          <w:tcPr>
            <w:tcW w:w="4240" w:type="pct"/>
          </w:tcPr>
          <w:p w:rsidR="00943ABD" w:rsidRDefault="0010693D">
            <w:pPr>
              <w:ind w:firstLineChars="0" w:firstLine="0"/>
            </w:pPr>
            <w:r>
              <w:rPr>
                <w:rFonts w:hint="eastAsia"/>
              </w:rPr>
              <w:t>√</w:t>
            </w:r>
            <w:r>
              <w:t>特定对象调研        □分析师会议</w:t>
            </w:r>
          </w:p>
          <w:p w:rsidR="00943ABD" w:rsidRDefault="0010693D">
            <w:pPr>
              <w:ind w:firstLineChars="0" w:firstLine="0"/>
            </w:pPr>
            <w:r>
              <w:t xml:space="preserve">□媒体采访            </w:t>
            </w:r>
            <w:r>
              <w:rPr>
                <w:rFonts w:hint="eastAsia"/>
              </w:rPr>
              <w:t>□</w:t>
            </w:r>
            <w:r>
              <w:t>业绩说明会</w:t>
            </w:r>
          </w:p>
          <w:p w:rsidR="00943ABD" w:rsidRDefault="0010693D">
            <w:pPr>
              <w:ind w:firstLineChars="0" w:firstLine="0"/>
            </w:pPr>
            <w:r>
              <w:t>□新闻发布会          □路演活动</w:t>
            </w:r>
          </w:p>
          <w:p w:rsidR="00943ABD" w:rsidRDefault="0010693D">
            <w:pPr>
              <w:ind w:firstLineChars="0" w:firstLine="0"/>
            </w:pPr>
            <w:r>
              <w:rPr>
                <w:rFonts w:hint="eastAsia"/>
              </w:rPr>
              <w:t>□</w:t>
            </w:r>
            <w:r>
              <w:t>现场参观            □其他（</w:t>
            </w:r>
            <w:proofErr w:type="gramStart"/>
            <w:r>
              <w:t>请文字</w:t>
            </w:r>
            <w:proofErr w:type="gramEnd"/>
            <w:r>
              <w:t>说明其他活动内容）</w:t>
            </w:r>
          </w:p>
        </w:tc>
      </w:tr>
      <w:tr w:rsidR="00943ABD">
        <w:trPr>
          <w:trHeight w:val="587"/>
        </w:trPr>
        <w:tc>
          <w:tcPr>
            <w:tcW w:w="760" w:type="pct"/>
            <w:vAlign w:val="center"/>
          </w:tcPr>
          <w:p w:rsidR="00943ABD" w:rsidRDefault="0010693D">
            <w:pPr>
              <w:ind w:firstLineChars="0" w:firstLine="0"/>
              <w:rPr>
                <w:b/>
                <w:bCs/>
              </w:rPr>
            </w:pPr>
            <w:r>
              <w:rPr>
                <w:b/>
                <w:bCs/>
              </w:rPr>
              <w:t>参与单位名称</w:t>
            </w:r>
          </w:p>
        </w:tc>
        <w:tc>
          <w:tcPr>
            <w:tcW w:w="4240" w:type="pct"/>
            <w:vAlign w:val="center"/>
          </w:tcPr>
          <w:p w:rsidR="00943ABD" w:rsidRDefault="0010693D">
            <w:pPr>
              <w:ind w:firstLineChars="0" w:firstLine="0"/>
            </w:pPr>
            <w:r>
              <w:rPr>
                <w:rFonts w:hint="eastAsia"/>
              </w:rPr>
              <w:t>银河基金；长盛基金；</w:t>
            </w:r>
            <w:proofErr w:type="gramStart"/>
            <w:r>
              <w:rPr>
                <w:rFonts w:hint="eastAsia"/>
              </w:rPr>
              <w:t>嘉合基金</w:t>
            </w:r>
            <w:proofErr w:type="gramEnd"/>
            <w:r>
              <w:rPr>
                <w:rFonts w:hint="eastAsia"/>
              </w:rPr>
              <w:t>；</w:t>
            </w:r>
            <w:proofErr w:type="gramStart"/>
            <w:r>
              <w:rPr>
                <w:rFonts w:hint="eastAsia"/>
              </w:rPr>
              <w:t>创金合</w:t>
            </w:r>
            <w:proofErr w:type="gramEnd"/>
            <w:r>
              <w:rPr>
                <w:rFonts w:hint="eastAsia"/>
              </w:rPr>
              <w:t>信基金；</w:t>
            </w:r>
            <w:proofErr w:type="gramStart"/>
            <w:r>
              <w:rPr>
                <w:rFonts w:hint="eastAsia"/>
              </w:rPr>
              <w:t>申万宏</w:t>
            </w:r>
            <w:proofErr w:type="gramEnd"/>
            <w:r>
              <w:rPr>
                <w:rFonts w:hint="eastAsia"/>
              </w:rPr>
              <w:t>源证券；民生证券；德</w:t>
            </w:r>
            <w:proofErr w:type="gramStart"/>
            <w:r>
              <w:rPr>
                <w:rFonts w:hint="eastAsia"/>
              </w:rPr>
              <w:t>邦</w:t>
            </w:r>
            <w:proofErr w:type="gramEnd"/>
            <w:r>
              <w:rPr>
                <w:rFonts w:hint="eastAsia"/>
              </w:rPr>
              <w:t>证券；</w:t>
            </w:r>
            <w:proofErr w:type="gramStart"/>
            <w:r>
              <w:rPr>
                <w:rFonts w:hint="eastAsia"/>
              </w:rPr>
              <w:t>华能贵诚信</w:t>
            </w:r>
            <w:proofErr w:type="gramEnd"/>
            <w:r>
              <w:rPr>
                <w:rFonts w:hint="eastAsia"/>
              </w:rPr>
              <w:t>托；华泰资产；阳光资产；人寿养老；</w:t>
            </w:r>
            <w:proofErr w:type="gramStart"/>
            <w:r>
              <w:rPr>
                <w:rFonts w:hint="eastAsia"/>
              </w:rPr>
              <w:t>深圳福鸿达</w:t>
            </w:r>
            <w:proofErr w:type="gramEnd"/>
            <w:r>
              <w:rPr>
                <w:rFonts w:hint="eastAsia"/>
              </w:rPr>
              <w:t>投资；鹤</w:t>
            </w:r>
            <w:proofErr w:type="gramStart"/>
            <w:r>
              <w:rPr>
                <w:rFonts w:hint="eastAsia"/>
              </w:rPr>
              <w:t>禧</w:t>
            </w:r>
            <w:proofErr w:type="gramEnd"/>
            <w:r>
              <w:rPr>
                <w:rFonts w:hint="eastAsia"/>
              </w:rPr>
              <w:t>投资；</w:t>
            </w:r>
            <w:proofErr w:type="gramStart"/>
            <w:r>
              <w:rPr>
                <w:rFonts w:hint="eastAsia"/>
              </w:rPr>
              <w:t>北京衍航投资</w:t>
            </w:r>
            <w:proofErr w:type="gramEnd"/>
            <w:r>
              <w:rPr>
                <w:rFonts w:hint="eastAsia"/>
              </w:rPr>
              <w:t>；</w:t>
            </w:r>
            <w:proofErr w:type="gramStart"/>
            <w:r>
              <w:rPr>
                <w:rFonts w:hint="eastAsia"/>
              </w:rPr>
              <w:t>上海肇万资产</w:t>
            </w:r>
            <w:proofErr w:type="gramEnd"/>
          </w:p>
        </w:tc>
      </w:tr>
      <w:tr w:rsidR="00943ABD">
        <w:trPr>
          <w:trHeight w:val="495"/>
        </w:trPr>
        <w:tc>
          <w:tcPr>
            <w:tcW w:w="760" w:type="pct"/>
            <w:vAlign w:val="center"/>
          </w:tcPr>
          <w:p w:rsidR="00943ABD" w:rsidRDefault="0010693D">
            <w:pPr>
              <w:ind w:firstLineChars="0" w:firstLine="0"/>
              <w:rPr>
                <w:b/>
                <w:bCs/>
              </w:rPr>
            </w:pPr>
            <w:r>
              <w:rPr>
                <w:b/>
                <w:bCs/>
              </w:rPr>
              <w:t>时间</w:t>
            </w:r>
          </w:p>
        </w:tc>
        <w:tc>
          <w:tcPr>
            <w:tcW w:w="4240" w:type="pct"/>
            <w:vAlign w:val="center"/>
          </w:tcPr>
          <w:p w:rsidR="00943ABD" w:rsidRDefault="0010693D">
            <w:pPr>
              <w:ind w:firstLineChars="0" w:firstLine="0"/>
            </w:pPr>
            <w:r>
              <w:t>2024年2月29日13:30</w:t>
            </w:r>
            <w:r>
              <w:rPr>
                <w:rFonts w:hint="eastAsia"/>
              </w:rPr>
              <w:t>；</w:t>
            </w:r>
            <w:r>
              <w:t>2024年2月29日14:30；2024年3月1日13:30</w:t>
            </w:r>
          </w:p>
        </w:tc>
      </w:tr>
      <w:tr w:rsidR="00943ABD">
        <w:trPr>
          <w:trHeight w:val="537"/>
        </w:trPr>
        <w:tc>
          <w:tcPr>
            <w:tcW w:w="760" w:type="pct"/>
            <w:vAlign w:val="center"/>
          </w:tcPr>
          <w:p w:rsidR="00943ABD" w:rsidRDefault="0010693D">
            <w:pPr>
              <w:ind w:firstLineChars="0" w:firstLine="0"/>
              <w:rPr>
                <w:b/>
                <w:bCs/>
              </w:rPr>
            </w:pPr>
            <w:r>
              <w:rPr>
                <w:b/>
                <w:bCs/>
              </w:rPr>
              <w:t>地点</w:t>
            </w:r>
          </w:p>
        </w:tc>
        <w:tc>
          <w:tcPr>
            <w:tcW w:w="4240" w:type="pct"/>
            <w:vAlign w:val="center"/>
          </w:tcPr>
          <w:p w:rsidR="00943ABD" w:rsidRDefault="0010693D">
            <w:pPr>
              <w:ind w:firstLineChars="0" w:firstLine="0"/>
            </w:pPr>
            <w:r>
              <w:rPr>
                <w:rFonts w:hint="eastAsia"/>
              </w:rPr>
              <w:t>上海锦江汤臣洲际大酒店会议室；无锡君来世</w:t>
            </w:r>
            <w:proofErr w:type="gramStart"/>
            <w:r>
              <w:rPr>
                <w:rFonts w:hint="eastAsia"/>
              </w:rPr>
              <w:t>尊酒店</w:t>
            </w:r>
            <w:proofErr w:type="gramEnd"/>
            <w:r>
              <w:rPr>
                <w:rFonts w:hint="eastAsia"/>
              </w:rPr>
              <w:t>会议室</w:t>
            </w:r>
          </w:p>
        </w:tc>
      </w:tr>
      <w:tr w:rsidR="00943ABD">
        <w:trPr>
          <w:trHeight w:val="587"/>
        </w:trPr>
        <w:tc>
          <w:tcPr>
            <w:tcW w:w="760" w:type="pct"/>
            <w:vAlign w:val="center"/>
          </w:tcPr>
          <w:p w:rsidR="00943ABD" w:rsidRDefault="0010693D">
            <w:pPr>
              <w:ind w:firstLineChars="0" w:firstLine="0"/>
              <w:rPr>
                <w:b/>
                <w:bCs/>
              </w:rPr>
            </w:pPr>
            <w:r>
              <w:rPr>
                <w:b/>
                <w:bCs/>
              </w:rPr>
              <w:t>上市公司参加人员姓名</w:t>
            </w:r>
          </w:p>
        </w:tc>
        <w:tc>
          <w:tcPr>
            <w:tcW w:w="4240" w:type="pct"/>
            <w:vAlign w:val="center"/>
          </w:tcPr>
          <w:p w:rsidR="00943ABD" w:rsidRDefault="0010693D">
            <w:pPr>
              <w:ind w:firstLineChars="0" w:firstLine="0"/>
            </w:pPr>
            <w:r>
              <w:rPr>
                <w:rFonts w:hint="eastAsia"/>
              </w:rPr>
              <w:t>证券事务代表：龚小刚先生</w:t>
            </w:r>
          </w:p>
        </w:tc>
      </w:tr>
      <w:tr w:rsidR="00943ABD">
        <w:trPr>
          <w:trHeight w:val="587"/>
        </w:trPr>
        <w:tc>
          <w:tcPr>
            <w:tcW w:w="760" w:type="pct"/>
            <w:vAlign w:val="center"/>
          </w:tcPr>
          <w:p w:rsidR="00943ABD" w:rsidRDefault="0010693D">
            <w:pPr>
              <w:ind w:firstLineChars="0" w:firstLine="0"/>
            </w:pPr>
            <w:r>
              <w:rPr>
                <w:b/>
                <w:bCs/>
              </w:rPr>
              <w:t>投资者关系活动主要内容介绍</w:t>
            </w:r>
          </w:p>
        </w:tc>
        <w:tc>
          <w:tcPr>
            <w:tcW w:w="4240" w:type="pct"/>
          </w:tcPr>
          <w:p w:rsidR="00943ABD" w:rsidRDefault="0010693D">
            <w:pPr>
              <w:ind w:firstLineChars="200"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说明：对于已发布的重复问题，本表不再重复记录。投资者提问的问题主要如下：</w:t>
            </w:r>
          </w:p>
          <w:p w:rsidR="00943ABD" w:rsidRDefault="0010693D">
            <w:pPr>
              <w:pStyle w:val="a"/>
            </w:pPr>
            <w:r>
              <w:t>请介绍一下公司汽车电子芯片的研发进展情况</w:t>
            </w:r>
            <w:r>
              <w:rPr>
                <w:rFonts w:hint="eastAsia"/>
              </w:rPr>
              <w:t>？</w:t>
            </w:r>
          </w:p>
          <w:p w:rsidR="00943ABD" w:rsidRDefault="0010693D">
            <w:pPr>
              <w:ind w:firstLineChars="200" w:firstLine="480"/>
            </w:pPr>
            <w:r>
              <w:t>答：2023年，公司为大力发展汽车电子芯片和面向服务器的高可靠存储控制芯片，持续较大规模投入产品与技术研发，研发费用比上年增长85.36%，其中主要增长是用于汽车电子芯片的研发。</w:t>
            </w:r>
            <w:r>
              <w:lastRenderedPageBreak/>
              <w:t>公司在汽车电子芯片领域陆续推出了中高端汽车电子MCU芯片CCFC3007PT和CCFC3008PT、汽车电子PSI5收发器专用芯片CIP4100B、安全气囊点火驱动专用芯片CCL1600B、汽车智能座舱音响和主动降噪DSP芯片CCD5001等新产品。汽车电子芯片均按照汽车电子等级进行设计和生产，具备</w:t>
            </w:r>
            <w:r>
              <w:rPr>
                <w:rFonts w:hint="eastAsia"/>
              </w:rPr>
              <w:t>可靠性与功能安全性。</w:t>
            </w:r>
          </w:p>
          <w:p w:rsidR="00943ABD" w:rsidRDefault="0010693D">
            <w:pPr>
              <w:ind w:firstLineChars="200" w:firstLine="480"/>
            </w:pPr>
            <w:r>
              <w:rPr>
                <w:rFonts w:hint="eastAsia"/>
              </w:rPr>
              <w:t>公司今年还将有更多在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的高端产品</w:t>
            </w:r>
            <w:r>
              <w:t>MCU、SOC推出面向市场，目前在</w:t>
            </w:r>
            <w:proofErr w:type="gramStart"/>
            <w:r>
              <w:t>研</w:t>
            </w:r>
            <w:proofErr w:type="gramEnd"/>
            <w:r>
              <w:t>的重要产品包括多核高性能汽车电子MCU（用于高端的动力控制和</w:t>
            </w:r>
            <w:proofErr w:type="gramStart"/>
            <w:r>
              <w:t>域控制</w:t>
            </w:r>
            <w:proofErr w:type="gramEnd"/>
            <w:r>
              <w:t>等）CCFC3012PT、底盘驱动芯片CCL2200B、智能传感芯片CMA2100B、门控专用芯片CCL1100B芯片、无刷电机控制CBC2100B和NFC射频收发CN7160芯片等。</w:t>
            </w:r>
            <w:r>
              <w:rPr>
                <w:rFonts w:hint="eastAsia"/>
              </w:rPr>
              <w:t>值得一提</w:t>
            </w:r>
            <w:r>
              <w:t>的是，正在开发的CCFC3009PT芯片是面向辅助驾驶领域和滑板底盘应用而设计开发的MCU芯片，采用高性能 RSIC-V 架构 （</w:t>
            </w:r>
            <w:proofErr w:type="gramStart"/>
            <w:r>
              <w:t>6个主核</w:t>
            </w:r>
            <w:proofErr w:type="gramEnd"/>
            <w:r>
              <w:t xml:space="preserve">+4 </w:t>
            </w:r>
            <w:proofErr w:type="gramStart"/>
            <w:r>
              <w:t>个</w:t>
            </w:r>
            <w:proofErr w:type="gramEnd"/>
            <w:r>
              <w:t>锁步核），</w:t>
            </w:r>
            <w:proofErr w:type="gramStart"/>
            <w:r>
              <w:t>算力更高</w:t>
            </w:r>
            <w:proofErr w:type="gramEnd"/>
            <w:r>
              <w:t>可达到6000DMIPS以上。</w:t>
            </w:r>
          </w:p>
          <w:p w:rsidR="00943ABD" w:rsidRDefault="0010693D">
            <w:pPr>
              <w:ind w:firstLineChars="200" w:firstLine="480"/>
            </w:pPr>
            <w:r>
              <w:rPr>
                <w:rFonts w:hint="eastAsia"/>
              </w:rPr>
              <w:t>公司目前在汽车电子芯片领域已经建立起较为丰富完整的产品线，未来还将不断推出面向市场的新产品，持续突破在汽车电子等关键领域的市场和技术壁垒，积极开拓市场和客户。</w:t>
            </w:r>
          </w:p>
          <w:p w:rsidR="00943ABD" w:rsidRDefault="0010693D">
            <w:pPr>
              <w:ind w:firstLineChars="200" w:firstLine="482"/>
            </w:pPr>
            <w:r>
              <w:rPr>
                <w:rFonts w:hint="eastAsia"/>
                <w:b/>
              </w:rPr>
              <w:t>2、</w:t>
            </w:r>
            <w:r>
              <w:rPr>
                <w:b/>
              </w:rPr>
              <w:t>公司的</w:t>
            </w:r>
            <w:proofErr w:type="gramStart"/>
            <w:r>
              <w:rPr>
                <w:b/>
              </w:rPr>
              <w:t>云安全</w:t>
            </w:r>
            <w:proofErr w:type="gramEnd"/>
            <w:r>
              <w:rPr>
                <w:b/>
              </w:rPr>
              <w:t>芯片产品是否有新的进展</w:t>
            </w:r>
            <w:r>
              <w:rPr>
                <w:rFonts w:hint="eastAsia"/>
                <w:b/>
              </w:rPr>
              <w:t>？</w:t>
            </w:r>
          </w:p>
          <w:p w:rsidR="00943ABD" w:rsidRDefault="0010693D">
            <w:pPr>
              <w:ind w:firstLineChars="200" w:firstLine="480"/>
            </w:pPr>
            <w:r>
              <w:t>答：</w:t>
            </w:r>
            <w:r w:rsidR="008243C3" w:rsidRPr="008243C3">
              <w:rPr>
                <w:rFonts w:hint="eastAsia"/>
              </w:rPr>
              <w:t>公司围绕自主云安全芯片持续进行新一代产品技术研发，对已有自主云安全芯片与应用进行技术升级迭代，公司已立项开发融合了神经网络计算</w:t>
            </w:r>
            <w:r w:rsidR="008243C3" w:rsidRPr="008243C3">
              <w:t>NPU技术的新一代云安全超高速加解密芯片，其加密模块SM2签名性能可达100万次/秒，SM4加密性能可达80Gbps/秒，性能提升达到数</w:t>
            </w:r>
            <w:r w:rsidR="008243C3">
              <w:t>倍，可满足超高端云安全应用需求，目前相关产品正在积极研发过程中</w:t>
            </w:r>
            <w:r>
              <w:t xml:space="preserve">。 </w:t>
            </w:r>
            <w:bookmarkStart w:id="0" w:name="_GoBack"/>
            <w:bookmarkEnd w:id="0"/>
          </w:p>
          <w:p w:rsidR="00943ABD" w:rsidRDefault="0010693D">
            <w:pPr>
              <w:ind w:firstLineChars="200" w:firstLine="482"/>
            </w:pPr>
            <w:r>
              <w:rPr>
                <w:rFonts w:hint="eastAsia"/>
                <w:b/>
              </w:rPr>
              <w:t>3、</w:t>
            </w:r>
            <w:r>
              <w:rPr>
                <w:b/>
              </w:rPr>
              <w:t>截</w:t>
            </w:r>
            <w:r>
              <w:rPr>
                <w:rFonts w:hint="eastAsia"/>
                <w:b/>
              </w:rPr>
              <w:t>止</w:t>
            </w:r>
            <w:r>
              <w:rPr>
                <w:b/>
              </w:rPr>
              <w:t>2023年底，公司已经实现量产出货的车</w:t>
            </w:r>
            <w:proofErr w:type="gramStart"/>
            <w:r>
              <w:rPr>
                <w:b/>
              </w:rPr>
              <w:t>规</w:t>
            </w:r>
            <w:proofErr w:type="gramEnd"/>
            <w:r>
              <w:rPr>
                <w:b/>
              </w:rPr>
              <w:t>级芯片产</w:t>
            </w:r>
            <w:r>
              <w:rPr>
                <w:b/>
              </w:rPr>
              <w:lastRenderedPageBreak/>
              <w:t>品都有哪些</w:t>
            </w:r>
            <w:r>
              <w:rPr>
                <w:rFonts w:hint="eastAsia"/>
                <w:b/>
              </w:rPr>
              <w:t>？</w:t>
            </w:r>
          </w:p>
          <w:p w:rsidR="00943ABD" w:rsidRDefault="0010693D">
            <w:pPr>
              <w:ind w:firstLineChars="200" w:firstLine="480"/>
            </w:pPr>
            <w:r>
              <w:rPr>
                <w:rFonts w:hint="eastAsia"/>
              </w:rPr>
              <w:t>答：公司目前已量产的汽车电子芯片应用领域涵盖车身与网关控制、安全气囊、线控底盘、域控制器、车联网安全、动力总成、仪表等，在安全气囊控制、车身控制等应用型号都超过</w:t>
            </w:r>
            <w:r>
              <w:t>50万颗，特别是在安全气囊控制方面型号产品已经销售超过200万颗</w:t>
            </w:r>
            <w:r>
              <w:rPr>
                <w:rFonts w:hint="eastAsia"/>
              </w:rPr>
              <w:t>。</w:t>
            </w:r>
          </w:p>
          <w:p w:rsidR="00943ABD" w:rsidRDefault="0010693D">
            <w:pPr>
              <w:ind w:firstLineChars="200" w:firstLine="482"/>
            </w:pP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请介绍一下公司在量子芯片的布局情况</w:t>
            </w:r>
            <w:r>
              <w:rPr>
                <w:rFonts w:hint="eastAsia"/>
                <w:b/>
              </w:rPr>
              <w:t>？</w:t>
            </w:r>
          </w:p>
          <w:p w:rsidR="00943ABD" w:rsidRDefault="0010693D">
            <w:pPr>
              <w:ind w:firstLineChars="200" w:firstLine="480"/>
            </w:pPr>
            <w:r>
              <w:rPr>
                <w:rFonts w:hint="eastAsia"/>
              </w:rPr>
              <w:t>答：</w:t>
            </w:r>
            <w:proofErr w:type="gramStart"/>
            <w:r>
              <w:rPr>
                <w:rFonts w:hint="eastAsia"/>
              </w:rPr>
              <w:t>信创和</w:t>
            </w:r>
            <w:proofErr w:type="gramEnd"/>
            <w:r>
              <w:rPr>
                <w:rFonts w:hint="eastAsia"/>
              </w:rPr>
              <w:t>信息安全是公司业务的重要组成部分，公司持续</w:t>
            </w:r>
            <w:r w:rsidR="007E2D8C" w:rsidRPr="007E2D8C">
              <w:rPr>
                <w:rFonts w:hint="eastAsia"/>
              </w:rPr>
              <w:t>采用量子技术</w:t>
            </w:r>
            <w:proofErr w:type="gramStart"/>
            <w:r w:rsidR="007E2D8C" w:rsidRPr="007E2D8C">
              <w:rPr>
                <w:rFonts w:hint="eastAsia"/>
              </w:rPr>
              <w:t>对信创和</w:t>
            </w:r>
            <w:proofErr w:type="gramEnd"/>
            <w:r w:rsidR="007E2D8C" w:rsidRPr="007E2D8C">
              <w:rPr>
                <w:rFonts w:hint="eastAsia"/>
              </w:rPr>
              <w:t>信息安全芯片产品进行升级</w:t>
            </w:r>
            <w:r>
              <w:rPr>
                <w:rFonts w:hint="eastAsia"/>
              </w:rPr>
              <w:t>，提升并拓展</w:t>
            </w:r>
            <w:proofErr w:type="gramStart"/>
            <w:r>
              <w:rPr>
                <w:rFonts w:hint="eastAsia"/>
              </w:rPr>
              <w:t>公司信创和</w:t>
            </w:r>
            <w:proofErr w:type="gramEnd"/>
            <w:r>
              <w:rPr>
                <w:rFonts w:hint="eastAsia"/>
              </w:rPr>
              <w:t>信息安全产品线。</w:t>
            </w:r>
            <w:r>
              <w:t>2022年，公司与硅</w:t>
            </w:r>
            <w:proofErr w:type="gramStart"/>
            <w:r>
              <w:t>臻</w:t>
            </w:r>
            <w:proofErr w:type="gramEnd"/>
            <w:r>
              <w:t>首次合作，成功研发了基于</w:t>
            </w:r>
            <w:proofErr w:type="gramStart"/>
            <w:r>
              <w:t>国芯科技</w:t>
            </w:r>
            <w:proofErr w:type="gramEnd"/>
            <w:r>
              <w:t>CCP903T高性能密码芯片和</w:t>
            </w:r>
            <w:proofErr w:type="gramStart"/>
            <w:r>
              <w:t>硅臻</w:t>
            </w:r>
            <w:proofErr w:type="gramEnd"/>
            <w:r>
              <w:t>QRNG25SPI量子随机数发生器模组的高速量子密码卡，可广泛应用于密码机、签名/验证服务器、安全网关/防火墙等安全设备以及金融、物联网、工业控制、可信计算和国家重大需求等领域。2023年，公司与问天量子、</w:t>
            </w:r>
            <w:proofErr w:type="gramStart"/>
            <w:r>
              <w:t>文芯科技</w:t>
            </w:r>
            <w:proofErr w:type="gramEnd"/>
            <w:r>
              <w:t>签署了战略合作协议，三方合作成立量子芯片联合实验室，面向互联网、物联网、人工智能、云计算、先进存储和通信</w:t>
            </w:r>
            <w:r>
              <w:rPr>
                <w:rFonts w:hint="eastAsia"/>
              </w:rPr>
              <w:t>基础设施等领域，共同研发应用于云</w:t>
            </w:r>
            <w:r>
              <w:t>-边-端的量子密码芯片；并针对上述应用场景，开发量子信息安全方案、技术及产品。近日，公司与硅</w:t>
            </w:r>
            <w:proofErr w:type="gramStart"/>
            <w:r>
              <w:t>臻</w:t>
            </w:r>
            <w:proofErr w:type="gramEnd"/>
            <w:r>
              <w:t>签署了战略合作协议，双方将组建智能终端量子安全芯片联合实验室，基于公司的ET系列智能终端信息安全芯片和</w:t>
            </w:r>
            <w:proofErr w:type="gramStart"/>
            <w:r>
              <w:t>硅臻</w:t>
            </w:r>
            <w:proofErr w:type="gramEnd"/>
            <w:r>
              <w:t>的QRNG-10量子随机数发生器芯片联合发展智能终端量子安全芯片技术和产品。硅</w:t>
            </w:r>
            <w:proofErr w:type="gramStart"/>
            <w:r>
              <w:t>臻</w:t>
            </w:r>
            <w:proofErr w:type="gramEnd"/>
            <w:r>
              <w:t>同时也是公司的参股企业</w:t>
            </w:r>
            <w:r>
              <w:rPr>
                <w:rFonts w:hint="eastAsia"/>
              </w:rPr>
              <w:t>。</w:t>
            </w:r>
          </w:p>
        </w:tc>
      </w:tr>
      <w:tr w:rsidR="00943ABD">
        <w:trPr>
          <w:trHeight w:val="904"/>
        </w:trPr>
        <w:tc>
          <w:tcPr>
            <w:tcW w:w="760" w:type="pct"/>
            <w:vAlign w:val="center"/>
          </w:tcPr>
          <w:p w:rsidR="00943ABD" w:rsidRDefault="0010693D">
            <w:pPr>
              <w:ind w:firstLineChars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附件清单（如有）</w:t>
            </w:r>
          </w:p>
        </w:tc>
        <w:tc>
          <w:tcPr>
            <w:tcW w:w="4240" w:type="pct"/>
          </w:tcPr>
          <w:p w:rsidR="00943ABD" w:rsidRDefault="0010693D">
            <w:pPr>
              <w:ind w:firstLineChars="0" w:firstLine="0"/>
            </w:pPr>
            <w:r>
              <w:t>无</w:t>
            </w:r>
          </w:p>
        </w:tc>
      </w:tr>
      <w:tr w:rsidR="00943ABD">
        <w:trPr>
          <w:trHeight w:val="1042"/>
        </w:trPr>
        <w:tc>
          <w:tcPr>
            <w:tcW w:w="760" w:type="pct"/>
            <w:vAlign w:val="center"/>
          </w:tcPr>
          <w:p w:rsidR="00943ABD" w:rsidRDefault="0010693D">
            <w:pPr>
              <w:ind w:firstLineChars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日期</w:t>
            </w:r>
          </w:p>
        </w:tc>
        <w:tc>
          <w:tcPr>
            <w:tcW w:w="4240" w:type="pct"/>
          </w:tcPr>
          <w:p w:rsidR="00943ABD" w:rsidRDefault="0010693D">
            <w:pPr>
              <w:ind w:firstLineChars="0" w:firstLine="0"/>
            </w:pPr>
            <w:r>
              <w:rPr>
                <w:rFonts w:hint="eastAsia"/>
              </w:rPr>
              <w:t>2</w:t>
            </w:r>
            <w:r>
              <w:t>024年</w:t>
            </w:r>
            <w:r>
              <w:rPr>
                <w:rFonts w:hint="eastAsia"/>
              </w:rPr>
              <w:t>3月</w:t>
            </w:r>
          </w:p>
        </w:tc>
      </w:tr>
    </w:tbl>
    <w:p w:rsidR="00943ABD" w:rsidRDefault="00943ABD"/>
    <w:sectPr w:rsidR="00943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9B" w:rsidRDefault="0001179B">
      <w:pPr>
        <w:spacing w:line="240" w:lineRule="auto"/>
      </w:pPr>
      <w:r>
        <w:separator/>
      </w:r>
    </w:p>
  </w:endnote>
  <w:endnote w:type="continuationSeparator" w:id="0">
    <w:p w:rsidR="0001179B" w:rsidRDefault="00011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BD" w:rsidRDefault="0010693D">
    <w:pPr>
      <w:pStyle w:val="a6"/>
      <w:ind w:firstLine="180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943ABD" w:rsidRDefault="00943ABD">
    <w:pPr>
      <w:pStyle w:val="a6"/>
      <w:ind w:firstLine="180"/>
    </w:pPr>
  </w:p>
  <w:p w:rsidR="00943ABD" w:rsidRDefault="00943ABD"/>
  <w:p w:rsidR="00943ABD" w:rsidRDefault="00943ABD"/>
  <w:p w:rsidR="00943ABD" w:rsidRDefault="00943ABD"/>
  <w:p w:rsidR="00943ABD" w:rsidRDefault="00943A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BD" w:rsidRDefault="0010693D">
    <w:pPr>
      <w:pStyle w:val="a6"/>
      <w:ind w:firstLine="180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8243C3">
      <w:rPr>
        <w:rStyle w:val="ab"/>
        <w:noProof/>
      </w:rPr>
      <w:t>4</w:t>
    </w:r>
    <w:r>
      <w:fldChar w:fldCharType="end"/>
    </w:r>
  </w:p>
  <w:p w:rsidR="00943ABD" w:rsidRDefault="00943ABD">
    <w:pPr>
      <w:pStyle w:val="a6"/>
      <w:ind w:firstLine="180"/>
    </w:pPr>
  </w:p>
  <w:p w:rsidR="00943ABD" w:rsidRDefault="00943ABD"/>
  <w:p w:rsidR="00943ABD" w:rsidRDefault="00943ABD"/>
  <w:p w:rsidR="00943ABD" w:rsidRDefault="00943ABD"/>
  <w:p w:rsidR="00943ABD" w:rsidRDefault="00943A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C3" w:rsidRDefault="008243C3">
    <w:pPr>
      <w:pStyle w:val="a6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9B" w:rsidRDefault="0001179B">
      <w:pPr>
        <w:spacing w:line="240" w:lineRule="auto"/>
      </w:pPr>
      <w:r>
        <w:separator/>
      </w:r>
    </w:p>
  </w:footnote>
  <w:footnote w:type="continuationSeparator" w:id="0">
    <w:p w:rsidR="0001179B" w:rsidRDefault="00011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BD" w:rsidRDefault="00943ABD">
    <w:pPr>
      <w:pStyle w:val="a7"/>
      <w:ind w:firstLine="180"/>
    </w:pPr>
  </w:p>
  <w:p w:rsidR="00943ABD" w:rsidRDefault="00943A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BD" w:rsidRDefault="00943ABD">
    <w:pPr>
      <w:pStyle w:val="a7"/>
      <w:ind w:firstLine="180"/>
    </w:pPr>
  </w:p>
  <w:p w:rsidR="00943ABD" w:rsidRDefault="00943AB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BD" w:rsidRDefault="00943ABD">
    <w:pPr>
      <w:pStyle w:val="a7"/>
      <w:ind w:firstLine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564F"/>
    <w:multiLevelType w:val="multilevel"/>
    <w:tmpl w:val="436B2D88"/>
    <w:lvl w:ilvl="0">
      <w:start w:val="1"/>
      <w:numFmt w:val="decimal"/>
      <w:pStyle w:val="a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BD"/>
    <w:rsid w:val="0001179B"/>
    <w:rsid w:val="000F76F1"/>
    <w:rsid w:val="0010693D"/>
    <w:rsid w:val="007E2D8C"/>
    <w:rsid w:val="008243C3"/>
    <w:rsid w:val="00943ABD"/>
    <w:rsid w:val="00BB145A"/>
    <w:rsid w:val="00D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CD5B0C-2E03-4D87-85DF-52363C86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line="360" w:lineRule="auto"/>
      <w:ind w:firstLineChars="100" w:firstLine="240"/>
      <w:jc w:val="both"/>
    </w:pPr>
    <w:rPr>
      <w:rFonts w:ascii="宋体" w:hAnsi="宋体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qFormat/>
    <w:pPr>
      <w:jc w:val="left"/>
    </w:pPr>
  </w:style>
  <w:style w:type="paragraph" w:styleId="a5">
    <w:name w:val="Balloon Text"/>
    <w:basedOn w:val="a0"/>
    <w:link w:val="Char0"/>
    <w:uiPriority w:val="99"/>
    <w:qFormat/>
    <w:rPr>
      <w:sz w:val="18"/>
      <w:szCs w:val="18"/>
    </w:rPr>
  </w:style>
  <w:style w:type="paragraph" w:styleId="a6">
    <w:name w:val="footer"/>
    <w:basedOn w:val="a0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0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宋体"/>
      <w:kern w:val="0"/>
    </w:rPr>
  </w:style>
  <w:style w:type="paragraph" w:styleId="a8">
    <w:name w:val="Normal (Web)"/>
    <w:basedOn w:val="a0"/>
    <w:uiPriority w:val="99"/>
    <w:qFormat/>
    <w:pPr>
      <w:widowControl/>
      <w:spacing w:before="100" w:beforeAutospacing="1" w:after="100" w:afterAutospacing="1"/>
      <w:jc w:val="left"/>
    </w:pPr>
    <w:rPr>
      <w:rFonts w:cs="宋体"/>
      <w:kern w:val="0"/>
    </w:rPr>
  </w:style>
  <w:style w:type="paragraph" w:styleId="a9">
    <w:name w:val="annotation subject"/>
    <w:basedOn w:val="a4"/>
    <w:next w:val="a4"/>
    <w:link w:val="Char3"/>
    <w:uiPriority w:val="99"/>
    <w:qFormat/>
    <w:rPr>
      <w:b/>
      <w:bCs/>
    </w:rPr>
  </w:style>
  <w:style w:type="table" w:styleId="aa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1"/>
    <w:qFormat/>
  </w:style>
  <w:style w:type="character" w:styleId="ac">
    <w:name w:val="Emphasis"/>
    <w:basedOn w:val="a1"/>
    <w:uiPriority w:val="20"/>
    <w:qFormat/>
    <w:rPr>
      <w:i/>
      <w:iCs/>
    </w:rPr>
  </w:style>
  <w:style w:type="character" w:styleId="ad">
    <w:name w:val="Hyperlink"/>
    <w:basedOn w:val="a1"/>
    <w:uiPriority w:val="99"/>
    <w:qFormat/>
    <w:rPr>
      <w:color w:val="0000FF"/>
      <w:u w:val="single"/>
    </w:rPr>
  </w:style>
  <w:style w:type="character" w:styleId="ae">
    <w:name w:val="annotation reference"/>
    <w:basedOn w:val="a1"/>
    <w:uiPriority w:val="99"/>
    <w:qFormat/>
    <w:rPr>
      <w:sz w:val="21"/>
      <w:szCs w:val="21"/>
    </w:rPr>
  </w:style>
  <w:style w:type="character" w:customStyle="1" w:styleId="Char1">
    <w:name w:val="页脚 Char"/>
    <w:basedOn w:val="a1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005">
    <w:name w:val="005正文"/>
    <w:basedOn w:val="a0"/>
    <w:link w:val="005Char"/>
    <w:qFormat/>
    <w:pPr>
      <w:spacing w:beforeLines="50" w:before="50"/>
      <w:ind w:firstLineChars="200" w:firstLine="200"/>
    </w:pPr>
    <w:rPr>
      <w:szCs w:val="22"/>
    </w:rPr>
  </w:style>
  <w:style w:type="character" w:customStyle="1" w:styleId="005Char">
    <w:name w:val="005正文 Char"/>
    <w:link w:val="005"/>
    <w:qFormat/>
    <w:rPr>
      <w:rFonts w:ascii="Times New Roman" w:eastAsia="宋体" w:hAnsi="Times New Roman" w:cs="Times New Roman"/>
      <w:sz w:val="24"/>
    </w:rPr>
  </w:style>
  <w:style w:type="character" w:customStyle="1" w:styleId="Char2">
    <w:name w:val="页眉 Char"/>
    <w:basedOn w:val="a1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">
    <w:name w:val="List Paragraph"/>
    <w:basedOn w:val="a0"/>
    <w:uiPriority w:val="34"/>
    <w:qFormat/>
    <w:pPr>
      <w:numPr>
        <w:numId w:val="1"/>
      </w:numPr>
      <w:ind w:left="0" w:firstLineChars="197" w:firstLine="475"/>
    </w:pPr>
    <w:rPr>
      <w:rFonts w:ascii="Calibri" w:hAnsi="Calibri" w:cs="宋体"/>
      <w:b/>
    </w:rPr>
  </w:style>
  <w:style w:type="character" w:customStyle="1" w:styleId="Char0">
    <w:name w:val="批注框文本 Char"/>
    <w:basedOn w:val="a1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uiPriority w:val="99"/>
    <w:qFormat/>
    <w:rPr>
      <w:kern w:val="2"/>
      <w:sz w:val="21"/>
      <w:szCs w:val="24"/>
    </w:rPr>
  </w:style>
  <w:style w:type="character" w:customStyle="1" w:styleId="Char">
    <w:name w:val="批注文字 Char"/>
    <w:basedOn w:val="a1"/>
    <w:link w:val="a4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9"/>
    <w:uiPriority w:val="99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HTMLChar">
    <w:name w:val="HTML 预设格式 Char"/>
    <w:basedOn w:val="a1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1F1D-F1ED-43B6-B77A-E17C916A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ZhengJiang</dc:creator>
  <cp:lastModifiedBy>ccore</cp:lastModifiedBy>
  <cp:revision>3</cp:revision>
  <cp:lastPrinted>2023-11-07T07:48:00Z</cp:lastPrinted>
  <dcterms:created xsi:type="dcterms:W3CDTF">2024-03-01T11:11:00Z</dcterms:created>
  <dcterms:modified xsi:type="dcterms:W3CDTF">2024-03-01T11:15:00Z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403D3A734C594E9DAC1DF9895754B2E8_13</vt:lpwstr>
  </property>
</Properties>
</file>