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BD" w:rsidRDefault="0010693D">
      <w:pPr>
        <w:ind w:firstLine="320"/>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苏州国芯科技股份有限公司</w:t>
      </w:r>
    </w:p>
    <w:p w:rsidR="00943ABD" w:rsidRDefault="0010693D">
      <w:pPr>
        <w:ind w:firstLine="320"/>
        <w:jc w:val="center"/>
        <w:rPr>
          <w:rFonts w:ascii="华文中宋" w:eastAsia="华文中宋" w:hAnsi="华文中宋" w:cs="华文中宋"/>
          <w:b/>
          <w:sz w:val="32"/>
          <w:szCs w:val="32"/>
        </w:rPr>
      </w:pPr>
      <w:r>
        <w:rPr>
          <w:rFonts w:ascii="华文中宋" w:eastAsia="华文中宋" w:hAnsi="华文中宋" w:cs="华文中宋" w:hint="eastAsia"/>
          <w:b/>
          <w:sz w:val="32"/>
          <w:szCs w:val="32"/>
        </w:rPr>
        <w:t>2024年3月</w:t>
      </w:r>
      <w:r w:rsidR="00AB1FF8">
        <w:rPr>
          <w:rFonts w:ascii="华文中宋" w:eastAsia="华文中宋" w:hAnsi="华文中宋" w:cs="华文中宋"/>
          <w:b/>
          <w:sz w:val="32"/>
          <w:szCs w:val="32"/>
        </w:rPr>
        <w:t>4</w:t>
      </w:r>
      <w:r>
        <w:rPr>
          <w:rFonts w:ascii="华文中宋" w:eastAsia="华文中宋" w:hAnsi="华文中宋" w:cs="华文中宋" w:hint="eastAsia"/>
          <w:b/>
          <w:sz w:val="32"/>
          <w:szCs w:val="32"/>
        </w:rPr>
        <w:t>日投资者关系活动记录表</w:t>
      </w:r>
    </w:p>
    <w:p w:rsidR="00943ABD" w:rsidRDefault="00943ABD"/>
    <w:p w:rsidR="00943ABD" w:rsidRDefault="0010693D">
      <w:pPr>
        <w:ind w:firstLine="241"/>
        <w:rPr>
          <w:rFonts w:cs="宋体"/>
          <w:b/>
          <w:bCs/>
        </w:rPr>
      </w:pPr>
      <w:r>
        <w:rPr>
          <w:rFonts w:cs="宋体" w:hint="eastAsia"/>
          <w:b/>
          <w:bCs/>
        </w:rPr>
        <w:t>证券简称：国芯科技           证券代码：688262      编号：2024-00</w:t>
      </w:r>
      <w:r w:rsidR="00B3690C">
        <w:rPr>
          <w:rFonts w:cs="宋体"/>
          <w:b/>
          <w:bC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227"/>
      </w:tblGrid>
      <w:tr w:rsidR="00943ABD">
        <w:trPr>
          <w:trHeight w:val="1981"/>
        </w:trPr>
        <w:tc>
          <w:tcPr>
            <w:tcW w:w="760" w:type="pct"/>
            <w:vAlign w:val="center"/>
          </w:tcPr>
          <w:p w:rsidR="00943ABD" w:rsidRDefault="0010693D">
            <w:pPr>
              <w:ind w:firstLineChars="0" w:firstLine="0"/>
              <w:rPr>
                <w:b/>
                <w:bCs/>
              </w:rPr>
            </w:pPr>
            <w:r>
              <w:rPr>
                <w:b/>
                <w:bCs/>
              </w:rPr>
              <w:t>投资者关系活动类别</w:t>
            </w:r>
          </w:p>
        </w:tc>
        <w:tc>
          <w:tcPr>
            <w:tcW w:w="4240" w:type="pct"/>
          </w:tcPr>
          <w:p w:rsidR="00943ABD" w:rsidRDefault="0010693D">
            <w:pPr>
              <w:ind w:firstLineChars="0" w:firstLine="0"/>
            </w:pPr>
            <w:r>
              <w:rPr>
                <w:rFonts w:hint="eastAsia"/>
              </w:rPr>
              <w:t>√</w:t>
            </w:r>
            <w:r>
              <w:t>特定对象调研        □分析师会议</w:t>
            </w:r>
          </w:p>
          <w:p w:rsidR="00943ABD" w:rsidRDefault="0010693D">
            <w:pPr>
              <w:ind w:firstLineChars="0" w:firstLine="0"/>
            </w:pPr>
            <w:r>
              <w:t xml:space="preserve">□媒体采访            </w:t>
            </w:r>
            <w:r>
              <w:rPr>
                <w:rFonts w:hint="eastAsia"/>
              </w:rPr>
              <w:t>□</w:t>
            </w:r>
            <w:r>
              <w:t>业绩说明会</w:t>
            </w:r>
          </w:p>
          <w:p w:rsidR="00943ABD" w:rsidRDefault="0010693D">
            <w:pPr>
              <w:ind w:firstLineChars="0" w:firstLine="0"/>
            </w:pPr>
            <w:r>
              <w:t>□新闻发布会          □路演活动</w:t>
            </w:r>
          </w:p>
          <w:p w:rsidR="00943ABD" w:rsidRDefault="0010693D">
            <w:pPr>
              <w:ind w:firstLineChars="0" w:firstLine="0"/>
            </w:pPr>
            <w:r>
              <w:rPr>
                <w:rFonts w:hint="eastAsia"/>
              </w:rPr>
              <w:t>□</w:t>
            </w:r>
            <w:r>
              <w:t>现场参观            □其他（请文字说明其他活动内容）</w:t>
            </w:r>
          </w:p>
        </w:tc>
      </w:tr>
      <w:tr w:rsidR="00943ABD">
        <w:trPr>
          <w:trHeight w:val="587"/>
        </w:trPr>
        <w:tc>
          <w:tcPr>
            <w:tcW w:w="760" w:type="pct"/>
            <w:vAlign w:val="center"/>
          </w:tcPr>
          <w:p w:rsidR="00943ABD" w:rsidRDefault="0010693D">
            <w:pPr>
              <w:ind w:firstLineChars="0" w:firstLine="0"/>
              <w:rPr>
                <w:b/>
                <w:bCs/>
              </w:rPr>
            </w:pPr>
            <w:r>
              <w:rPr>
                <w:b/>
                <w:bCs/>
              </w:rPr>
              <w:t>参与单位名称</w:t>
            </w:r>
          </w:p>
        </w:tc>
        <w:tc>
          <w:tcPr>
            <w:tcW w:w="4240" w:type="pct"/>
            <w:vAlign w:val="center"/>
          </w:tcPr>
          <w:p w:rsidR="00943ABD" w:rsidRDefault="00AB1FF8">
            <w:pPr>
              <w:ind w:firstLineChars="0" w:firstLine="0"/>
            </w:pPr>
            <w:r>
              <w:rPr>
                <w:rFonts w:hint="eastAsia"/>
              </w:rPr>
              <w:t>国海证券</w:t>
            </w:r>
          </w:p>
        </w:tc>
      </w:tr>
      <w:tr w:rsidR="00943ABD">
        <w:trPr>
          <w:trHeight w:val="495"/>
        </w:trPr>
        <w:tc>
          <w:tcPr>
            <w:tcW w:w="760" w:type="pct"/>
            <w:vAlign w:val="center"/>
          </w:tcPr>
          <w:p w:rsidR="00943ABD" w:rsidRDefault="0010693D">
            <w:pPr>
              <w:ind w:firstLineChars="0" w:firstLine="0"/>
              <w:rPr>
                <w:b/>
                <w:bCs/>
              </w:rPr>
            </w:pPr>
            <w:r>
              <w:rPr>
                <w:b/>
                <w:bCs/>
              </w:rPr>
              <w:t>时间</w:t>
            </w:r>
          </w:p>
        </w:tc>
        <w:tc>
          <w:tcPr>
            <w:tcW w:w="4240" w:type="pct"/>
            <w:vAlign w:val="center"/>
          </w:tcPr>
          <w:p w:rsidR="00943ABD" w:rsidRDefault="0010693D" w:rsidP="00AB1FF8">
            <w:pPr>
              <w:ind w:firstLineChars="0" w:firstLine="0"/>
            </w:pPr>
            <w:r>
              <w:t>2024年3月</w:t>
            </w:r>
            <w:r w:rsidR="00AB1FF8">
              <w:t>4</w:t>
            </w:r>
            <w:r>
              <w:t>日1</w:t>
            </w:r>
            <w:r w:rsidR="00AB1FF8">
              <w:t>5</w:t>
            </w:r>
            <w:r>
              <w:t>:</w:t>
            </w:r>
            <w:r w:rsidR="00AB1FF8">
              <w:t>0</w:t>
            </w:r>
            <w:r>
              <w:t>0</w:t>
            </w:r>
          </w:p>
        </w:tc>
      </w:tr>
      <w:tr w:rsidR="00943ABD">
        <w:trPr>
          <w:trHeight w:val="537"/>
        </w:trPr>
        <w:tc>
          <w:tcPr>
            <w:tcW w:w="760" w:type="pct"/>
            <w:vAlign w:val="center"/>
          </w:tcPr>
          <w:p w:rsidR="00943ABD" w:rsidRDefault="0010693D">
            <w:pPr>
              <w:ind w:firstLineChars="0" w:firstLine="0"/>
              <w:rPr>
                <w:b/>
                <w:bCs/>
              </w:rPr>
            </w:pPr>
            <w:r>
              <w:rPr>
                <w:b/>
                <w:bCs/>
              </w:rPr>
              <w:t>地点</w:t>
            </w:r>
          </w:p>
        </w:tc>
        <w:tc>
          <w:tcPr>
            <w:tcW w:w="4240" w:type="pct"/>
            <w:vAlign w:val="center"/>
          </w:tcPr>
          <w:p w:rsidR="00943ABD" w:rsidRDefault="00AB1FF8" w:rsidP="00AB1FF8">
            <w:pPr>
              <w:ind w:firstLineChars="0" w:firstLine="0"/>
            </w:pPr>
            <w:r>
              <w:rPr>
                <w:rFonts w:hint="eastAsia"/>
              </w:rPr>
              <w:t>公司</w:t>
            </w:r>
            <w:r w:rsidR="0010693D">
              <w:rPr>
                <w:rFonts w:hint="eastAsia"/>
              </w:rPr>
              <w:t>会议室</w:t>
            </w:r>
          </w:p>
        </w:tc>
      </w:tr>
      <w:tr w:rsidR="00943ABD">
        <w:trPr>
          <w:trHeight w:val="587"/>
        </w:trPr>
        <w:tc>
          <w:tcPr>
            <w:tcW w:w="760" w:type="pct"/>
            <w:vAlign w:val="center"/>
          </w:tcPr>
          <w:p w:rsidR="00943ABD" w:rsidRDefault="0010693D">
            <w:pPr>
              <w:ind w:firstLineChars="0" w:firstLine="0"/>
              <w:rPr>
                <w:b/>
                <w:bCs/>
              </w:rPr>
            </w:pPr>
            <w:r>
              <w:rPr>
                <w:b/>
                <w:bCs/>
              </w:rPr>
              <w:t>上市公司参加人员姓名</w:t>
            </w:r>
          </w:p>
        </w:tc>
        <w:tc>
          <w:tcPr>
            <w:tcW w:w="4240" w:type="pct"/>
            <w:vAlign w:val="center"/>
          </w:tcPr>
          <w:p w:rsidR="00943ABD" w:rsidRDefault="0010693D">
            <w:pPr>
              <w:ind w:firstLineChars="0" w:firstLine="0"/>
            </w:pPr>
            <w:r>
              <w:rPr>
                <w:rFonts w:hint="eastAsia"/>
              </w:rPr>
              <w:t>证券事务代表：龚小刚先生</w:t>
            </w:r>
          </w:p>
        </w:tc>
      </w:tr>
      <w:tr w:rsidR="00943ABD">
        <w:trPr>
          <w:trHeight w:val="587"/>
        </w:trPr>
        <w:tc>
          <w:tcPr>
            <w:tcW w:w="760" w:type="pct"/>
            <w:vAlign w:val="center"/>
          </w:tcPr>
          <w:p w:rsidR="00943ABD" w:rsidRDefault="0010693D">
            <w:pPr>
              <w:ind w:firstLineChars="0" w:firstLine="0"/>
            </w:pPr>
            <w:r>
              <w:rPr>
                <w:b/>
                <w:bCs/>
              </w:rPr>
              <w:t>投资者关系活动主要内容介绍</w:t>
            </w:r>
          </w:p>
        </w:tc>
        <w:tc>
          <w:tcPr>
            <w:tcW w:w="4240" w:type="pct"/>
          </w:tcPr>
          <w:p w:rsidR="00943ABD" w:rsidRDefault="0010693D">
            <w:pPr>
              <w:ind w:firstLineChars="200" w:firstLine="482"/>
              <w:rPr>
                <w:b/>
                <w:bCs/>
              </w:rPr>
            </w:pPr>
            <w:r>
              <w:rPr>
                <w:rFonts w:hint="eastAsia"/>
                <w:b/>
                <w:bCs/>
              </w:rPr>
              <w:t>说明：对于已发布的重复问题，本表不再重复记录。投资者提问的问题主要如下：</w:t>
            </w:r>
          </w:p>
          <w:p w:rsidR="00943ABD" w:rsidRDefault="0010693D">
            <w:pPr>
              <w:pStyle w:val="a"/>
            </w:pPr>
            <w:r>
              <w:t>请</w:t>
            </w:r>
            <w:r w:rsidR="00B3690C">
              <w:t>具体</w:t>
            </w:r>
            <w:r>
              <w:t>介绍一下公司</w:t>
            </w:r>
            <w:r w:rsidR="00B3690C">
              <w:t>产品</w:t>
            </w:r>
            <w:r w:rsidR="00B3690C">
              <w:rPr>
                <w:rFonts w:hint="eastAsia"/>
              </w:rPr>
              <w:t>在金融</w:t>
            </w:r>
            <w:r w:rsidR="00B3690C">
              <w:t>端安全</w:t>
            </w:r>
            <w:r w:rsidR="00B3690C">
              <w:rPr>
                <w:rFonts w:hint="eastAsia"/>
              </w:rPr>
              <w:t>方面</w:t>
            </w:r>
            <w:r w:rsidR="00B3690C">
              <w:t>的市场情况？</w:t>
            </w:r>
          </w:p>
          <w:p w:rsidR="00943ABD" w:rsidRDefault="0010693D">
            <w:pPr>
              <w:ind w:firstLineChars="200" w:firstLine="480"/>
            </w:pPr>
            <w:r>
              <w:t>答：</w:t>
            </w:r>
            <w:r w:rsidR="00864D3C" w:rsidRPr="00864D3C">
              <w:rPr>
                <w:rFonts w:hint="eastAsia"/>
              </w:rPr>
              <w:t>公司研发的金融终端安全芯片产品群包括</w:t>
            </w:r>
            <w:r w:rsidR="00864D3C" w:rsidRPr="00864D3C">
              <w:t>CUni360S-Z、CCM4202S、CCM4202S-EL以及CCM4208S等多款产品，广泛应用于智能POS、传统POS、电签POS、mPOS等产品中。上述芯片累计出货超过1亿颗，已成为行业主流芯片。华智融作为国芯科技在金融终端安全芯片领域的主要客户，已从国芯科技采购芯片近5000万颗。未</w:t>
            </w:r>
            <w:r w:rsidR="00864D3C" w:rsidRPr="00864D3C">
              <w:lastRenderedPageBreak/>
              <w:t>来，国芯科技将持续强化在金融终端安全芯片等优势领域的产品能力及服务能力，和客户保持紧密合作，继续为客户提供优质的产品和服务，为行业发展做出更大的努力。</w:t>
            </w:r>
          </w:p>
          <w:p w:rsidR="00943ABD" w:rsidRDefault="0010693D">
            <w:pPr>
              <w:ind w:firstLineChars="200" w:firstLine="482"/>
            </w:pPr>
            <w:r>
              <w:rPr>
                <w:rFonts w:hint="eastAsia"/>
                <w:b/>
              </w:rPr>
              <w:t>2、</w:t>
            </w:r>
            <w:r w:rsidR="00B3690C">
              <w:rPr>
                <w:rFonts w:hint="eastAsia"/>
                <w:b/>
              </w:rPr>
              <w:t>请</w:t>
            </w:r>
            <w:r w:rsidR="009624C1">
              <w:rPr>
                <w:rFonts w:hint="eastAsia"/>
                <w:b/>
              </w:rPr>
              <w:t>问</w:t>
            </w:r>
            <w:r w:rsidR="00B3690C">
              <w:rPr>
                <w:b/>
              </w:rPr>
              <w:t>公司在可信安全</w:t>
            </w:r>
            <w:r w:rsidR="009624C1">
              <w:rPr>
                <w:b/>
              </w:rPr>
              <w:t>芯片产品</w:t>
            </w:r>
            <w:r w:rsidR="00B3690C">
              <w:rPr>
                <w:b/>
              </w:rPr>
              <w:t>市场的情况</w:t>
            </w:r>
            <w:r w:rsidR="001716CA">
              <w:rPr>
                <w:b/>
              </w:rPr>
              <w:t>怎么样</w:t>
            </w:r>
            <w:r>
              <w:rPr>
                <w:rFonts w:hint="eastAsia"/>
                <w:b/>
              </w:rPr>
              <w:t>？</w:t>
            </w:r>
          </w:p>
          <w:p w:rsidR="00CA0B36" w:rsidRDefault="0010693D" w:rsidP="00CA0B36">
            <w:pPr>
              <w:ind w:firstLineChars="200" w:firstLine="480"/>
            </w:pPr>
            <w:r>
              <w:t>答：</w:t>
            </w:r>
            <w:r w:rsidR="00CA0B36">
              <w:rPr>
                <w:rFonts w:hint="eastAsia"/>
              </w:rPr>
              <w:t>国芯科技长期致力于可信安全芯片的研发和推广，经过多年的厚积薄发，已在该领域拥有多项核心技术和知识产权，基于</w:t>
            </w:r>
            <w:r w:rsidR="00CA0B36">
              <w:t>CUni360S、CCM3310S-H、CCP903T、CCP907T等可信安全芯片已成功研发出一系列可信安全产品并在多个领域获得成功应用。</w:t>
            </w:r>
          </w:p>
          <w:p w:rsidR="00CA0B36" w:rsidRDefault="00CA0B36" w:rsidP="00CA0B36">
            <w:pPr>
              <w:ind w:firstLineChars="200" w:firstLine="480"/>
            </w:pPr>
            <w:r>
              <w:rPr>
                <w:rFonts w:hint="eastAsia"/>
              </w:rPr>
              <w:t>此外，公司还与国内领先的可信计算企业北京可信华泰信息技术有限公司建立了战略合作关系，国芯发挥在可信安全芯片方面的优势，可信华泰发挥在可信应用软件方面的优势，双方共同进行市场开拓工作。</w:t>
            </w:r>
          </w:p>
          <w:p w:rsidR="00CA0B36" w:rsidRDefault="00CA0B36" w:rsidP="00CA0B36">
            <w:pPr>
              <w:ind w:firstLineChars="200" w:firstLine="480"/>
            </w:pPr>
            <w:r>
              <w:rPr>
                <w:rFonts w:hint="eastAsia"/>
              </w:rPr>
              <w:t>目前，国芯科技可信安全芯片已经在</w:t>
            </w:r>
            <w:r>
              <w:t xml:space="preserve">PC、服务器、打印机、网络安全设备等多种产品上获得了广泛的应用，为党政办公、电力能源、交通运输、金融电信等领域信息安全底座的搭建做出了贡献。 </w:t>
            </w:r>
          </w:p>
          <w:p w:rsidR="00CA0B36" w:rsidRDefault="00CA0B36" w:rsidP="00CA0B36">
            <w:pPr>
              <w:ind w:firstLineChars="200" w:firstLine="480"/>
            </w:pPr>
            <w:r>
              <w:rPr>
                <w:rFonts w:hint="eastAsia"/>
              </w:rPr>
              <w:t>近期，财政部联合工业和信息化部正式发布了“数据库</w:t>
            </w:r>
            <w:r>
              <w:t>/操作系统/通用服务器/工作站/一体式计算机/便携式计算机/台式计算机"7项基础软硬件政府采购需求标准，要求乡镇以上党政机关，以及乡镇以上党委和政府直属事业单位及部门所属为机关提供支持保障的事业单位在采购上述基础软硬件时，应当将CPU、操作系统符合安全可靠测评要求纳入采购需求。在一系列法律法规及政策的支持下，可信计算以其主动安全的特性获得了越来越多的认可。</w:t>
            </w:r>
          </w:p>
          <w:p w:rsidR="00CA0B36" w:rsidRDefault="00CA0B36" w:rsidP="00CA0B36">
            <w:pPr>
              <w:ind w:firstLineChars="200" w:firstLine="480"/>
            </w:pPr>
            <w:r>
              <w:rPr>
                <w:rFonts w:hint="eastAsia"/>
              </w:rPr>
              <w:t>值得一提的是：在中关村可信计算产业联盟和公安部第三研究所公布的“首批可信计算认证产品”中</w:t>
            </w:r>
            <w:r>
              <w:t>, 共7款网络安全设备里有</w:t>
            </w:r>
            <w:r>
              <w:lastRenderedPageBreak/>
              <w:t>5款采用了国芯科技可信安全芯片。</w:t>
            </w:r>
          </w:p>
          <w:p w:rsidR="00CA0B36" w:rsidRDefault="00CA0B36" w:rsidP="00CA0B36">
            <w:pPr>
              <w:ind w:firstLineChars="200" w:firstLine="480"/>
            </w:pPr>
            <w:r>
              <w:rPr>
                <w:rFonts w:hint="eastAsia"/>
              </w:rPr>
              <w:t>国芯科技可信安全芯片已经完成了与十余家行业头部客户的产品适配测试，并对联想长风、清华同方、奔图、立思辰、中星电子等各领域头部客户实现供货。</w:t>
            </w:r>
          </w:p>
          <w:p w:rsidR="00943ABD" w:rsidRDefault="00CA0B36" w:rsidP="00CA0B36">
            <w:pPr>
              <w:ind w:firstLineChars="200" w:firstLine="480"/>
            </w:pPr>
            <w:r>
              <w:rPr>
                <w:rFonts w:hint="eastAsia"/>
              </w:rPr>
              <w:t>随着财政部和工业和信息化部基础软硬件政府采购需求标准的发布，国芯科技可信计算可信安全芯片有望会迎来更多领域的应用和更大的需求量。</w:t>
            </w:r>
            <w:r w:rsidR="0010693D">
              <w:t xml:space="preserve"> </w:t>
            </w:r>
          </w:p>
          <w:p w:rsidR="00943ABD" w:rsidRDefault="0010693D">
            <w:pPr>
              <w:ind w:firstLineChars="200" w:firstLine="482"/>
            </w:pPr>
            <w:r>
              <w:rPr>
                <w:rFonts w:hint="eastAsia"/>
                <w:b/>
              </w:rPr>
              <w:t>3、</w:t>
            </w:r>
            <w:r w:rsidR="00B3690C" w:rsidRPr="00B3690C">
              <w:rPr>
                <w:rFonts w:hint="eastAsia"/>
                <w:b/>
              </w:rPr>
              <w:t>公司高端芯片产品</w:t>
            </w:r>
            <w:r w:rsidR="00B3690C" w:rsidRPr="00B3690C">
              <w:rPr>
                <w:b/>
              </w:rPr>
              <w:t>CCFC3007PT的</w:t>
            </w:r>
            <w:r w:rsidR="009624C1">
              <w:rPr>
                <w:b/>
              </w:rPr>
              <w:t>最新</w:t>
            </w:r>
            <w:r w:rsidR="00B3690C" w:rsidRPr="00B3690C">
              <w:rPr>
                <w:b/>
              </w:rPr>
              <w:t>进展情况怎么样</w:t>
            </w:r>
            <w:r>
              <w:rPr>
                <w:rFonts w:hint="eastAsia"/>
                <w:b/>
              </w:rPr>
              <w:t>？</w:t>
            </w:r>
          </w:p>
          <w:p w:rsidR="00943ABD" w:rsidRDefault="0010693D" w:rsidP="008318ED">
            <w:pPr>
              <w:ind w:firstLineChars="200" w:firstLine="480"/>
            </w:pPr>
            <w:r>
              <w:rPr>
                <w:rFonts w:hint="eastAsia"/>
              </w:rPr>
              <w:t>答：</w:t>
            </w:r>
            <w:r w:rsidR="00A729AA" w:rsidRPr="00A729AA">
              <w:t>CCFC3007PT已经在</w:t>
            </w:r>
            <w:r w:rsidR="00312BFB" w:rsidRPr="00312BFB">
              <w:rPr>
                <w:rFonts w:hint="eastAsia"/>
              </w:rPr>
              <w:t>多个领域获得主机厂和发动机厂定点选型</w:t>
            </w:r>
            <w:bookmarkStart w:id="0" w:name="_GoBack"/>
            <w:bookmarkEnd w:id="0"/>
            <w:r w:rsidR="009144FD">
              <w:t>，</w:t>
            </w:r>
            <w:r w:rsidR="007B3ADF">
              <w:t>主要包括一汽、比亚迪、</w:t>
            </w:r>
            <w:r w:rsidR="000A3134">
              <w:t>广汽、</w:t>
            </w:r>
            <w:r w:rsidR="007B3ADF">
              <w:t>奇瑞、长安及潍柴集团等，包括国际和国内</w:t>
            </w:r>
            <w:r w:rsidR="00013A85">
              <w:t>的多家</w:t>
            </w:r>
            <w:r w:rsidR="007B3ADF">
              <w:t>Tier</w:t>
            </w:r>
            <w:r w:rsidR="00013A85">
              <w:t>1</w:t>
            </w:r>
            <w:r w:rsidR="007B3ADF">
              <w:t>厂商正在开发，</w:t>
            </w:r>
            <w:r w:rsidR="009144FD">
              <w:t>目前各项开发工作进展顺利。</w:t>
            </w:r>
            <w:r w:rsidR="00A729AA">
              <w:rPr>
                <w:rFonts w:hint="eastAsia"/>
              </w:rPr>
              <w:t>在动力领域</w:t>
            </w:r>
            <w:r w:rsidR="007B3ADF">
              <w:rPr>
                <w:rFonts w:hint="eastAsia"/>
              </w:rPr>
              <w:t>：</w:t>
            </w:r>
            <w:r w:rsidR="00B3690C" w:rsidRPr="00B3690C">
              <w:rPr>
                <w:rFonts w:hint="eastAsia"/>
              </w:rPr>
              <w:t>一汽解放商用车开发院的动力总成项目中首次选用</w:t>
            </w:r>
            <w:r w:rsidR="00B3690C" w:rsidRPr="00B3690C">
              <w:t>，</w:t>
            </w:r>
            <w:r w:rsidR="009624C1">
              <w:t>该</w:t>
            </w:r>
            <w:r w:rsidR="00B3690C">
              <w:t>合作项目近期顺利通过一期验收</w:t>
            </w:r>
            <w:r w:rsidR="007B3ADF">
              <w:t>，</w:t>
            </w:r>
            <w:r w:rsidR="00D260FF">
              <w:t>典型的还有</w:t>
            </w:r>
            <w:r w:rsidR="00013A85">
              <w:t>XX汽车的电喷控制ECU，</w:t>
            </w:r>
            <w:r w:rsidR="007B3ADF">
              <w:t>潍柴集团研究院</w:t>
            </w:r>
            <w:r w:rsidR="000A3134">
              <w:t>和武汉智新的</w:t>
            </w:r>
            <w:r w:rsidR="007B3ADF">
              <w:t>新能源电机驱动，奥易克斯</w:t>
            </w:r>
            <w:r w:rsidR="00013A85">
              <w:t>的</w:t>
            </w:r>
            <w:r w:rsidR="00864578">
              <w:t>乘用车ECU</w:t>
            </w:r>
            <w:r w:rsidR="00D260FF">
              <w:t>等</w:t>
            </w:r>
            <w:r w:rsidR="00D260FF">
              <w:rPr>
                <w:rFonts w:hint="eastAsia"/>
              </w:rPr>
              <w:t>；</w:t>
            </w:r>
            <w:r w:rsidR="00A729AA">
              <w:rPr>
                <w:rFonts w:hint="eastAsia"/>
              </w:rPr>
              <w:t>在域控领域</w:t>
            </w:r>
            <w:r w:rsidR="00D260FF">
              <w:rPr>
                <w:rFonts w:hint="eastAsia"/>
              </w:rPr>
              <w:t>：典型的有埃泰克车身域控制器，</w:t>
            </w:r>
            <w:r w:rsidR="000A3134">
              <w:rPr>
                <w:rFonts w:hint="eastAsia"/>
              </w:rPr>
              <w:t>某国际厂商的域控平台</w:t>
            </w:r>
            <w:r w:rsidR="008318ED">
              <w:rPr>
                <w:rFonts w:hint="eastAsia"/>
              </w:rPr>
              <w:t>，</w:t>
            </w:r>
            <w:r w:rsidR="000A3134">
              <w:rPr>
                <w:rFonts w:hint="eastAsia"/>
              </w:rPr>
              <w:t>某XX</w:t>
            </w:r>
            <w:r w:rsidR="00D260FF">
              <w:rPr>
                <w:rFonts w:hint="eastAsia"/>
              </w:rPr>
              <w:t>汽</w:t>
            </w:r>
            <w:r w:rsidR="000A3134">
              <w:rPr>
                <w:rFonts w:hint="eastAsia"/>
              </w:rPr>
              <w:t>车</w:t>
            </w:r>
            <w:r w:rsidR="00D260FF">
              <w:rPr>
                <w:rFonts w:hint="eastAsia"/>
              </w:rPr>
              <w:t>研究院的位置域</w:t>
            </w:r>
            <w:r w:rsidR="00013A85">
              <w:rPr>
                <w:rFonts w:hint="eastAsia"/>
              </w:rPr>
              <w:t>控制器</w:t>
            </w:r>
            <w:r w:rsidR="00D260FF">
              <w:rPr>
                <w:rFonts w:hint="eastAsia"/>
              </w:rPr>
              <w:t>等</w:t>
            </w:r>
            <w:r w:rsidR="000A3134">
              <w:rPr>
                <w:rFonts w:hint="eastAsia"/>
              </w:rPr>
              <w:t>；底盘领域：</w:t>
            </w:r>
            <w:r w:rsidR="00192429">
              <w:rPr>
                <w:rFonts w:hint="eastAsia"/>
              </w:rPr>
              <w:t>典型</w:t>
            </w:r>
            <w:r w:rsidR="000A3134">
              <w:rPr>
                <w:rFonts w:hint="eastAsia"/>
              </w:rPr>
              <w:t>的有英创汇智的</w:t>
            </w:r>
            <w:r w:rsidR="00192429">
              <w:rPr>
                <w:rFonts w:hint="eastAsia"/>
              </w:rPr>
              <w:t>EPS</w:t>
            </w:r>
            <w:r w:rsidR="009624C1">
              <w:rPr>
                <w:rFonts w:hint="eastAsia"/>
              </w:rPr>
              <w:t>。</w:t>
            </w:r>
          </w:p>
        </w:tc>
      </w:tr>
      <w:tr w:rsidR="00943ABD">
        <w:trPr>
          <w:trHeight w:val="904"/>
        </w:trPr>
        <w:tc>
          <w:tcPr>
            <w:tcW w:w="760" w:type="pct"/>
            <w:vAlign w:val="center"/>
          </w:tcPr>
          <w:p w:rsidR="00943ABD" w:rsidRDefault="0010693D">
            <w:pPr>
              <w:ind w:firstLineChars="0" w:firstLine="0"/>
              <w:rPr>
                <w:b/>
                <w:bCs/>
              </w:rPr>
            </w:pPr>
            <w:r>
              <w:rPr>
                <w:b/>
                <w:bCs/>
              </w:rPr>
              <w:lastRenderedPageBreak/>
              <w:t>附件清单（如有）</w:t>
            </w:r>
          </w:p>
        </w:tc>
        <w:tc>
          <w:tcPr>
            <w:tcW w:w="4240" w:type="pct"/>
          </w:tcPr>
          <w:p w:rsidR="00943ABD" w:rsidRDefault="0010693D">
            <w:pPr>
              <w:ind w:firstLineChars="0" w:firstLine="0"/>
            </w:pPr>
            <w:r>
              <w:t>无</w:t>
            </w:r>
          </w:p>
        </w:tc>
      </w:tr>
      <w:tr w:rsidR="00943ABD">
        <w:trPr>
          <w:trHeight w:val="1042"/>
        </w:trPr>
        <w:tc>
          <w:tcPr>
            <w:tcW w:w="760" w:type="pct"/>
            <w:vAlign w:val="center"/>
          </w:tcPr>
          <w:p w:rsidR="00943ABD" w:rsidRDefault="0010693D">
            <w:pPr>
              <w:ind w:firstLineChars="0" w:firstLine="0"/>
              <w:rPr>
                <w:b/>
                <w:bCs/>
              </w:rPr>
            </w:pPr>
            <w:r>
              <w:rPr>
                <w:b/>
                <w:bCs/>
              </w:rPr>
              <w:t>日期</w:t>
            </w:r>
          </w:p>
        </w:tc>
        <w:tc>
          <w:tcPr>
            <w:tcW w:w="4240" w:type="pct"/>
          </w:tcPr>
          <w:p w:rsidR="00943ABD" w:rsidRDefault="0010693D">
            <w:pPr>
              <w:ind w:firstLineChars="0" w:firstLine="0"/>
            </w:pPr>
            <w:r>
              <w:rPr>
                <w:rFonts w:hint="eastAsia"/>
              </w:rPr>
              <w:t>2</w:t>
            </w:r>
            <w:r>
              <w:t>024年</w:t>
            </w:r>
            <w:r>
              <w:rPr>
                <w:rFonts w:hint="eastAsia"/>
              </w:rPr>
              <w:t>3月</w:t>
            </w:r>
          </w:p>
        </w:tc>
      </w:tr>
    </w:tbl>
    <w:p w:rsidR="00943ABD" w:rsidRDefault="00943ABD"/>
    <w:sectPr w:rsidR="00943AB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A7" w:rsidRDefault="00CE33A7">
      <w:pPr>
        <w:spacing w:line="240" w:lineRule="auto"/>
      </w:pPr>
      <w:r>
        <w:separator/>
      </w:r>
    </w:p>
  </w:endnote>
  <w:endnote w:type="continuationSeparator" w:id="0">
    <w:p w:rsidR="00CE33A7" w:rsidRDefault="00CE3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BD" w:rsidRDefault="0010693D">
    <w:pPr>
      <w:pStyle w:val="a8"/>
      <w:ind w:firstLine="180"/>
      <w:rPr>
        <w:rStyle w:val="af"/>
      </w:rPr>
    </w:pPr>
    <w:r>
      <w:fldChar w:fldCharType="begin"/>
    </w:r>
    <w:r>
      <w:rPr>
        <w:rStyle w:val="af"/>
      </w:rPr>
      <w:instrText xml:space="preserve">PAGE  </w:instrText>
    </w:r>
    <w:r>
      <w:fldChar w:fldCharType="end"/>
    </w:r>
  </w:p>
  <w:p w:rsidR="00943ABD" w:rsidRDefault="00943ABD">
    <w:pPr>
      <w:pStyle w:val="a8"/>
      <w:ind w:firstLine="180"/>
    </w:pPr>
  </w:p>
  <w:p w:rsidR="00943ABD" w:rsidRDefault="00943ABD"/>
  <w:p w:rsidR="00943ABD" w:rsidRDefault="00943ABD"/>
  <w:p w:rsidR="00943ABD" w:rsidRDefault="00943ABD"/>
  <w:p w:rsidR="00943ABD" w:rsidRDefault="00943A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BD" w:rsidRDefault="0010693D">
    <w:pPr>
      <w:pStyle w:val="a8"/>
      <w:ind w:firstLine="180"/>
      <w:rPr>
        <w:rStyle w:val="af"/>
      </w:rPr>
    </w:pPr>
    <w:r>
      <w:fldChar w:fldCharType="begin"/>
    </w:r>
    <w:r>
      <w:rPr>
        <w:rStyle w:val="af"/>
      </w:rPr>
      <w:instrText xml:space="preserve">PAGE  </w:instrText>
    </w:r>
    <w:r>
      <w:fldChar w:fldCharType="separate"/>
    </w:r>
    <w:r w:rsidR="00312BFB">
      <w:rPr>
        <w:rStyle w:val="af"/>
        <w:noProof/>
      </w:rPr>
      <w:t>3</w:t>
    </w:r>
    <w:r>
      <w:fldChar w:fldCharType="end"/>
    </w:r>
  </w:p>
  <w:p w:rsidR="00943ABD" w:rsidRDefault="00943ABD">
    <w:pPr>
      <w:pStyle w:val="a8"/>
      <w:ind w:firstLine="180"/>
    </w:pPr>
  </w:p>
  <w:p w:rsidR="00943ABD" w:rsidRDefault="00943ABD"/>
  <w:p w:rsidR="00943ABD" w:rsidRDefault="00943ABD"/>
  <w:p w:rsidR="00943ABD" w:rsidRDefault="00943ABD"/>
  <w:p w:rsidR="00943ABD" w:rsidRDefault="00943A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C3" w:rsidRDefault="008243C3">
    <w:pPr>
      <w:pStyle w:val="a8"/>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A7" w:rsidRDefault="00CE33A7">
      <w:pPr>
        <w:spacing w:line="240" w:lineRule="auto"/>
      </w:pPr>
      <w:r>
        <w:separator/>
      </w:r>
    </w:p>
  </w:footnote>
  <w:footnote w:type="continuationSeparator" w:id="0">
    <w:p w:rsidR="00CE33A7" w:rsidRDefault="00CE33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BD" w:rsidRDefault="00943ABD">
    <w:pPr>
      <w:pStyle w:val="aa"/>
      <w:ind w:firstLine="180"/>
    </w:pPr>
  </w:p>
  <w:p w:rsidR="00943ABD" w:rsidRDefault="00943A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BD" w:rsidRDefault="00943ABD">
    <w:pPr>
      <w:pStyle w:val="aa"/>
      <w:ind w:firstLine="180"/>
    </w:pPr>
  </w:p>
  <w:p w:rsidR="00943ABD" w:rsidRDefault="00943A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BD" w:rsidRDefault="00943ABD">
    <w:pPr>
      <w:pStyle w:val="aa"/>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564F"/>
    <w:multiLevelType w:val="multilevel"/>
    <w:tmpl w:val="436B2D88"/>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BD"/>
    <w:rsid w:val="0001179B"/>
    <w:rsid w:val="00013724"/>
    <w:rsid w:val="00013A85"/>
    <w:rsid w:val="0007629F"/>
    <w:rsid w:val="000A3134"/>
    <w:rsid w:val="000F76F1"/>
    <w:rsid w:val="0010693D"/>
    <w:rsid w:val="001242F6"/>
    <w:rsid w:val="001716CA"/>
    <w:rsid w:val="00192429"/>
    <w:rsid w:val="00312BFB"/>
    <w:rsid w:val="004B5DC8"/>
    <w:rsid w:val="007B3ADF"/>
    <w:rsid w:val="007E2D8C"/>
    <w:rsid w:val="008243C3"/>
    <w:rsid w:val="008318ED"/>
    <w:rsid w:val="00864578"/>
    <w:rsid w:val="00864D3C"/>
    <w:rsid w:val="008D4E8C"/>
    <w:rsid w:val="009144FD"/>
    <w:rsid w:val="00943ABD"/>
    <w:rsid w:val="009624C1"/>
    <w:rsid w:val="009D3CE9"/>
    <w:rsid w:val="009F20B0"/>
    <w:rsid w:val="00A729AA"/>
    <w:rsid w:val="00A75A65"/>
    <w:rsid w:val="00AB1FF8"/>
    <w:rsid w:val="00B22D20"/>
    <w:rsid w:val="00B3690C"/>
    <w:rsid w:val="00BB145A"/>
    <w:rsid w:val="00BE6D16"/>
    <w:rsid w:val="00CA0B36"/>
    <w:rsid w:val="00CE33A7"/>
    <w:rsid w:val="00D260FF"/>
    <w:rsid w:val="00DD747B"/>
    <w:rsid w:val="00F67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line="360" w:lineRule="auto"/>
      <w:ind w:firstLineChars="100" w:firstLine="240"/>
      <w:jc w:val="both"/>
    </w:pPr>
    <w:rPr>
      <w:rFonts w:ascii="宋体" w:hAnsi="宋体"/>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qFormat/>
    <w:pPr>
      <w:jc w:val="left"/>
    </w:pPr>
  </w:style>
  <w:style w:type="paragraph" w:styleId="a6">
    <w:name w:val="Balloon Text"/>
    <w:basedOn w:val="a0"/>
    <w:link w:val="a7"/>
    <w:uiPriority w:val="99"/>
    <w:qFormat/>
    <w:rPr>
      <w:sz w:val="18"/>
      <w:szCs w:val="18"/>
    </w:rPr>
  </w:style>
  <w:style w:type="paragraph" w:styleId="a8">
    <w:name w:val="footer"/>
    <w:basedOn w:val="a0"/>
    <w:link w:val="a9"/>
    <w:uiPriority w:val="99"/>
    <w:qFormat/>
    <w:pPr>
      <w:tabs>
        <w:tab w:val="center" w:pos="4153"/>
        <w:tab w:val="right" w:pos="8306"/>
      </w:tabs>
      <w:snapToGrid w:val="0"/>
      <w:jc w:val="left"/>
    </w:pPr>
    <w:rPr>
      <w:sz w:val="18"/>
      <w:szCs w:val="18"/>
    </w:rPr>
  </w:style>
  <w:style w:type="paragraph" w:styleId="aa">
    <w:name w:val="header"/>
    <w:basedOn w:val="a0"/>
    <w:link w:val="ab"/>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Web">
    <w:name w:val="Normal (Web)"/>
    <w:basedOn w:val="a0"/>
    <w:uiPriority w:val="99"/>
    <w:qFormat/>
    <w:pPr>
      <w:widowControl/>
      <w:spacing w:before="100" w:beforeAutospacing="1" w:after="100" w:afterAutospacing="1"/>
      <w:jc w:val="left"/>
    </w:pPr>
    <w:rPr>
      <w:rFonts w:cs="宋体"/>
      <w:kern w:val="0"/>
    </w:rPr>
  </w:style>
  <w:style w:type="paragraph" w:styleId="ac">
    <w:name w:val="annotation subject"/>
    <w:basedOn w:val="a4"/>
    <w:next w:val="a4"/>
    <w:link w:val="ad"/>
    <w:uiPriority w:val="99"/>
    <w:qFormat/>
    <w:rPr>
      <w:b/>
      <w:bCs/>
    </w:rPr>
  </w:style>
  <w:style w:type="table" w:styleId="ae">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style>
  <w:style w:type="character" w:styleId="af0">
    <w:name w:val="Emphasis"/>
    <w:basedOn w:val="a1"/>
    <w:uiPriority w:val="20"/>
    <w:qFormat/>
    <w:rPr>
      <w:i/>
      <w:iCs/>
    </w:rPr>
  </w:style>
  <w:style w:type="character" w:styleId="af1">
    <w:name w:val="Hyperlink"/>
    <w:basedOn w:val="a1"/>
    <w:uiPriority w:val="99"/>
    <w:qFormat/>
    <w:rPr>
      <w:color w:val="0000FF"/>
      <w:u w:val="single"/>
    </w:rPr>
  </w:style>
  <w:style w:type="character" w:styleId="af2">
    <w:name w:val="annotation reference"/>
    <w:basedOn w:val="a1"/>
    <w:uiPriority w:val="99"/>
    <w:qFormat/>
    <w:rPr>
      <w:sz w:val="21"/>
      <w:szCs w:val="21"/>
    </w:rPr>
  </w:style>
  <w:style w:type="character" w:customStyle="1" w:styleId="a9">
    <w:name w:val="頁尾 字元"/>
    <w:basedOn w:val="a1"/>
    <w:link w:val="a8"/>
    <w:uiPriority w:val="99"/>
    <w:qFormat/>
    <w:rPr>
      <w:rFonts w:ascii="Times New Roman" w:eastAsia="宋体" w:hAnsi="Times New Roman" w:cs="Times New Roman"/>
      <w:sz w:val="18"/>
      <w:szCs w:val="18"/>
    </w:rPr>
  </w:style>
  <w:style w:type="paragraph" w:customStyle="1" w:styleId="005">
    <w:name w:val="005正文"/>
    <w:basedOn w:val="a0"/>
    <w:link w:val="005Char"/>
    <w:qFormat/>
    <w:pPr>
      <w:spacing w:beforeLines="50" w:before="50"/>
      <w:ind w:firstLineChars="200" w:firstLine="200"/>
    </w:pPr>
    <w:rPr>
      <w:szCs w:val="22"/>
    </w:rPr>
  </w:style>
  <w:style w:type="character" w:customStyle="1" w:styleId="005Char">
    <w:name w:val="005正文 Char"/>
    <w:link w:val="005"/>
    <w:qFormat/>
    <w:rPr>
      <w:rFonts w:ascii="Times New Roman" w:eastAsia="宋体" w:hAnsi="Times New Roman" w:cs="Times New Roman"/>
      <w:sz w:val="24"/>
    </w:rPr>
  </w:style>
  <w:style w:type="character" w:customStyle="1" w:styleId="ab">
    <w:name w:val="頁首 字元"/>
    <w:basedOn w:val="a1"/>
    <w:link w:val="aa"/>
    <w:uiPriority w:val="99"/>
    <w:qFormat/>
    <w:rPr>
      <w:rFonts w:ascii="Times New Roman" w:eastAsia="宋体" w:hAnsi="Times New Roman" w:cs="Times New Roman"/>
      <w:sz w:val="18"/>
      <w:szCs w:val="18"/>
    </w:rPr>
  </w:style>
  <w:style w:type="paragraph" w:styleId="a">
    <w:name w:val="List Paragraph"/>
    <w:basedOn w:val="a0"/>
    <w:uiPriority w:val="34"/>
    <w:qFormat/>
    <w:pPr>
      <w:numPr>
        <w:numId w:val="1"/>
      </w:numPr>
      <w:ind w:left="0" w:firstLineChars="197" w:firstLine="475"/>
    </w:pPr>
    <w:rPr>
      <w:rFonts w:ascii="Calibri" w:hAnsi="Calibri" w:cs="宋体"/>
      <w:b/>
    </w:rPr>
  </w:style>
  <w:style w:type="character" w:customStyle="1" w:styleId="a7">
    <w:name w:val="註解方塊文字 字元"/>
    <w:basedOn w:val="a1"/>
    <w:link w:val="a6"/>
    <w:uiPriority w:val="99"/>
    <w:qFormat/>
    <w:rPr>
      <w:rFonts w:ascii="Times New Roman" w:eastAsia="宋体" w:hAnsi="Times New Roman" w:cs="Times New Roman"/>
      <w:sz w:val="18"/>
      <w:szCs w:val="18"/>
    </w:rPr>
  </w:style>
  <w:style w:type="paragraph" w:customStyle="1" w:styleId="1">
    <w:name w:val="修订1"/>
    <w:uiPriority w:val="99"/>
    <w:qFormat/>
    <w:rPr>
      <w:kern w:val="2"/>
      <w:sz w:val="21"/>
      <w:szCs w:val="24"/>
    </w:rPr>
  </w:style>
  <w:style w:type="character" w:customStyle="1" w:styleId="a5">
    <w:name w:val="註解文字 字元"/>
    <w:basedOn w:val="a1"/>
    <w:link w:val="a4"/>
    <w:uiPriority w:val="99"/>
    <w:qFormat/>
    <w:rPr>
      <w:rFonts w:ascii="Times New Roman" w:eastAsia="宋体" w:hAnsi="Times New Roman" w:cs="Times New Roman"/>
      <w:szCs w:val="24"/>
    </w:rPr>
  </w:style>
  <w:style w:type="character" w:customStyle="1" w:styleId="ad">
    <w:name w:val="註解主旨 字元"/>
    <w:basedOn w:val="a5"/>
    <w:link w:val="ac"/>
    <w:uiPriority w:val="99"/>
    <w:qFormat/>
    <w:rPr>
      <w:rFonts w:ascii="Times New Roman" w:eastAsia="宋体" w:hAnsi="Times New Roman" w:cs="Times New Roman"/>
      <w:b/>
      <w:bCs/>
      <w:szCs w:val="24"/>
    </w:rPr>
  </w:style>
  <w:style w:type="character" w:customStyle="1" w:styleId="HTML0">
    <w:name w:val="HTML 預設格式 字元"/>
    <w:basedOn w:val="a1"/>
    <w:link w:val="HTML"/>
    <w:uiPriority w:val="99"/>
    <w:qFormat/>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line="360" w:lineRule="auto"/>
      <w:ind w:firstLineChars="100" w:firstLine="240"/>
      <w:jc w:val="both"/>
    </w:pPr>
    <w:rPr>
      <w:rFonts w:ascii="宋体" w:hAnsi="宋体"/>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qFormat/>
    <w:pPr>
      <w:jc w:val="left"/>
    </w:pPr>
  </w:style>
  <w:style w:type="paragraph" w:styleId="a6">
    <w:name w:val="Balloon Text"/>
    <w:basedOn w:val="a0"/>
    <w:link w:val="a7"/>
    <w:uiPriority w:val="99"/>
    <w:qFormat/>
    <w:rPr>
      <w:sz w:val="18"/>
      <w:szCs w:val="18"/>
    </w:rPr>
  </w:style>
  <w:style w:type="paragraph" w:styleId="a8">
    <w:name w:val="footer"/>
    <w:basedOn w:val="a0"/>
    <w:link w:val="a9"/>
    <w:uiPriority w:val="99"/>
    <w:qFormat/>
    <w:pPr>
      <w:tabs>
        <w:tab w:val="center" w:pos="4153"/>
        <w:tab w:val="right" w:pos="8306"/>
      </w:tabs>
      <w:snapToGrid w:val="0"/>
      <w:jc w:val="left"/>
    </w:pPr>
    <w:rPr>
      <w:sz w:val="18"/>
      <w:szCs w:val="18"/>
    </w:rPr>
  </w:style>
  <w:style w:type="paragraph" w:styleId="aa">
    <w:name w:val="header"/>
    <w:basedOn w:val="a0"/>
    <w:link w:val="ab"/>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Web">
    <w:name w:val="Normal (Web)"/>
    <w:basedOn w:val="a0"/>
    <w:uiPriority w:val="99"/>
    <w:qFormat/>
    <w:pPr>
      <w:widowControl/>
      <w:spacing w:before="100" w:beforeAutospacing="1" w:after="100" w:afterAutospacing="1"/>
      <w:jc w:val="left"/>
    </w:pPr>
    <w:rPr>
      <w:rFonts w:cs="宋体"/>
      <w:kern w:val="0"/>
    </w:rPr>
  </w:style>
  <w:style w:type="paragraph" w:styleId="ac">
    <w:name w:val="annotation subject"/>
    <w:basedOn w:val="a4"/>
    <w:next w:val="a4"/>
    <w:link w:val="ad"/>
    <w:uiPriority w:val="99"/>
    <w:qFormat/>
    <w:rPr>
      <w:b/>
      <w:bCs/>
    </w:rPr>
  </w:style>
  <w:style w:type="table" w:styleId="ae">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qFormat/>
  </w:style>
  <w:style w:type="character" w:styleId="af0">
    <w:name w:val="Emphasis"/>
    <w:basedOn w:val="a1"/>
    <w:uiPriority w:val="20"/>
    <w:qFormat/>
    <w:rPr>
      <w:i/>
      <w:iCs/>
    </w:rPr>
  </w:style>
  <w:style w:type="character" w:styleId="af1">
    <w:name w:val="Hyperlink"/>
    <w:basedOn w:val="a1"/>
    <w:uiPriority w:val="99"/>
    <w:qFormat/>
    <w:rPr>
      <w:color w:val="0000FF"/>
      <w:u w:val="single"/>
    </w:rPr>
  </w:style>
  <w:style w:type="character" w:styleId="af2">
    <w:name w:val="annotation reference"/>
    <w:basedOn w:val="a1"/>
    <w:uiPriority w:val="99"/>
    <w:qFormat/>
    <w:rPr>
      <w:sz w:val="21"/>
      <w:szCs w:val="21"/>
    </w:rPr>
  </w:style>
  <w:style w:type="character" w:customStyle="1" w:styleId="a9">
    <w:name w:val="頁尾 字元"/>
    <w:basedOn w:val="a1"/>
    <w:link w:val="a8"/>
    <w:uiPriority w:val="99"/>
    <w:qFormat/>
    <w:rPr>
      <w:rFonts w:ascii="Times New Roman" w:eastAsia="宋体" w:hAnsi="Times New Roman" w:cs="Times New Roman"/>
      <w:sz w:val="18"/>
      <w:szCs w:val="18"/>
    </w:rPr>
  </w:style>
  <w:style w:type="paragraph" w:customStyle="1" w:styleId="005">
    <w:name w:val="005正文"/>
    <w:basedOn w:val="a0"/>
    <w:link w:val="005Char"/>
    <w:qFormat/>
    <w:pPr>
      <w:spacing w:beforeLines="50" w:before="50"/>
      <w:ind w:firstLineChars="200" w:firstLine="200"/>
    </w:pPr>
    <w:rPr>
      <w:szCs w:val="22"/>
    </w:rPr>
  </w:style>
  <w:style w:type="character" w:customStyle="1" w:styleId="005Char">
    <w:name w:val="005正文 Char"/>
    <w:link w:val="005"/>
    <w:qFormat/>
    <w:rPr>
      <w:rFonts w:ascii="Times New Roman" w:eastAsia="宋体" w:hAnsi="Times New Roman" w:cs="Times New Roman"/>
      <w:sz w:val="24"/>
    </w:rPr>
  </w:style>
  <w:style w:type="character" w:customStyle="1" w:styleId="ab">
    <w:name w:val="頁首 字元"/>
    <w:basedOn w:val="a1"/>
    <w:link w:val="aa"/>
    <w:uiPriority w:val="99"/>
    <w:qFormat/>
    <w:rPr>
      <w:rFonts w:ascii="Times New Roman" w:eastAsia="宋体" w:hAnsi="Times New Roman" w:cs="Times New Roman"/>
      <w:sz w:val="18"/>
      <w:szCs w:val="18"/>
    </w:rPr>
  </w:style>
  <w:style w:type="paragraph" w:styleId="a">
    <w:name w:val="List Paragraph"/>
    <w:basedOn w:val="a0"/>
    <w:uiPriority w:val="34"/>
    <w:qFormat/>
    <w:pPr>
      <w:numPr>
        <w:numId w:val="1"/>
      </w:numPr>
      <w:ind w:left="0" w:firstLineChars="197" w:firstLine="475"/>
    </w:pPr>
    <w:rPr>
      <w:rFonts w:ascii="Calibri" w:hAnsi="Calibri" w:cs="宋体"/>
      <w:b/>
    </w:rPr>
  </w:style>
  <w:style w:type="character" w:customStyle="1" w:styleId="a7">
    <w:name w:val="註解方塊文字 字元"/>
    <w:basedOn w:val="a1"/>
    <w:link w:val="a6"/>
    <w:uiPriority w:val="99"/>
    <w:qFormat/>
    <w:rPr>
      <w:rFonts w:ascii="Times New Roman" w:eastAsia="宋体" w:hAnsi="Times New Roman" w:cs="Times New Roman"/>
      <w:sz w:val="18"/>
      <w:szCs w:val="18"/>
    </w:rPr>
  </w:style>
  <w:style w:type="paragraph" w:customStyle="1" w:styleId="1">
    <w:name w:val="修订1"/>
    <w:uiPriority w:val="99"/>
    <w:qFormat/>
    <w:rPr>
      <w:kern w:val="2"/>
      <w:sz w:val="21"/>
      <w:szCs w:val="24"/>
    </w:rPr>
  </w:style>
  <w:style w:type="character" w:customStyle="1" w:styleId="a5">
    <w:name w:val="註解文字 字元"/>
    <w:basedOn w:val="a1"/>
    <w:link w:val="a4"/>
    <w:uiPriority w:val="99"/>
    <w:qFormat/>
    <w:rPr>
      <w:rFonts w:ascii="Times New Roman" w:eastAsia="宋体" w:hAnsi="Times New Roman" w:cs="Times New Roman"/>
      <w:szCs w:val="24"/>
    </w:rPr>
  </w:style>
  <w:style w:type="character" w:customStyle="1" w:styleId="ad">
    <w:name w:val="註解主旨 字元"/>
    <w:basedOn w:val="a5"/>
    <w:link w:val="ac"/>
    <w:uiPriority w:val="99"/>
    <w:qFormat/>
    <w:rPr>
      <w:rFonts w:ascii="Times New Roman" w:eastAsia="宋体" w:hAnsi="Times New Roman" w:cs="Times New Roman"/>
      <w:b/>
      <w:bCs/>
      <w:szCs w:val="24"/>
    </w:rPr>
  </w:style>
  <w:style w:type="character" w:customStyle="1" w:styleId="HTML0">
    <w:name w:val="HTML 預設格式 字元"/>
    <w:basedOn w:val="a1"/>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2ACA-F227-44F9-AC22-EEB47077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0</DocSecurity>
  <Lines>11</Lines>
  <Paragraphs>3</Paragraphs>
  <ScaleCrop>false</ScaleCrop>
  <Company>應之軒</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ZhengJiang</dc:creator>
  <cp:lastModifiedBy>韋麗霞</cp:lastModifiedBy>
  <cp:revision>2</cp:revision>
  <cp:lastPrinted>2023-11-07T07:48:00Z</cp:lastPrinted>
  <dcterms:created xsi:type="dcterms:W3CDTF">2024-03-04T12:01:00Z</dcterms:created>
  <dcterms:modified xsi:type="dcterms:W3CDTF">2024-03-04T12:01:00Z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403D3A734C594E9DAC1DF9895754B2E8_13</vt:lpwstr>
  </property>
</Properties>
</file>