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sz w:val="24"/>
        </w:rPr>
      </w:pPr>
      <w:r>
        <w:rPr>
          <w:sz w:val="24"/>
        </w:rPr>
        <w:t>证券代码：</w:t>
      </w:r>
      <w:r>
        <w:rPr>
          <w:rFonts w:hint="eastAsia"/>
          <w:sz w:val="24"/>
        </w:rPr>
        <w:t>600720</w:t>
      </w:r>
      <w:r>
        <w:rPr>
          <w:sz w:val="24"/>
        </w:rPr>
        <w:t xml:space="preserve">                                                             证券简称：</w:t>
      </w:r>
      <w:r>
        <w:rPr>
          <w:rFonts w:hint="eastAsia"/>
          <w:sz w:val="24"/>
        </w:rPr>
        <w:t>中交设计</w:t>
      </w:r>
    </w:p>
    <w:p>
      <w:pPr>
        <w:adjustRightInd w:val="0"/>
        <w:snapToGrid w:val="0"/>
        <w:spacing w:before="156" w:beforeLines="50" w:after="156" w:afterLines="50" w:line="600" w:lineRule="exact"/>
        <w:jc w:val="center"/>
        <w:rPr>
          <w:b/>
          <w:sz w:val="36"/>
          <w:szCs w:val="36"/>
        </w:rPr>
      </w:pPr>
      <w:bookmarkStart w:id="0" w:name="_Hlk51509855"/>
      <w:r>
        <w:rPr>
          <w:rFonts w:hint="eastAsia"/>
          <w:b/>
          <w:sz w:val="36"/>
          <w:szCs w:val="36"/>
        </w:rPr>
        <w:t>中交设计咨询集团股份有限公司</w:t>
      </w:r>
    </w:p>
    <w:p>
      <w:pPr>
        <w:adjustRightInd w:val="0"/>
        <w:snapToGrid w:val="0"/>
        <w:spacing w:before="156" w:beforeLines="50" w:after="156" w:afterLines="50" w:line="600" w:lineRule="exact"/>
        <w:jc w:val="center"/>
        <w:rPr>
          <w:b/>
          <w:sz w:val="36"/>
          <w:szCs w:val="36"/>
        </w:rPr>
      </w:pPr>
      <w:r>
        <w:rPr>
          <w:rFonts w:hint="eastAsia"/>
          <w:b/>
          <w:sz w:val="36"/>
          <w:szCs w:val="36"/>
        </w:rPr>
        <w:t>投资者关系活动记录表</w:t>
      </w:r>
    </w:p>
    <w:bookmarkEnd w:id="0"/>
    <w:tbl>
      <w:tblPr>
        <w:tblStyle w:val="9"/>
        <w:tblW w:w="8506" w:type="dxa"/>
        <w:tblInd w:w="0" w:type="dxa"/>
        <w:tblLayout w:type="fixed"/>
        <w:tblCellMar>
          <w:top w:w="0" w:type="dxa"/>
          <w:left w:w="108" w:type="dxa"/>
          <w:bottom w:w="0" w:type="dxa"/>
          <w:right w:w="108" w:type="dxa"/>
        </w:tblCellMar>
      </w:tblPr>
      <w:tblGrid>
        <w:gridCol w:w="1625"/>
        <w:gridCol w:w="3620"/>
        <w:gridCol w:w="3261"/>
      </w:tblGrid>
      <w:tr>
        <w:tblPrEx>
          <w:tblCellMar>
            <w:top w:w="0" w:type="dxa"/>
            <w:left w:w="108" w:type="dxa"/>
            <w:bottom w:w="0" w:type="dxa"/>
            <w:right w:w="108" w:type="dxa"/>
          </w:tblCellMar>
        </w:tblPrEx>
        <w:trPr>
          <w:trHeight w:val="2077" w:hRule="atLeast"/>
        </w:trPr>
        <w:tc>
          <w:tcPr>
            <w:tcW w:w="16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kern w:val="0"/>
                <w:sz w:val="22"/>
                <w:szCs w:val="22"/>
              </w:rPr>
            </w:pPr>
            <w:r>
              <w:rPr>
                <w:color w:val="000000"/>
                <w:kern w:val="0"/>
                <w:sz w:val="22"/>
                <w:szCs w:val="22"/>
              </w:rPr>
              <w:t>投资者关系</w:t>
            </w:r>
          </w:p>
          <w:p>
            <w:pPr>
              <w:widowControl/>
              <w:jc w:val="center"/>
              <w:rPr>
                <w:b/>
                <w:bCs/>
                <w:color w:val="000000"/>
                <w:kern w:val="0"/>
                <w:sz w:val="22"/>
                <w:szCs w:val="22"/>
              </w:rPr>
            </w:pPr>
            <w:r>
              <w:rPr>
                <w:color w:val="000000"/>
                <w:kern w:val="0"/>
                <w:sz w:val="22"/>
                <w:szCs w:val="22"/>
              </w:rPr>
              <w:t>活动类别</w:t>
            </w:r>
          </w:p>
        </w:tc>
        <w:tc>
          <w:tcPr>
            <w:tcW w:w="3620" w:type="dxa"/>
            <w:tcBorders>
              <w:top w:val="single" w:color="auto" w:sz="4" w:space="0"/>
              <w:left w:val="single" w:color="auto" w:sz="4" w:space="0"/>
              <w:bottom w:val="single" w:color="auto" w:sz="4" w:space="0"/>
              <w:right w:val="nil"/>
            </w:tcBorders>
            <w:shd w:val="clear" w:color="auto" w:fill="auto"/>
            <w:vAlign w:val="center"/>
          </w:tcPr>
          <w:p>
            <w:pPr>
              <w:pStyle w:val="24"/>
              <w:spacing w:before="156" w:beforeLines="50" w:line="360" w:lineRule="auto"/>
              <w:ind w:firstLine="452" w:firstLineChars="200"/>
              <w:jc w:val="left"/>
              <w:rPr>
                <w:rFonts w:eastAsia="仿宋" w:cs="宋体"/>
                <w:sz w:val="24"/>
              </w:rPr>
            </w:pPr>
            <w:r>
              <w:rPr>
                <w:rFonts w:hint="eastAsia" w:eastAsia="仿宋" w:cs="宋体"/>
                <w:spacing w:val="-7"/>
                <w:sz w:val="24"/>
              </w:rPr>
              <w:t>☑</w:t>
            </w:r>
            <w:r>
              <w:rPr>
                <w:rFonts w:eastAsia="仿宋" w:cs="宋体"/>
                <w:spacing w:val="-7"/>
                <w:sz w:val="24"/>
              </w:rPr>
              <w:t>特定对象调研</w:t>
            </w:r>
          </w:p>
          <w:p>
            <w:pPr>
              <w:pStyle w:val="24"/>
              <w:spacing w:line="360" w:lineRule="auto"/>
              <w:ind w:firstLine="480" w:firstLineChars="200"/>
              <w:jc w:val="left"/>
              <w:rPr>
                <w:rFonts w:eastAsia="仿宋" w:cs="宋体"/>
                <w:sz w:val="24"/>
              </w:rPr>
            </w:pPr>
            <w:r>
              <w:rPr>
                <w:rFonts w:eastAsia="仿宋" w:cs="宋体"/>
                <w:sz w:val="24"/>
              </w:rPr>
              <w:t>□媒体采访</w:t>
            </w:r>
          </w:p>
          <w:p>
            <w:pPr>
              <w:pStyle w:val="24"/>
              <w:spacing w:line="360" w:lineRule="auto"/>
              <w:ind w:firstLine="468" w:firstLineChars="200"/>
              <w:jc w:val="left"/>
              <w:rPr>
                <w:rFonts w:eastAsia="仿宋" w:cs="宋体"/>
                <w:sz w:val="24"/>
              </w:rPr>
            </w:pPr>
            <w:r>
              <w:rPr>
                <w:rFonts w:eastAsia="仿宋" w:cs="宋体"/>
                <w:spacing w:val="-3"/>
                <w:sz w:val="24"/>
              </w:rPr>
              <w:t>□新闻发布会</w:t>
            </w:r>
          </w:p>
          <w:p>
            <w:pPr>
              <w:widowControl/>
              <w:ind w:firstLine="480" w:firstLineChars="200"/>
              <w:rPr>
                <w:color w:val="000000"/>
                <w:kern w:val="0"/>
                <w:sz w:val="22"/>
                <w:szCs w:val="22"/>
              </w:rPr>
            </w:pPr>
            <w:r>
              <w:rPr>
                <w:rFonts w:eastAsia="仿宋" w:cs="宋体"/>
                <w:sz w:val="24"/>
              </w:rPr>
              <w:t>□现场参观</w:t>
            </w:r>
          </w:p>
        </w:tc>
        <w:tc>
          <w:tcPr>
            <w:tcW w:w="3261" w:type="dxa"/>
            <w:tcBorders>
              <w:top w:val="single" w:color="auto" w:sz="4" w:space="0"/>
              <w:left w:val="nil"/>
              <w:bottom w:val="single" w:color="auto" w:sz="4" w:space="0"/>
              <w:right w:val="single" w:color="auto" w:sz="4" w:space="0"/>
            </w:tcBorders>
            <w:shd w:val="clear" w:color="auto" w:fill="auto"/>
            <w:vAlign w:val="center"/>
          </w:tcPr>
          <w:p>
            <w:pPr>
              <w:pStyle w:val="24"/>
              <w:spacing w:before="156" w:beforeLines="50" w:line="360" w:lineRule="auto"/>
              <w:ind w:firstLine="468" w:firstLineChars="200"/>
              <w:jc w:val="left"/>
              <w:rPr>
                <w:rFonts w:eastAsia="仿宋" w:cs="宋体"/>
                <w:spacing w:val="-3"/>
                <w:sz w:val="24"/>
              </w:rPr>
            </w:pPr>
            <w:r>
              <w:rPr>
                <w:rFonts w:eastAsia="仿宋" w:cs="宋体"/>
                <w:spacing w:val="-3"/>
                <w:sz w:val="24"/>
              </w:rPr>
              <w:t>□分析师会议</w:t>
            </w:r>
          </w:p>
          <w:p>
            <w:pPr>
              <w:pStyle w:val="24"/>
              <w:spacing w:line="360" w:lineRule="auto"/>
              <w:ind w:firstLine="468" w:firstLineChars="200"/>
              <w:jc w:val="left"/>
              <w:rPr>
                <w:rFonts w:eastAsia="仿宋" w:cs="宋体"/>
                <w:spacing w:val="-3"/>
                <w:sz w:val="24"/>
              </w:rPr>
            </w:pPr>
            <w:r>
              <w:rPr>
                <w:rFonts w:eastAsia="仿宋" w:cs="宋体"/>
                <w:spacing w:val="-3"/>
                <w:sz w:val="24"/>
              </w:rPr>
              <w:t>□业绩说明</w:t>
            </w:r>
          </w:p>
          <w:p>
            <w:pPr>
              <w:pStyle w:val="24"/>
              <w:spacing w:line="360" w:lineRule="auto"/>
              <w:ind w:firstLine="468" w:firstLineChars="200"/>
              <w:jc w:val="left"/>
              <w:rPr>
                <w:rFonts w:eastAsia="仿宋" w:cs="宋体"/>
                <w:spacing w:val="-3"/>
                <w:sz w:val="24"/>
              </w:rPr>
            </w:pPr>
            <w:r>
              <w:rPr>
                <w:rFonts w:eastAsia="仿宋" w:cs="宋体"/>
                <w:spacing w:val="-3"/>
                <w:sz w:val="24"/>
              </w:rPr>
              <w:t>□路演活动</w:t>
            </w:r>
          </w:p>
          <w:p>
            <w:pPr>
              <w:widowControl/>
              <w:ind w:firstLine="468" w:firstLineChars="200"/>
              <w:rPr>
                <w:color w:val="000000"/>
                <w:kern w:val="0"/>
                <w:sz w:val="22"/>
                <w:szCs w:val="22"/>
              </w:rPr>
            </w:pPr>
            <w:r>
              <w:rPr>
                <w:rFonts w:eastAsia="仿宋" w:cs="宋体"/>
                <w:spacing w:val="-3"/>
                <w:sz w:val="24"/>
              </w:rPr>
              <w:t xml:space="preserve">□其他 </w:t>
            </w:r>
            <w:r>
              <w:rPr>
                <w:rFonts w:eastAsia="仿宋" w:cs="宋体"/>
                <w:spacing w:val="-3"/>
                <w:sz w:val="24"/>
              </w:rPr>
              <w:tab/>
            </w:r>
          </w:p>
        </w:tc>
      </w:tr>
      <w:tr>
        <w:tblPrEx>
          <w:tblCellMar>
            <w:top w:w="0" w:type="dxa"/>
            <w:left w:w="108" w:type="dxa"/>
            <w:bottom w:w="0" w:type="dxa"/>
            <w:right w:w="108" w:type="dxa"/>
          </w:tblCellMar>
        </w:tblPrEx>
        <w:trPr>
          <w:trHeight w:val="760" w:hRule="atLeast"/>
        </w:trPr>
        <w:tc>
          <w:tcPr>
            <w:tcW w:w="1625" w:type="dxa"/>
            <w:tcBorders>
              <w:top w:val="nil"/>
              <w:left w:val="single" w:color="auto" w:sz="4" w:space="0"/>
              <w:bottom w:val="single" w:color="auto" w:sz="4" w:space="0"/>
              <w:right w:val="single" w:color="auto" w:sz="4" w:space="0"/>
            </w:tcBorders>
            <w:shd w:val="clear" w:color="auto" w:fill="FFFFFF" w:themeFill="background1"/>
            <w:vAlign w:val="center"/>
          </w:tcPr>
          <w:p>
            <w:pPr>
              <w:widowControl/>
              <w:rPr>
                <w:color w:val="000000"/>
                <w:kern w:val="0"/>
                <w:sz w:val="22"/>
                <w:szCs w:val="22"/>
              </w:rPr>
            </w:pPr>
            <w:r>
              <w:rPr>
                <w:rFonts w:hint="eastAsia"/>
                <w:color w:val="000000"/>
                <w:kern w:val="0"/>
                <w:sz w:val="22"/>
                <w:szCs w:val="22"/>
              </w:rPr>
              <w:t>参与单位名称及人员姓名</w:t>
            </w:r>
          </w:p>
        </w:tc>
        <w:tc>
          <w:tcPr>
            <w:tcW w:w="6881" w:type="dxa"/>
            <w:gridSpan w:val="2"/>
            <w:tcBorders>
              <w:top w:val="nil"/>
              <w:left w:val="nil"/>
              <w:bottom w:val="single" w:color="auto" w:sz="4" w:space="0"/>
              <w:right w:val="single" w:color="auto" w:sz="4" w:space="0"/>
            </w:tcBorders>
            <w:shd w:val="clear" w:color="auto" w:fill="auto"/>
            <w:vAlign w:val="center"/>
          </w:tcPr>
          <w:p>
            <w:pPr>
              <w:widowControl/>
              <w:rPr>
                <w:color w:val="000000"/>
                <w:kern w:val="0"/>
                <w:sz w:val="22"/>
                <w:szCs w:val="22"/>
                <w:highlight w:val="yellow"/>
              </w:rPr>
            </w:pPr>
            <w:bookmarkStart w:id="1" w:name="_GoBack"/>
            <w:bookmarkEnd w:id="1"/>
            <w:r>
              <w:rPr>
                <w:rFonts w:hint="eastAsia" w:eastAsia="仿宋"/>
                <w:sz w:val="24"/>
              </w:rPr>
              <w:t>国调基金、国泰租赁、国新双百基金、中船投资、上海城建投资、小成私募基金、杭州城投资本</w:t>
            </w:r>
          </w:p>
        </w:tc>
      </w:tr>
      <w:tr>
        <w:tblPrEx>
          <w:tblCellMar>
            <w:top w:w="0" w:type="dxa"/>
            <w:left w:w="108" w:type="dxa"/>
            <w:bottom w:w="0" w:type="dxa"/>
            <w:right w:w="108" w:type="dxa"/>
          </w:tblCellMar>
        </w:tblPrEx>
        <w:trPr>
          <w:trHeight w:val="760" w:hRule="atLeast"/>
        </w:trPr>
        <w:tc>
          <w:tcPr>
            <w:tcW w:w="162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 w:val="22"/>
                <w:szCs w:val="22"/>
              </w:rPr>
            </w:pPr>
            <w:r>
              <w:rPr>
                <w:rFonts w:hint="eastAsia"/>
                <w:color w:val="000000"/>
                <w:kern w:val="0"/>
                <w:sz w:val="22"/>
                <w:szCs w:val="22"/>
              </w:rPr>
              <w:t>时间</w:t>
            </w:r>
          </w:p>
        </w:tc>
        <w:tc>
          <w:tcPr>
            <w:tcW w:w="6881" w:type="dxa"/>
            <w:gridSpan w:val="2"/>
            <w:tcBorders>
              <w:top w:val="nil"/>
              <w:left w:val="nil"/>
              <w:bottom w:val="single" w:color="auto" w:sz="4" w:space="0"/>
              <w:right w:val="single" w:color="auto" w:sz="4" w:space="0"/>
            </w:tcBorders>
            <w:shd w:val="clear" w:color="auto" w:fill="auto"/>
            <w:vAlign w:val="center"/>
          </w:tcPr>
          <w:p>
            <w:pPr>
              <w:widowControl/>
              <w:rPr>
                <w:color w:val="000000"/>
                <w:kern w:val="0"/>
                <w:sz w:val="22"/>
                <w:szCs w:val="22"/>
                <w:highlight w:val="yellow"/>
              </w:rPr>
            </w:pPr>
            <w:r>
              <w:rPr>
                <w:rFonts w:hint="eastAsia" w:eastAsia="仿宋" w:cs="宋体"/>
                <w:sz w:val="24"/>
              </w:rPr>
              <w:t>2024年3月1日</w:t>
            </w:r>
          </w:p>
        </w:tc>
      </w:tr>
      <w:tr>
        <w:tblPrEx>
          <w:tblCellMar>
            <w:top w:w="0" w:type="dxa"/>
            <w:left w:w="108" w:type="dxa"/>
            <w:bottom w:w="0" w:type="dxa"/>
            <w:right w:w="108" w:type="dxa"/>
          </w:tblCellMar>
        </w:tblPrEx>
        <w:trPr>
          <w:trHeight w:val="760" w:hRule="atLeast"/>
        </w:trPr>
        <w:tc>
          <w:tcPr>
            <w:tcW w:w="162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 w:val="22"/>
                <w:szCs w:val="22"/>
              </w:rPr>
            </w:pPr>
            <w:r>
              <w:rPr>
                <w:rFonts w:hint="eastAsia"/>
                <w:color w:val="000000"/>
                <w:kern w:val="0"/>
                <w:sz w:val="22"/>
                <w:szCs w:val="22"/>
              </w:rPr>
              <w:t>地点</w:t>
            </w:r>
          </w:p>
        </w:tc>
        <w:tc>
          <w:tcPr>
            <w:tcW w:w="6881" w:type="dxa"/>
            <w:gridSpan w:val="2"/>
            <w:tcBorders>
              <w:top w:val="nil"/>
              <w:left w:val="nil"/>
              <w:bottom w:val="single" w:color="auto" w:sz="4" w:space="0"/>
              <w:right w:val="single" w:color="auto" w:sz="4" w:space="0"/>
            </w:tcBorders>
            <w:shd w:val="clear" w:color="auto" w:fill="auto"/>
            <w:vAlign w:val="center"/>
          </w:tcPr>
          <w:p>
            <w:pPr>
              <w:widowControl/>
              <w:rPr>
                <w:color w:val="000000"/>
                <w:kern w:val="0"/>
                <w:sz w:val="22"/>
                <w:szCs w:val="22"/>
                <w:highlight w:val="yellow"/>
              </w:rPr>
            </w:pPr>
            <w:r>
              <w:rPr>
                <w:rFonts w:hint="eastAsia" w:eastAsia="仿宋" w:cs="宋体"/>
                <w:sz w:val="24"/>
              </w:rPr>
              <w:t>线上会议</w:t>
            </w:r>
          </w:p>
        </w:tc>
      </w:tr>
      <w:tr>
        <w:tblPrEx>
          <w:tblCellMar>
            <w:top w:w="0" w:type="dxa"/>
            <w:left w:w="108" w:type="dxa"/>
            <w:bottom w:w="0" w:type="dxa"/>
            <w:right w:w="108" w:type="dxa"/>
          </w:tblCellMar>
        </w:tblPrEx>
        <w:trPr>
          <w:trHeight w:val="760" w:hRule="atLeast"/>
        </w:trPr>
        <w:tc>
          <w:tcPr>
            <w:tcW w:w="1625" w:type="dxa"/>
            <w:tcBorders>
              <w:top w:val="nil"/>
              <w:left w:val="single" w:color="auto" w:sz="4" w:space="0"/>
              <w:bottom w:val="single" w:color="auto" w:sz="4" w:space="0"/>
              <w:right w:val="single" w:color="auto" w:sz="4" w:space="0"/>
            </w:tcBorders>
            <w:shd w:val="clear" w:color="auto" w:fill="auto"/>
            <w:vAlign w:val="center"/>
          </w:tcPr>
          <w:p>
            <w:pPr>
              <w:widowControl/>
              <w:rPr>
                <w:color w:val="000000"/>
                <w:kern w:val="0"/>
                <w:sz w:val="22"/>
                <w:szCs w:val="22"/>
              </w:rPr>
            </w:pPr>
            <w:r>
              <w:rPr>
                <w:rFonts w:hint="eastAsia" w:eastAsia="仿宋" w:cs="宋体"/>
                <w:sz w:val="24"/>
              </w:rPr>
              <w:t>上市公司接待人员职位</w:t>
            </w:r>
          </w:p>
        </w:tc>
        <w:tc>
          <w:tcPr>
            <w:tcW w:w="6881" w:type="dxa"/>
            <w:gridSpan w:val="2"/>
            <w:tcBorders>
              <w:top w:val="nil"/>
              <w:left w:val="nil"/>
              <w:bottom w:val="single" w:color="auto" w:sz="4" w:space="0"/>
              <w:right w:val="single" w:color="auto" w:sz="4" w:space="0"/>
            </w:tcBorders>
            <w:shd w:val="clear" w:color="auto" w:fill="auto"/>
            <w:vAlign w:val="center"/>
          </w:tcPr>
          <w:p>
            <w:pPr>
              <w:spacing w:line="360" w:lineRule="auto"/>
              <w:rPr>
                <w:rFonts w:eastAsia="仿宋"/>
                <w:sz w:val="24"/>
              </w:rPr>
            </w:pPr>
            <w:r>
              <w:rPr>
                <w:rFonts w:hint="eastAsia" w:eastAsia="仿宋"/>
                <w:sz w:val="24"/>
              </w:rPr>
              <w:t>范振宇  总经理</w:t>
            </w:r>
          </w:p>
          <w:p>
            <w:pPr>
              <w:spacing w:line="360" w:lineRule="auto"/>
              <w:rPr>
                <w:rFonts w:eastAsia="仿宋"/>
                <w:sz w:val="24"/>
              </w:rPr>
            </w:pPr>
            <w:r>
              <w:rPr>
                <w:rFonts w:hint="eastAsia" w:eastAsia="仿宋"/>
                <w:sz w:val="24"/>
              </w:rPr>
              <w:t>周育峰  总工程师、副总经理</w:t>
            </w:r>
          </w:p>
          <w:p>
            <w:pPr>
              <w:spacing w:line="360" w:lineRule="auto"/>
              <w:rPr>
                <w:rFonts w:eastAsia="仿宋"/>
                <w:sz w:val="24"/>
              </w:rPr>
            </w:pPr>
            <w:r>
              <w:rPr>
                <w:rFonts w:hint="eastAsia" w:eastAsia="仿宋"/>
                <w:sz w:val="24"/>
              </w:rPr>
              <w:t>阙添进  副总经理</w:t>
            </w:r>
          </w:p>
          <w:p>
            <w:pPr>
              <w:widowControl/>
              <w:rPr>
                <w:color w:val="000000"/>
                <w:kern w:val="0"/>
                <w:sz w:val="22"/>
                <w:szCs w:val="22"/>
                <w:highlight w:val="yellow"/>
              </w:rPr>
            </w:pPr>
            <w:r>
              <w:rPr>
                <w:rFonts w:hint="eastAsia" w:eastAsia="仿宋"/>
                <w:sz w:val="24"/>
              </w:rPr>
              <w:t>曹艳蓉  财务总监、总法律顾问、董事会秘书</w:t>
            </w:r>
          </w:p>
        </w:tc>
      </w:tr>
      <w:tr>
        <w:tblPrEx>
          <w:tblCellMar>
            <w:top w:w="0" w:type="dxa"/>
            <w:left w:w="108" w:type="dxa"/>
            <w:bottom w:w="0" w:type="dxa"/>
            <w:right w:w="108" w:type="dxa"/>
          </w:tblCellMar>
        </w:tblPrEx>
        <w:trPr>
          <w:trHeight w:val="760" w:hRule="atLeast"/>
        </w:trPr>
        <w:tc>
          <w:tcPr>
            <w:tcW w:w="8506"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highlight w:val="yellow"/>
              </w:rPr>
            </w:pPr>
            <w:r>
              <w:rPr>
                <w:rFonts w:hint="eastAsia" w:eastAsia="仿宋"/>
                <w:b/>
                <w:bCs/>
                <w:sz w:val="24"/>
              </w:rPr>
              <w:t>问答交流纪要</w:t>
            </w:r>
          </w:p>
        </w:tc>
      </w:tr>
      <w:tr>
        <w:tblPrEx>
          <w:tblCellMar>
            <w:top w:w="0" w:type="dxa"/>
            <w:left w:w="108" w:type="dxa"/>
            <w:bottom w:w="0" w:type="dxa"/>
            <w:right w:w="108" w:type="dxa"/>
          </w:tblCellMar>
        </w:tblPrEx>
        <w:trPr>
          <w:trHeight w:val="761" w:hRule="atLeast"/>
        </w:trPr>
        <w:tc>
          <w:tcPr>
            <w:tcW w:w="85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b/>
                <w:color w:val="000000"/>
                <w:kern w:val="0"/>
                <w:sz w:val="22"/>
                <w:szCs w:val="22"/>
              </w:rPr>
            </w:pPr>
          </w:p>
          <w:p>
            <w:pPr>
              <w:widowControl/>
              <w:rPr>
                <w:b/>
                <w:color w:val="000000"/>
                <w:kern w:val="0"/>
                <w:sz w:val="22"/>
                <w:szCs w:val="22"/>
              </w:rPr>
            </w:pPr>
          </w:p>
          <w:p>
            <w:pPr>
              <w:pStyle w:val="4"/>
              <w:kinsoku/>
              <w:spacing w:before="109" w:line="263" w:lineRule="auto"/>
              <w:ind w:right="183"/>
              <w:rPr>
                <w:rFonts w:ascii="仿宋" w:hAnsi="仿宋" w:eastAsia="仿宋" w:cs="仿宋"/>
                <w:b/>
                <w:bCs/>
                <w:spacing w:val="3"/>
                <w:sz w:val="22"/>
                <w:szCs w:val="22"/>
                <w:lang w:eastAsia="zh-CN"/>
              </w:rPr>
            </w:pPr>
            <w:r>
              <w:rPr>
                <w:rFonts w:hint="eastAsia" w:ascii="仿宋" w:hAnsi="仿宋" w:eastAsia="仿宋" w:cs="仿宋"/>
                <w:b/>
                <w:bCs/>
                <w:spacing w:val="3"/>
                <w:sz w:val="22"/>
                <w:szCs w:val="22"/>
                <w:lang w:eastAsia="zh-CN"/>
              </w:rPr>
              <w:t>一、中交集团内部是否有其他设计咨询资产？未来是否有注入上市公司的计划？</w:t>
            </w:r>
          </w:p>
          <w:p>
            <w:pPr>
              <w:pStyle w:val="4"/>
              <w:kinsoku/>
              <w:spacing w:before="100" w:line="360" w:lineRule="auto"/>
              <w:ind w:firstLine="424" w:firstLineChars="200"/>
              <w:jc w:val="both"/>
              <w:rPr>
                <w:rFonts w:ascii="仿宋" w:hAnsi="仿宋" w:eastAsia="仿宋" w:cs="仿宋"/>
                <w:bCs/>
                <w:spacing w:val="-4"/>
                <w:sz w:val="22"/>
                <w:szCs w:val="22"/>
                <w:lang w:eastAsia="zh-CN"/>
              </w:rPr>
            </w:pPr>
            <w:r>
              <w:rPr>
                <w:rFonts w:hint="eastAsia" w:ascii="仿宋" w:hAnsi="仿宋" w:eastAsia="仿宋" w:cs="仿宋"/>
                <w:bCs/>
                <w:spacing w:val="-4"/>
                <w:sz w:val="22"/>
                <w:szCs w:val="22"/>
                <w:lang w:eastAsia="zh-CN"/>
              </w:rPr>
              <w:t xml:space="preserve">答： </w:t>
            </w:r>
          </w:p>
          <w:p>
            <w:pPr>
              <w:spacing w:line="440" w:lineRule="exact"/>
              <w:ind w:firstLine="424" w:firstLineChars="200"/>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中交集团内有中咨集团和五家水运院，中咨集团主要从事公路设计咨询相关业务，水运院主要从事水运港航设计咨询相关业务。中交集团及中国交建已出具承诺，将督促中咨集团、水运院尽快完成工程总承包业务的去化，在中咨集团、水运院满足注入上市公司的条件后，立即配合上市公司启动收购程序。上述情况和计划已在公司《</w:t>
            </w:r>
            <w:r>
              <w:rPr>
                <w:rFonts w:ascii="仿宋" w:hAnsi="仿宋" w:eastAsia="仿宋" w:cs="仿宋"/>
                <w:spacing w:val="-4"/>
                <w:sz w:val="22"/>
                <w:szCs w:val="22"/>
                <w:lang w:eastAsia="zh-CN"/>
              </w:rPr>
              <w:t>重大资产置换及发行股份购买资产并募集配套资金暨关联交易报告书</w:t>
            </w:r>
            <w:r>
              <w:rPr>
                <w:rFonts w:hint="eastAsia" w:ascii="仿宋" w:hAnsi="仿宋" w:eastAsia="仿宋" w:cs="仿宋"/>
                <w:spacing w:val="-4"/>
                <w:sz w:val="22"/>
                <w:szCs w:val="22"/>
                <w:lang w:eastAsia="zh-CN"/>
              </w:rPr>
              <w:t>》中披露，可查阅。未来</w:t>
            </w:r>
            <w:r>
              <w:rPr>
                <w:rFonts w:hint="eastAsia" w:ascii="仿宋" w:hAnsi="仿宋" w:eastAsia="仿宋" w:cs="仿宋"/>
                <w:spacing w:val="-4"/>
                <w:sz w:val="22"/>
                <w:szCs w:val="22"/>
                <w:lang w:val="en-US" w:eastAsia="zh-CN"/>
              </w:rPr>
              <w:t>公司</w:t>
            </w:r>
            <w:r>
              <w:rPr>
                <w:rFonts w:hint="eastAsia" w:ascii="仿宋" w:hAnsi="仿宋" w:eastAsia="仿宋" w:cs="仿宋"/>
                <w:spacing w:val="-4"/>
                <w:sz w:val="22"/>
                <w:szCs w:val="22"/>
                <w:lang w:eastAsia="zh-CN"/>
              </w:rPr>
              <w:t>将本着成熟一批装入一批</w:t>
            </w:r>
            <w:r>
              <w:rPr>
                <w:rFonts w:hint="eastAsia" w:ascii="仿宋" w:hAnsi="仿宋" w:eastAsia="仿宋" w:cs="仿宋"/>
                <w:spacing w:val="-4"/>
                <w:sz w:val="22"/>
                <w:szCs w:val="22"/>
                <w:lang w:val="en-US" w:eastAsia="zh-CN"/>
              </w:rPr>
              <w:t>的</w:t>
            </w:r>
            <w:r>
              <w:rPr>
                <w:rFonts w:hint="eastAsia" w:ascii="仿宋" w:hAnsi="仿宋" w:eastAsia="仿宋" w:cs="仿宋"/>
                <w:spacing w:val="-4"/>
                <w:sz w:val="22"/>
                <w:szCs w:val="22"/>
                <w:lang w:eastAsia="zh-CN"/>
              </w:rPr>
              <w:t>原则尽快</w:t>
            </w:r>
            <w:r>
              <w:rPr>
                <w:rFonts w:hint="eastAsia" w:ascii="仿宋" w:hAnsi="仿宋" w:eastAsia="仿宋" w:cs="仿宋"/>
                <w:spacing w:val="-4"/>
                <w:sz w:val="22"/>
                <w:szCs w:val="22"/>
                <w:lang w:val="en-US" w:eastAsia="zh-CN"/>
              </w:rPr>
              <w:t>完成相关设计资产的注入，</w:t>
            </w:r>
            <w:r>
              <w:rPr>
                <w:rFonts w:hint="eastAsia" w:ascii="仿宋" w:hAnsi="仿宋" w:eastAsia="仿宋" w:cs="仿宋"/>
                <w:spacing w:val="-4"/>
                <w:sz w:val="22"/>
                <w:szCs w:val="22"/>
                <w:lang w:eastAsia="zh-CN"/>
              </w:rPr>
              <w:t>进一步充实上市公司公路设计业务规模，带来水运港航设计业务增量。</w:t>
            </w:r>
          </w:p>
          <w:p>
            <w:pPr>
              <w:pStyle w:val="4"/>
              <w:numPr>
                <w:ilvl w:val="0"/>
                <w:numId w:val="1"/>
              </w:numPr>
              <w:kinsoku/>
              <w:spacing w:before="156" w:beforeLines="50" w:after="156" w:afterLines="50" w:line="360" w:lineRule="auto"/>
              <w:jc w:val="both"/>
              <w:rPr>
                <w:rFonts w:ascii="仿宋" w:hAnsi="仿宋" w:eastAsia="仿宋" w:cs="仿宋"/>
                <w:b/>
                <w:bCs/>
                <w:spacing w:val="-4"/>
                <w:sz w:val="22"/>
                <w:szCs w:val="22"/>
                <w:lang w:eastAsia="zh-CN"/>
              </w:rPr>
            </w:pPr>
            <w:r>
              <w:rPr>
                <w:rFonts w:hint="eastAsia" w:ascii="仿宋" w:hAnsi="仿宋" w:eastAsia="仿宋" w:cs="仿宋"/>
                <w:b/>
                <w:bCs/>
                <w:spacing w:val="-4"/>
                <w:sz w:val="22"/>
                <w:szCs w:val="22"/>
                <w:lang w:eastAsia="zh-CN"/>
              </w:rPr>
              <w:t>公司未来的业务重心在哪个领域？业务发展的可持续性如何？</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答：</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未来勘察设计业务将会是公司重心，同时公司将通过大力发展数字化业务、开展收并购、发展海外业务等多种措施实现上市公司高质量发展。</w:t>
            </w:r>
          </w:p>
          <w:p>
            <w:pPr>
              <w:pStyle w:val="4"/>
              <w:numPr>
                <w:ilvl w:val="0"/>
                <w:numId w:val="1"/>
              </w:numPr>
              <w:kinsoku/>
              <w:spacing w:before="156" w:beforeLines="50" w:after="156" w:afterLines="50" w:line="360" w:lineRule="auto"/>
              <w:jc w:val="both"/>
              <w:rPr>
                <w:rFonts w:ascii="仿宋" w:hAnsi="仿宋" w:eastAsia="仿宋" w:cs="仿宋"/>
                <w:b/>
                <w:bCs/>
                <w:spacing w:val="-4"/>
                <w:sz w:val="22"/>
                <w:szCs w:val="22"/>
                <w:lang w:eastAsia="zh-CN"/>
              </w:rPr>
            </w:pPr>
            <w:r>
              <w:rPr>
                <w:rFonts w:hint="eastAsia" w:ascii="仿宋" w:hAnsi="仿宋" w:eastAsia="仿宋" w:cs="仿宋"/>
                <w:b/>
                <w:bCs/>
                <w:spacing w:val="-4"/>
                <w:sz w:val="22"/>
                <w:szCs w:val="22"/>
                <w:lang w:eastAsia="zh-CN"/>
              </w:rPr>
              <w:t>公司的业务主要集中在哪些区域？公司各家设计院分别有哪些优势？</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答：</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中交设计旗下六家设计院总部位于不同区域，境内业务分支机构约120个，业务覆盖中国大陆所有区域。公规院总部位于北京；一公院总部位于西安；二公</w:t>
            </w:r>
            <w:r>
              <w:rPr>
                <w:rFonts w:hint="eastAsia" w:ascii="仿宋" w:hAnsi="仿宋" w:eastAsia="仿宋" w:cs="仿宋"/>
                <w:spacing w:val="-4"/>
                <w:sz w:val="22"/>
                <w:szCs w:val="22"/>
                <w:lang w:val="en-US" w:eastAsia="zh-CN"/>
              </w:rPr>
              <w:t>院</w:t>
            </w:r>
            <w:r>
              <w:rPr>
                <w:rFonts w:hint="eastAsia" w:ascii="仿宋" w:hAnsi="仿宋" w:eastAsia="仿宋" w:cs="仿宋"/>
                <w:spacing w:val="-4"/>
                <w:sz w:val="22"/>
                <w:szCs w:val="22"/>
                <w:lang w:eastAsia="zh-CN"/>
              </w:rPr>
              <w:t>总部位于武汉；西南院总部位于成都；东北院总部位于长春；能源院总部位于沈阳。各院在不同领域各有优势。</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公规院在大跨度桥梁、沉管隧道设计领域达到世界一流水平，拥有桥梁领域国家工程研究中心——公路长大桥建设国家工程研究中心，承担了港珠澳大桥、深中通道、马来西亚东海岸铁路等一大批国内外重大工程的勘察设计与咨询工作，其中，深中通道项目是全球首例“桥、岛、隧、水下互通”四位一体集群工程。</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一公院是行业领军的科技型企业，拥有全国重点实验室（极端环境绿色长寿道路工程全国重点实验室）和国家野外科学观测站等国家级创新平台的科技型企业，近年连续牵头承担“高寒高海拔地区高速公路建设技术”“道路交通安全主动防控技术及系统集成”“进藏通道应急抢通关键技术及装备”等三项国家重点研发计划项目。</w:t>
            </w:r>
          </w:p>
          <w:p>
            <w:pPr>
              <w:pStyle w:val="4"/>
              <w:kinsoku/>
              <w:spacing w:before="100" w:line="360" w:lineRule="auto"/>
              <w:ind w:firstLine="424" w:firstLineChars="200"/>
              <w:jc w:val="both"/>
              <w:rPr>
                <w:rFonts w:ascii="仿宋" w:hAnsi="仿宋" w:eastAsia="仿宋" w:cs="仿宋"/>
                <w:spacing w:val="-4"/>
                <w:sz w:val="22"/>
                <w:szCs w:val="22"/>
                <w:highlight w:val="none"/>
                <w:lang w:eastAsia="zh-CN"/>
              </w:rPr>
            </w:pPr>
            <w:r>
              <w:rPr>
                <w:rFonts w:hint="eastAsia" w:ascii="仿宋" w:hAnsi="仿宋" w:eastAsia="仿宋" w:cs="仿宋"/>
                <w:spacing w:val="-4"/>
                <w:sz w:val="22"/>
                <w:szCs w:val="22"/>
                <w:lang w:eastAsia="zh-CN"/>
              </w:rPr>
              <w:t>二公院在隧道和地下空间、山区高速公路、公路改扩建等领域具备突出行业技术优势，完成的天山胜利隧道工程，隧道全长22</w:t>
            </w:r>
            <w:r>
              <w:rPr>
                <w:rFonts w:hint="eastAsia" w:ascii="仿宋" w:hAnsi="仿宋" w:eastAsia="仿宋" w:cs="仿宋"/>
                <w:spacing w:val="-4"/>
                <w:sz w:val="22"/>
                <w:szCs w:val="22"/>
                <w:lang w:val="en-US" w:eastAsia="zh-CN"/>
              </w:rPr>
              <w:t>.1</w:t>
            </w:r>
            <w:r>
              <w:rPr>
                <w:rFonts w:hint="eastAsia" w:ascii="仿宋" w:hAnsi="仿宋" w:eastAsia="仿宋" w:cs="仿宋"/>
                <w:spacing w:val="-4"/>
                <w:sz w:val="22"/>
                <w:szCs w:val="22"/>
                <w:lang w:eastAsia="zh-CN"/>
              </w:rPr>
              <w:t>公里，</w:t>
            </w:r>
            <w:r>
              <w:rPr>
                <w:rFonts w:hint="eastAsia" w:ascii="仿宋" w:hAnsi="仿宋" w:eastAsia="仿宋" w:cs="仿宋"/>
                <w:spacing w:val="-4"/>
                <w:sz w:val="22"/>
                <w:szCs w:val="22"/>
                <w:highlight w:val="none"/>
                <w:lang w:eastAsia="zh-CN"/>
              </w:rPr>
              <w:t>是目前世界上</w:t>
            </w:r>
            <w:r>
              <w:rPr>
                <w:rFonts w:hint="eastAsia" w:ascii="仿宋" w:hAnsi="仿宋" w:eastAsia="仿宋" w:cs="仿宋"/>
                <w:spacing w:val="-4"/>
                <w:sz w:val="22"/>
                <w:szCs w:val="22"/>
                <w:highlight w:val="none"/>
                <w:lang w:val="en-US" w:eastAsia="zh-CN"/>
              </w:rPr>
              <w:t>在</w:t>
            </w:r>
            <w:r>
              <w:rPr>
                <w:rFonts w:hint="eastAsia" w:ascii="仿宋" w:hAnsi="仿宋" w:eastAsia="仿宋" w:cs="仿宋"/>
                <w:spacing w:val="-4"/>
                <w:sz w:val="22"/>
                <w:szCs w:val="22"/>
                <w:highlight w:val="none"/>
                <w:lang w:eastAsia="zh-CN"/>
              </w:rPr>
              <w:t>建最长高速公路隧道高速公路隧道。</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西南院在地埋式污水处理厂设计、污泥处理厂设计、地下综合管廊设计等领域具备国内领先实力，建设了</w:t>
            </w:r>
            <w:r>
              <w:rPr>
                <w:rFonts w:hint="eastAsia" w:ascii="仿宋" w:hAnsi="仿宋" w:eastAsia="仿宋" w:cs="仿宋"/>
                <w:spacing w:val="-4"/>
                <w:sz w:val="22"/>
                <w:szCs w:val="22"/>
                <w:lang w:val="en-US" w:eastAsia="zh-CN"/>
              </w:rPr>
              <w:t>著名</w:t>
            </w:r>
            <w:r>
              <w:rPr>
                <w:rFonts w:hint="eastAsia" w:ascii="仿宋" w:hAnsi="仿宋" w:eastAsia="仿宋" w:cs="仿宋"/>
                <w:spacing w:val="-4"/>
                <w:sz w:val="22"/>
                <w:szCs w:val="22"/>
                <w:lang w:eastAsia="zh-CN"/>
              </w:rPr>
              <w:t>大型地埋式污水处理厂——深圳布吉污水处理厂、亚洲</w:t>
            </w:r>
            <w:r>
              <w:rPr>
                <w:rFonts w:hint="eastAsia" w:ascii="仿宋" w:hAnsi="仿宋" w:eastAsia="仿宋" w:cs="仿宋"/>
                <w:spacing w:val="-4"/>
                <w:sz w:val="22"/>
                <w:szCs w:val="22"/>
                <w:lang w:val="en-US" w:eastAsia="zh-CN"/>
              </w:rPr>
              <w:t>规模领先的</w:t>
            </w:r>
            <w:r>
              <w:rPr>
                <w:rFonts w:hint="eastAsia" w:ascii="仿宋" w:hAnsi="仿宋" w:eastAsia="仿宋" w:cs="仿宋"/>
                <w:spacing w:val="-4"/>
                <w:sz w:val="22"/>
                <w:szCs w:val="22"/>
                <w:lang w:eastAsia="zh-CN"/>
              </w:rPr>
              <w:t>地埋式污水处理厂——马来西亚PANTAI污水处理厂、全国规模最大自来水厂之一——成都市自来水六厂。</w:t>
            </w:r>
          </w:p>
          <w:p>
            <w:pPr>
              <w:pStyle w:val="4"/>
              <w:kinsoku/>
              <w:spacing w:before="100" w:line="360" w:lineRule="auto"/>
              <w:ind w:firstLine="424" w:firstLineChars="200"/>
              <w:jc w:val="both"/>
              <w:rPr>
                <w:rFonts w:ascii="仿宋" w:hAnsi="仿宋" w:eastAsia="仿宋" w:cs="仿宋"/>
                <w:spacing w:val="-4"/>
                <w:sz w:val="22"/>
                <w:szCs w:val="22"/>
                <w:highlight w:val="none"/>
                <w:lang w:eastAsia="zh-CN"/>
              </w:rPr>
            </w:pPr>
            <w:r>
              <w:rPr>
                <w:rFonts w:hint="eastAsia" w:ascii="仿宋" w:hAnsi="仿宋" w:eastAsia="仿宋" w:cs="仿宋"/>
                <w:spacing w:val="-4"/>
                <w:sz w:val="22"/>
                <w:szCs w:val="22"/>
                <w:lang w:eastAsia="zh-CN"/>
              </w:rPr>
              <w:t>东北院在市政行业的全过程业务、市政工程、地下工程、环保产业具有技术优势，与哈尔滨工业大学马军院士团队多年合作，支持哈尔滨市松花江水源供</w:t>
            </w:r>
            <w:r>
              <w:rPr>
                <w:rFonts w:hint="eastAsia" w:ascii="仿宋" w:hAnsi="仿宋" w:eastAsia="仿宋" w:cs="仿宋"/>
                <w:spacing w:val="-4"/>
                <w:sz w:val="22"/>
                <w:szCs w:val="22"/>
                <w:highlight w:val="none"/>
                <w:lang w:eastAsia="zh-CN"/>
              </w:rPr>
              <w:t>水工程，该项目是国内规模领先的低温高氨氮净水处理项目。</w:t>
            </w:r>
          </w:p>
          <w:p>
            <w:pPr>
              <w:pStyle w:val="4"/>
              <w:kinsoku/>
              <w:spacing w:before="100" w:line="360" w:lineRule="auto"/>
              <w:ind w:firstLine="424" w:firstLineChars="200"/>
              <w:jc w:val="both"/>
              <w:rPr>
                <w:rFonts w:ascii="仿宋" w:hAnsi="仿宋" w:eastAsia="仿宋" w:cs="仿宋"/>
                <w:spacing w:val="-4"/>
                <w:sz w:val="22"/>
                <w:szCs w:val="22"/>
                <w:highlight w:val="none"/>
                <w:lang w:eastAsia="zh-CN"/>
              </w:rPr>
            </w:pPr>
            <w:r>
              <w:rPr>
                <w:rFonts w:hint="eastAsia" w:ascii="仿宋" w:hAnsi="仿宋" w:eastAsia="仿宋" w:cs="仿宋"/>
                <w:spacing w:val="-4"/>
                <w:sz w:val="22"/>
                <w:szCs w:val="22"/>
                <w:highlight w:val="none"/>
                <w:lang w:eastAsia="zh-CN"/>
              </w:rPr>
              <w:t>能源院特色业务聚焦城市燃气业务以及清洁供热、智慧供热业务，建成具有行业示范作用的研究基地——劣质煤加压气化试验研究基地。</w:t>
            </w:r>
          </w:p>
          <w:p>
            <w:pPr>
              <w:pStyle w:val="4"/>
              <w:numPr>
                <w:ilvl w:val="0"/>
                <w:numId w:val="1"/>
              </w:numPr>
              <w:kinsoku/>
              <w:spacing w:before="156" w:beforeLines="50" w:after="156" w:afterLines="50" w:line="360" w:lineRule="auto"/>
              <w:jc w:val="both"/>
              <w:rPr>
                <w:rFonts w:ascii="仿宋" w:hAnsi="仿宋" w:eastAsia="仿宋" w:cs="仿宋"/>
                <w:b/>
                <w:bCs/>
                <w:spacing w:val="-4"/>
                <w:sz w:val="22"/>
                <w:szCs w:val="22"/>
                <w:lang w:eastAsia="zh-CN"/>
              </w:rPr>
            </w:pPr>
            <w:r>
              <w:rPr>
                <w:rFonts w:hint="eastAsia" w:ascii="仿宋" w:hAnsi="仿宋" w:eastAsia="仿宋" w:cs="仿宋"/>
                <w:b/>
                <w:bCs/>
                <w:spacing w:val="-4"/>
                <w:sz w:val="22"/>
                <w:szCs w:val="22"/>
                <w:lang w:eastAsia="zh-CN"/>
              </w:rPr>
              <w:t>公司目前的在手订单情况？在手订单的收入确认和回款情况如何？新签合同情况如何？</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 xml:space="preserve">  答：公司目前在手订单保持增长趋势，收入确认和回款都处于正常水平。设计业务处于链条前端，且占项目总投比例较小，目前回款情况良好。新签合同符合预期和规划。</w:t>
            </w:r>
          </w:p>
          <w:p>
            <w:pPr>
              <w:pStyle w:val="4"/>
              <w:numPr>
                <w:ilvl w:val="0"/>
                <w:numId w:val="1"/>
              </w:numPr>
              <w:kinsoku/>
              <w:spacing w:before="156" w:beforeLines="50" w:after="156" w:afterLines="50" w:line="360" w:lineRule="auto"/>
              <w:jc w:val="both"/>
              <w:rPr>
                <w:rFonts w:ascii="仿宋" w:hAnsi="仿宋" w:eastAsia="仿宋" w:cs="仿宋"/>
                <w:b/>
                <w:bCs/>
                <w:spacing w:val="-4"/>
                <w:sz w:val="22"/>
                <w:szCs w:val="22"/>
                <w:lang w:eastAsia="zh-CN"/>
              </w:rPr>
            </w:pPr>
            <w:r>
              <w:rPr>
                <w:rFonts w:hint="eastAsia" w:ascii="仿宋" w:hAnsi="仿宋" w:eastAsia="仿宋" w:cs="仿宋"/>
                <w:b/>
                <w:bCs/>
                <w:spacing w:val="-4"/>
                <w:sz w:val="22"/>
                <w:szCs w:val="22"/>
                <w:lang w:eastAsia="zh-CN"/>
              </w:rPr>
              <w:t>公司本次募集配套资金的具体投资方向是什么？募集配套资金的主要考虑？</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答：</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募集资金投向主要分三个方向，是提升企业科技创新能力，投入金额约16亿余元，二是提升企业管理能力，投入金额约3亿余元，三是提升企业生产能力，投入金额约2亿余元。</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募集资金计划大部分投入到提升企业科创能力</w:t>
            </w:r>
            <w:r>
              <w:rPr>
                <w:rFonts w:hint="eastAsia" w:ascii="仿宋" w:hAnsi="仿宋" w:eastAsia="仿宋" w:cs="仿宋"/>
                <w:spacing w:val="-4"/>
                <w:sz w:val="22"/>
                <w:szCs w:val="22"/>
                <w:lang w:val="en-US" w:eastAsia="zh-CN"/>
              </w:rPr>
              <w:t>的项目</w:t>
            </w:r>
            <w:r>
              <w:rPr>
                <w:rFonts w:hint="eastAsia" w:ascii="仿宋" w:hAnsi="仿宋" w:eastAsia="仿宋" w:cs="仿宋"/>
                <w:spacing w:val="-4"/>
                <w:sz w:val="22"/>
                <w:szCs w:val="22"/>
                <w:lang w:eastAsia="zh-CN"/>
              </w:rPr>
              <w:t>中，项目明细如下：</w:t>
            </w:r>
          </w:p>
          <w:tbl>
            <w:tblPr>
              <w:tblStyle w:val="10"/>
              <w:tblpPr w:leftFromText="180" w:rightFromText="180" w:vertAnchor="text" w:horzAnchor="page" w:tblpX="228" w:tblpY="185"/>
              <w:tblOverlap w:val="never"/>
              <w:tblW w:w="7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618"/>
              <w:gridCol w:w="4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66" w:type="dxa"/>
                  <w:vMerge w:val="restart"/>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提升科创能力</w:t>
                  </w:r>
                </w:p>
              </w:tc>
              <w:tc>
                <w:tcPr>
                  <w:tcW w:w="1618" w:type="dxa"/>
                  <w:vMerge w:val="restart"/>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夯实传统业务技术能力项目</w:t>
                  </w: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长大桥梁全寿命周期设计咨询创新能力提升项目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66" w:type="dxa"/>
                  <w:vMerge w:val="continue"/>
                  <w:vAlign w:val="center"/>
                </w:tcPr>
                <w:p>
                  <w:pPr>
                    <w:pStyle w:val="2"/>
                    <w:ind w:firstLine="361"/>
                    <w:rPr>
                      <w:rFonts w:ascii="仿宋" w:hAnsi="仿宋" w:eastAsia="仿宋" w:cs="仿宋"/>
                      <w:sz w:val="18"/>
                      <w:szCs w:val="18"/>
                    </w:rPr>
                  </w:pPr>
                </w:p>
              </w:tc>
              <w:tc>
                <w:tcPr>
                  <w:tcW w:w="1618" w:type="dxa"/>
                  <w:vMerge w:val="continue"/>
                  <w:vAlign w:val="center"/>
                </w:tcPr>
                <w:p>
                  <w:pPr>
                    <w:pStyle w:val="2"/>
                    <w:ind w:firstLine="361"/>
                    <w:rPr>
                      <w:rFonts w:ascii="仿宋" w:hAnsi="仿宋" w:eastAsia="仿宋" w:cs="仿宋"/>
                      <w:sz w:val="18"/>
                      <w:szCs w:val="18"/>
                    </w:rPr>
                  </w:pP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高寒高海拔道路工程建养技术研发项目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66" w:type="dxa"/>
                  <w:vMerge w:val="continue"/>
                  <w:vAlign w:val="center"/>
                </w:tcPr>
                <w:p>
                  <w:pPr>
                    <w:pStyle w:val="2"/>
                    <w:ind w:firstLine="360"/>
                    <w:rPr>
                      <w:rFonts w:ascii="仿宋" w:hAnsi="仿宋" w:eastAsia="仿宋" w:cs="仿宋"/>
                      <w:b w:val="0"/>
                      <w:sz w:val="18"/>
                      <w:szCs w:val="18"/>
                      <w14:ligatures w14:val="standardContextual"/>
                    </w:rPr>
                  </w:pPr>
                </w:p>
              </w:tc>
              <w:tc>
                <w:tcPr>
                  <w:tcW w:w="1618" w:type="dxa"/>
                  <w:vMerge w:val="continue"/>
                  <w:vAlign w:val="center"/>
                </w:tcPr>
                <w:p>
                  <w:pPr>
                    <w:pStyle w:val="2"/>
                    <w:ind w:firstLine="360"/>
                    <w:rPr>
                      <w:rFonts w:ascii="仿宋" w:hAnsi="仿宋" w:eastAsia="仿宋" w:cs="仿宋"/>
                      <w:b w:val="0"/>
                      <w:sz w:val="18"/>
                      <w:szCs w:val="18"/>
                      <w14:ligatures w14:val="standardContextual"/>
                    </w:rPr>
                  </w:pP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隧道与地下空间智能建设与韧性提升研究项目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66" w:type="dxa"/>
                  <w:vMerge w:val="continue"/>
                  <w:vAlign w:val="center"/>
                </w:tcPr>
                <w:p>
                  <w:pPr>
                    <w:pStyle w:val="2"/>
                    <w:ind w:firstLine="360"/>
                    <w:rPr>
                      <w:rFonts w:ascii="仿宋" w:hAnsi="仿宋" w:eastAsia="仿宋" w:cs="仿宋"/>
                      <w:b w:val="0"/>
                      <w:sz w:val="18"/>
                      <w:szCs w:val="18"/>
                      <w14:ligatures w14:val="standardContextual"/>
                    </w:rPr>
                  </w:pPr>
                </w:p>
              </w:tc>
              <w:tc>
                <w:tcPr>
                  <w:tcW w:w="1618" w:type="dxa"/>
                  <w:vMerge w:val="restart"/>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拓展新兴业务技术能力项目</w:t>
                  </w: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绿色低碳及新能源技术研发能力提升项目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66" w:type="dxa"/>
                  <w:vMerge w:val="continue"/>
                  <w:vAlign w:val="center"/>
                </w:tcPr>
                <w:p>
                  <w:pPr>
                    <w:pStyle w:val="2"/>
                    <w:ind w:firstLine="361"/>
                    <w:rPr>
                      <w:rFonts w:ascii="仿宋" w:hAnsi="仿宋" w:eastAsia="仿宋" w:cs="仿宋"/>
                      <w:sz w:val="18"/>
                      <w:szCs w:val="18"/>
                    </w:rPr>
                  </w:pPr>
                </w:p>
              </w:tc>
              <w:tc>
                <w:tcPr>
                  <w:tcW w:w="1618" w:type="dxa"/>
                  <w:vMerge w:val="continue"/>
                  <w:vAlign w:val="center"/>
                </w:tcPr>
                <w:p>
                  <w:pPr>
                    <w:pStyle w:val="2"/>
                    <w:ind w:firstLine="361"/>
                    <w:rPr>
                      <w:rFonts w:ascii="仿宋" w:hAnsi="仿宋" w:eastAsia="仿宋" w:cs="仿宋"/>
                      <w:sz w:val="18"/>
                      <w:szCs w:val="18"/>
                    </w:rPr>
                  </w:pP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装配化、工业化、智能化建造技术研发能力提升项目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66" w:type="dxa"/>
                  <w:vMerge w:val="continue"/>
                  <w:vAlign w:val="center"/>
                </w:tcPr>
                <w:p>
                  <w:pPr>
                    <w:pStyle w:val="2"/>
                    <w:ind w:firstLine="360"/>
                    <w:rPr>
                      <w:rFonts w:ascii="仿宋" w:hAnsi="仿宋" w:eastAsia="仿宋" w:cs="仿宋"/>
                      <w:b w:val="0"/>
                      <w:sz w:val="18"/>
                      <w:szCs w:val="18"/>
                      <w14:ligatures w14:val="standardContextual"/>
                    </w:rPr>
                  </w:pPr>
                </w:p>
              </w:tc>
              <w:tc>
                <w:tcPr>
                  <w:tcW w:w="1618" w:type="dxa"/>
                  <w:vMerge w:val="continue"/>
                  <w:vAlign w:val="center"/>
                </w:tcPr>
                <w:p>
                  <w:pPr>
                    <w:pStyle w:val="2"/>
                    <w:ind w:firstLine="360"/>
                    <w:rPr>
                      <w:rFonts w:ascii="仿宋" w:hAnsi="仿宋" w:eastAsia="仿宋" w:cs="仿宋"/>
                      <w:b w:val="0"/>
                      <w:sz w:val="18"/>
                      <w:szCs w:val="18"/>
                      <w14:ligatures w14:val="standardContextual"/>
                    </w:rPr>
                  </w:pP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城市生态环境治理工程技术研发中心建设项目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66" w:type="dxa"/>
                  <w:vMerge w:val="continue"/>
                  <w:vAlign w:val="center"/>
                </w:tcPr>
                <w:p>
                  <w:pPr>
                    <w:pStyle w:val="2"/>
                    <w:ind w:firstLine="360"/>
                    <w:rPr>
                      <w:rFonts w:ascii="仿宋" w:hAnsi="仿宋" w:eastAsia="仿宋" w:cs="仿宋"/>
                      <w:b w:val="0"/>
                      <w:sz w:val="18"/>
                      <w:szCs w:val="18"/>
                      <w14:ligatures w14:val="standardContextual"/>
                    </w:rPr>
                  </w:pPr>
                </w:p>
                <w:p>
                  <w:pPr>
                    <w:pStyle w:val="2"/>
                    <w:ind w:firstLine="360"/>
                    <w:rPr>
                      <w:rFonts w:ascii="仿宋" w:hAnsi="仿宋" w:eastAsia="仿宋" w:cs="仿宋"/>
                      <w:b w:val="0"/>
                      <w:sz w:val="18"/>
                      <w:szCs w:val="18"/>
                      <w14:ligatures w14:val="standardContextual"/>
                    </w:rPr>
                  </w:pPr>
                </w:p>
              </w:tc>
              <w:tc>
                <w:tcPr>
                  <w:tcW w:w="1618" w:type="dxa"/>
                  <w:vMerge w:val="restart"/>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提升数字化智能化应用技术项目</w:t>
                  </w: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新型基础设施建设与智慧交通运管技术研发中心建设项目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66" w:type="dxa"/>
                  <w:vMerge w:val="continue"/>
                  <w:vAlign w:val="center"/>
                </w:tcPr>
                <w:p>
                  <w:pPr>
                    <w:pStyle w:val="2"/>
                    <w:ind w:firstLine="361"/>
                    <w:rPr>
                      <w:rFonts w:ascii="仿宋" w:hAnsi="仿宋" w:eastAsia="仿宋" w:cs="仿宋"/>
                      <w:sz w:val="18"/>
                      <w:szCs w:val="18"/>
                    </w:rPr>
                  </w:pPr>
                </w:p>
              </w:tc>
              <w:tc>
                <w:tcPr>
                  <w:tcW w:w="1618" w:type="dxa"/>
                  <w:vMerge w:val="continue"/>
                  <w:vAlign w:val="center"/>
                </w:tcPr>
                <w:p>
                  <w:pPr>
                    <w:pStyle w:val="2"/>
                    <w:ind w:firstLine="361"/>
                    <w:rPr>
                      <w:rFonts w:ascii="仿宋" w:hAnsi="仿宋" w:eastAsia="仿宋" w:cs="仿宋"/>
                      <w:sz w:val="18"/>
                      <w:szCs w:val="18"/>
                    </w:rPr>
                  </w:pP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数字化协同设计与交付平台研发项目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66" w:type="dxa"/>
                  <w:vMerge w:val="continue"/>
                  <w:vAlign w:val="center"/>
                </w:tcPr>
                <w:p>
                  <w:pPr>
                    <w:pStyle w:val="2"/>
                    <w:ind w:firstLine="360"/>
                    <w:rPr>
                      <w:rFonts w:ascii="仿宋" w:hAnsi="仿宋" w:eastAsia="仿宋" w:cs="仿宋"/>
                      <w:b w:val="0"/>
                      <w:sz w:val="18"/>
                      <w:szCs w:val="18"/>
                      <w14:ligatures w14:val="standardContextual"/>
                    </w:rPr>
                  </w:pPr>
                </w:p>
              </w:tc>
              <w:tc>
                <w:tcPr>
                  <w:tcW w:w="1618" w:type="dxa"/>
                  <w:vMerge w:val="continue"/>
                  <w:vAlign w:val="center"/>
                </w:tcPr>
                <w:p>
                  <w:pPr>
                    <w:pStyle w:val="2"/>
                    <w:ind w:firstLine="360"/>
                    <w:rPr>
                      <w:rFonts w:ascii="仿宋" w:hAnsi="仿宋" w:eastAsia="仿宋" w:cs="仿宋"/>
                      <w:b w:val="0"/>
                      <w:sz w:val="18"/>
                      <w:szCs w:val="18"/>
                      <w14:ligatures w14:val="standardContextual"/>
                    </w:rPr>
                  </w:pPr>
                </w:p>
              </w:tc>
              <w:tc>
                <w:tcPr>
                  <w:tcW w:w="4809" w:type="dxa"/>
                  <w:vAlign w:val="center"/>
                </w:tcPr>
                <w:p>
                  <w:pPr>
                    <w:pStyle w:val="2"/>
                    <w:ind w:firstLine="0" w:firstLineChars="0"/>
                    <w:jc w:val="both"/>
                    <w:rPr>
                      <w:rFonts w:ascii="仿宋" w:hAnsi="仿宋" w:eastAsia="仿宋" w:cs="仿宋"/>
                      <w:b w:val="0"/>
                      <w:sz w:val="18"/>
                      <w:szCs w:val="18"/>
                      <w14:ligatures w14:val="standardContextual"/>
                    </w:rPr>
                  </w:pPr>
                  <w:r>
                    <w:rPr>
                      <w:rFonts w:hint="eastAsia" w:ascii="仿宋" w:hAnsi="仿宋" w:eastAsia="仿宋" w:cs="仿宋"/>
                      <w:b w:val="0"/>
                      <w:sz w:val="18"/>
                      <w:szCs w:val="18"/>
                      <w14:ligatures w14:val="standardContextual"/>
                    </w:rPr>
                    <w:t>城市产业运营大数据应用技术研发项目</w:t>
                  </w:r>
                </w:p>
              </w:tc>
            </w:tr>
          </w:tbl>
          <w:p>
            <w:pPr>
              <w:spacing w:line="440" w:lineRule="exact"/>
              <w:ind w:firstLine="424" w:firstLineChars="200"/>
              <w:rPr>
                <w:rFonts w:ascii="仿宋" w:hAnsi="仿宋" w:eastAsia="仿宋" w:cs="仿宋"/>
                <w:snapToGrid w:val="0"/>
                <w:color w:val="000000"/>
                <w:spacing w:val="-4"/>
                <w:kern w:val="0"/>
                <w:sz w:val="22"/>
                <w:szCs w:val="22"/>
              </w:rPr>
            </w:pPr>
            <w:r>
              <w:rPr>
                <w:rFonts w:hint="eastAsia" w:ascii="仿宋" w:hAnsi="仿宋" w:eastAsia="仿宋" w:cs="仿宋"/>
                <w:snapToGrid w:val="0"/>
                <w:color w:val="000000"/>
                <w:spacing w:val="-4"/>
                <w:kern w:val="0"/>
                <w:sz w:val="22"/>
                <w:szCs w:val="22"/>
              </w:rPr>
              <w:t>从资金用途也可以看出，配套募集资金的目的是为了提升企业的综合竞争力，包括科技创新能力、管理能力、生产能力等，其中重点是通过加大研发投入，全面加强公司在传统业务、新兴业务以及数字化应用方面的技术实力，保持领先水平，构筑技术门槛。</w:t>
            </w:r>
            <w:r>
              <w:rPr>
                <w:rFonts w:hint="eastAsia" w:ascii="仿宋" w:hAnsi="仿宋" w:eastAsia="仿宋" w:cs="仿宋"/>
                <w:snapToGrid w:val="0"/>
                <w:color w:val="000000"/>
                <w:spacing w:val="-4"/>
                <w:kern w:val="0"/>
                <w:sz w:val="22"/>
                <w:szCs w:val="22"/>
                <w:lang w:val="en-US" w:eastAsia="zh-CN"/>
              </w:rPr>
              <w:t>未</w:t>
            </w:r>
            <w:r>
              <w:rPr>
                <w:rFonts w:hint="eastAsia" w:ascii="仿宋" w:hAnsi="仿宋" w:eastAsia="仿宋" w:cs="仿宋"/>
                <w:snapToGrid w:val="0"/>
                <w:color w:val="000000"/>
                <w:spacing w:val="-4"/>
                <w:kern w:val="0"/>
                <w:sz w:val="22"/>
                <w:szCs w:val="22"/>
              </w:rPr>
              <w:t>来</w:t>
            </w:r>
            <w:r>
              <w:rPr>
                <w:rFonts w:hint="eastAsia" w:ascii="仿宋" w:hAnsi="仿宋" w:eastAsia="仿宋" w:cs="仿宋"/>
                <w:snapToGrid w:val="0"/>
                <w:color w:val="000000"/>
                <w:spacing w:val="-4"/>
                <w:kern w:val="0"/>
                <w:sz w:val="22"/>
                <w:szCs w:val="22"/>
                <w:lang w:val="en-US" w:eastAsia="zh-CN"/>
              </w:rPr>
              <w:t>公司</w:t>
            </w:r>
            <w:r>
              <w:rPr>
                <w:rFonts w:hint="eastAsia" w:ascii="仿宋" w:hAnsi="仿宋" w:eastAsia="仿宋" w:cs="仿宋"/>
                <w:snapToGrid w:val="0"/>
                <w:color w:val="000000"/>
                <w:spacing w:val="-4"/>
                <w:kern w:val="0"/>
                <w:sz w:val="22"/>
                <w:szCs w:val="22"/>
              </w:rPr>
              <w:t>将重点关注人工智能技术与设计技术的融合，通过“数字化协同设计与交付平台研发项目”</w:t>
            </w:r>
            <w:r>
              <w:rPr>
                <w:rFonts w:hint="eastAsia" w:ascii="仿宋" w:hAnsi="仿宋" w:eastAsia="仿宋" w:cs="仿宋"/>
                <w:snapToGrid w:val="0"/>
                <w:color w:val="000000"/>
                <w:spacing w:val="-4"/>
                <w:kern w:val="0"/>
                <w:sz w:val="22"/>
                <w:szCs w:val="22"/>
                <w:lang w:val="en-US" w:eastAsia="zh-CN"/>
              </w:rPr>
              <w:t>等</w:t>
            </w:r>
            <w:r>
              <w:rPr>
                <w:rFonts w:hint="eastAsia" w:ascii="仿宋" w:hAnsi="仿宋" w:eastAsia="仿宋" w:cs="仿宋"/>
                <w:snapToGrid w:val="0"/>
                <w:color w:val="000000"/>
                <w:spacing w:val="-4"/>
                <w:kern w:val="0"/>
                <w:sz w:val="22"/>
                <w:szCs w:val="22"/>
              </w:rPr>
              <w:t>项目整合内外部资源，研发更多的AI设计软件，助力设计行业加快迈入“智能化设计”的进程。</w:t>
            </w:r>
          </w:p>
          <w:p>
            <w:pPr>
              <w:pStyle w:val="4"/>
              <w:spacing w:before="156" w:beforeLines="50" w:line="360" w:lineRule="auto"/>
              <w:ind w:firstLine="424" w:firstLineChars="200"/>
              <w:rPr>
                <w:rFonts w:ascii="仿宋" w:hAnsi="仿宋" w:eastAsia="仿宋" w:cs="仿宋"/>
                <w:spacing w:val="-4"/>
                <w:sz w:val="22"/>
                <w:szCs w:val="22"/>
                <w:lang w:eastAsia="zh-CN"/>
              </w:rPr>
            </w:pPr>
            <w:r>
              <w:rPr>
                <w:rFonts w:hint="eastAsia" w:ascii="仿宋" w:hAnsi="仿宋" w:eastAsia="仿宋" w:cs="仿宋"/>
                <w:spacing w:val="-4"/>
                <w:sz w:val="22"/>
                <w:szCs w:val="22"/>
                <w:lang w:val="en-US" w:eastAsia="zh-CN"/>
              </w:rPr>
              <w:t>公司</w:t>
            </w:r>
            <w:r>
              <w:rPr>
                <w:rFonts w:hint="eastAsia" w:ascii="仿宋" w:hAnsi="仿宋" w:eastAsia="仿宋" w:cs="仿宋"/>
                <w:spacing w:val="-4"/>
                <w:sz w:val="22"/>
                <w:szCs w:val="22"/>
                <w:lang w:eastAsia="zh-CN"/>
              </w:rPr>
              <w:t>募集资金将遵循上市公司规范进行使用和监管，切实保障投向主营业务和未来发展方向。</w:t>
            </w:r>
          </w:p>
          <w:p>
            <w:pPr>
              <w:pStyle w:val="4"/>
              <w:numPr>
                <w:ilvl w:val="0"/>
                <w:numId w:val="1"/>
              </w:numPr>
              <w:kinsoku/>
              <w:spacing w:before="156" w:beforeLines="50" w:after="156" w:afterLines="50" w:line="360" w:lineRule="auto"/>
              <w:jc w:val="both"/>
              <w:rPr>
                <w:rFonts w:ascii="仿宋" w:hAnsi="仿宋" w:eastAsia="仿宋" w:cs="仿宋"/>
                <w:b/>
                <w:bCs/>
                <w:spacing w:val="-4"/>
                <w:sz w:val="22"/>
                <w:szCs w:val="22"/>
                <w:lang w:eastAsia="zh-CN"/>
              </w:rPr>
            </w:pPr>
            <w:r>
              <w:rPr>
                <w:rFonts w:hint="eastAsia" w:ascii="仿宋" w:hAnsi="仿宋" w:eastAsia="仿宋" w:cs="仿宋"/>
                <w:b/>
                <w:bCs/>
                <w:spacing w:val="-4"/>
                <w:sz w:val="22"/>
                <w:szCs w:val="22"/>
                <w:lang w:eastAsia="zh-CN"/>
              </w:rPr>
              <w:t>公司在设计行业的核心竞争优势？</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答：中交设计是中交集团所属的核心设计咨询企业，股东实力雄厚。中交集团是全球领先的特大型基础设施综合服务商，在全球拥有60余家全资控股资企业，在157个国家和地区开展实质性业务，打造了水、路、空、轨全覆盖，集设计、投资、建设、运维于一体的“大交通”产业集群，以及以市政、建筑为支撑，设计、投资、建设、运营相融通的“大城市”产业集群。目前位列世界500强企业第63位，连续17年位居ENR国际承包商亚洲第一名。</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中交设计是A股市场规模领先的设计咨询公司。有高科技研发、资金密集、资源密集、人才密集的特点。不同于各省或区域设计院，中交设计境内分支机构遍布大陆所有区域。公司承担了大量标志性工程。重组上市后，中交设计致力于打造涵盖公路、市政、建筑、水利、新能源多产业板块的设计咨询集团，力争在设计理念、服务模式、服务内容、设计深度和广度上达到国际先进水平，成为具有轻资产特性的行业龙头。</w:t>
            </w:r>
          </w:p>
          <w:p>
            <w:pPr>
              <w:pStyle w:val="4"/>
              <w:numPr>
                <w:ilvl w:val="0"/>
                <w:numId w:val="1"/>
              </w:numPr>
              <w:kinsoku/>
              <w:spacing w:before="156" w:beforeLines="50" w:after="156" w:afterLines="50" w:line="360" w:lineRule="auto"/>
              <w:jc w:val="both"/>
              <w:rPr>
                <w:rFonts w:ascii="仿宋" w:hAnsi="仿宋" w:eastAsia="仿宋" w:cs="仿宋"/>
                <w:b/>
                <w:bCs/>
                <w:spacing w:val="-4"/>
                <w:sz w:val="22"/>
                <w:szCs w:val="22"/>
                <w:lang w:eastAsia="zh-CN"/>
              </w:rPr>
            </w:pPr>
            <w:r>
              <w:rPr>
                <w:rFonts w:hint="eastAsia" w:ascii="仿宋" w:hAnsi="仿宋" w:eastAsia="仿宋" w:cs="仿宋"/>
                <w:b/>
                <w:bCs/>
                <w:spacing w:val="-4"/>
                <w:sz w:val="22"/>
                <w:szCs w:val="22"/>
                <w:lang w:eastAsia="zh-CN"/>
              </w:rPr>
              <w:t>国家基建投资规模波动对公司的影响？</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答：</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在任何经济体、任何时代，基础设施投资在国民经济中的地位都非常重要。2024年度交通部、住建部、生态环保部、水利部的国家部委工作会议对2024年的工作要求仍以稳中有进为主基调，不乏亮点领域。12省化债并非对所有基础设施投资一刀切叫停，地方政府在城市基础设施、生态环境保护修复、交通物流重大基础设施中仍有不少中央预算内资金重点领域可以投资。</w:t>
            </w:r>
          </w:p>
          <w:p>
            <w:pPr>
              <w:pStyle w:val="4"/>
              <w:kinsoku/>
              <w:spacing w:before="100" w:line="360" w:lineRule="auto"/>
              <w:ind w:firstLine="424" w:firstLineChars="200"/>
              <w:jc w:val="both"/>
              <w:rPr>
                <w:rFonts w:ascii="仿宋" w:hAnsi="仿宋" w:eastAsia="仿宋" w:cs="仿宋"/>
                <w:spacing w:val="-4"/>
                <w:sz w:val="22"/>
                <w:szCs w:val="22"/>
                <w:lang w:eastAsia="zh-CN"/>
              </w:rPr>
            </w:pPr>
            <w:r>
              <w:rPr>
                <w:rFonts w:hint="eastAsia" w:ascii="仿宋" w:hAnsi="仿宋" w:eastAsia="仿宋" w:cs="仿宋"/>
                <w:spacing w:val="-4"/>
                <w:sz w:val="22"/>
                <w:szCs w:val="22"/>
                <w:lang w:eastAsia="zh-CN"/>
              </w:rPr>
              <w:t>当前，局部影响与潜在机遇交织叠加。近期政策确实可能会对行业企业带来局部影响,特别对业务单一、区域布局集中的企业会有较大影响。但布局广泛、业务多元正是</w:t>
            </w:r>
            <w:r>
              <w:rPr>
                <w:rFonts w:hint="eastAsia" w:ascii="仿宋" w:hAnsi="仿宋" w:eastAsia="仿宋" w:cs="仿宋"/>
                <w:spacing w:val="-4"/>
                <w:sz w:val="22"/>
                <w:szCs w:val="22"/>
                <w:lang w:val="en-US" w:eastAsia="zh-CN"/>
              </w:rPr>
              <w:t>公司</w:t>
            </w:r>
            <w:r>
              <w:rPr>
                <w:rFonts w:hint="eastAsia" w:ascii="仿宋" w:hAnsi="仿宋" w:eastAsia="仿宋" w:cs="仿宋"/>
                <w:spacing w:val="-4"/>
                <w:sz w:val="22"/>
                <w:szCs w:val="22"/>
                <w:lang w:eastAsia="zh-CN"/>
              </w:rPr>
              <w:t>的优势，</w:t>
            </w:r>
            <w:r>
              <w:rPr>
                <w:rFonts w:hint="eastAsia" w:ascii="仿宋" w:hAnsi="仿宋" w:eastAsia="仿宋" w:cs="仿宋"/>
                <w:spacing w:val="-4"/>
                <w:sz w:val="22"/>
                <w:szCs w:val="22"/>
                <w:lang w:val="en-US" w:eastAsia="zh-CN"/>
              </w:rPr>
              <w:t>公司</w:t>
            </w:r>
            <w:r>
              <w:rPr>
                <w:rFonts w:hint="eastAsia" w:ascii="仿宋" w:hAnsi="仿宋" w:eastAsia="仿宋" w:cs="仿宋"/>
                <w:spacing w:val="-4"/>
                <w:sz w:val="22"/>
                <w:szCs w:val="22"/>
                <w:lang w:eastAsia="zh-CN"/>
              </w:rPr>
              <w:t>对冲这一影响的韧性较强，目前中交设计境内业务分支机构约120个，覆盖中国大陆所有区域，境外业务遍布50多个国家和地区。行业变革下，行业集中度将会加速提升，行业整合趋势加剧，也为</w:t>
            </w:r>
            <w:r>
              <w:rPr>
                <w:rFonts w:hint="eastAsia" w:ascii="仿宋" w:hAnsi="仿宋" w:eastAsia="仿宋" w:cs="仿宋"/>
                <w:spacing w:val="-4"/>
                <w:sz w:val="22"/>
                <w:szCs w:val="22"/>
                <w:lang w:val="en-US" w:eastAsia="zh-CN"/>
              </w:rPr>
              <w:t>公司</w:t>
            </w:r>
            <w:r>
              <w:rPr>
                <w:rFonts w:hint="eastAsia" w:ascii="仿宋" w:hAnsi="仿宋" w:eastAsia="仿宋" w:cs="仿宋"/>
                <w:spacing w:val="-4"/>
                <w:sz w:val="22"/>
                <w:szCs w:val="22"/>
                <w:lang w:eastAsia="zh-CN"/>
              </w:rPr>
              <w:t>补充资源、打造新的增长极带来潜在机遇。</w:t>
            </w:r>
          </w:p>
          <w:p>
            <w:pPr>
              <w:pStyle w:val="4"/>
              <w:kinsoku/>
              <w:spacing w:before="100" w:line="360" w:lineRule="auto"/>
              <w:ind w:firstLine="424" w:firstLineChars="200"/>
              <w:jc w:val="both"/>
              <w:rPr>
                <w:rFonts w:ascii="宋体" w:hAnsi="宋体" w:eastAsia="宋体"/>
                <w:sz w:val="24"/>
                <w:szCs w:val="24"/>
                <w:lang w:eastAsia="zh-CN"/>
              </w:rPr>
            </w:pPr>
            <w:r>
              <w:rPr>
                <w:rFonts w:hint="eastAsia" w:ascii="仿宋" w:hAnsi="仿宋" w:eastAsia="仿宋" w:cs="仿宋"/>
                <w:spacing w:val="-4"/>
                <w:sz w:val="22"/>
                <w:szCs w:val="22"/>
                <w:lang w:eastAsia="zh-CN"/>
              </w:rPr>
              <w:t>未来，中交设计将紧抓机遇，主动作为。把握重组上市的巨大契机，发挥既有优势，提升发展质量，保持持续增长。通过聚焦高端咨询业务，放大自身在集团内行业内的价值作用；通过强化一体化协同，完善市场布局，巩固经营网络韧性；通过聚力技术创新，抢占热点赛道；通过数智化升级，提高生产效率，降低生产成本；通过并购等内外部资源整合，拓展新兴业务，优化业务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625" w:type="dxa"/>
            <w:shd w:val="clear" w:color="auto" w:fill="FFFFFF" w:themeFill="background1"/>
            <w:vAlign w:val="top"/>
          </w:tcPr>
          <w:p>
            <w:pPr>
              <w:spacing w:before="156" w:beforeLines="50" w:after="468" w:afterLines="150" w:line="400" w:lineRule="exact"/>
              <w:rPr>
                <w:b/>
                <w:color w:val="000000"/>
                <w:kern w:val="0"/>
                <w:sz w:val="22"/>
                <w:szCs w:val="22"/>
              </w:rPr>
            </w:pPr>
            <w:r>
              <w:rPr>
                <w:b/>
                <w:color w:val="000000"/>
                <w:kern w:val="0"/>
                <w:sz w:val="22"/>
                <w:szCs w:val="22"/>
              </w:rPr>
              <w:t>附件清单（如有）</w:t>
            </w:r>
          </w:p>
        </w:tc>
        <w:tc>
          <w:tcPr>
            <w:tcW w:w="6881" w:type="dxa"/>
            <w:gridSpan w:val="2"/>
          </w:tcPr>
          <w:p>
            <w:pPr>
              <w:spacing w:before="156" w:beforeLines="50" w:after="468" w:afterLines="150" w:line="400" w:lineRule="exact"/>
              <w:rPr>
                <w:color w:val="000000"/>
                <w:kern w:val="0"/>
                <w:sz w:val="22"/>
                <w:szCs w:val="22"/>
              </w:rPr>
            </w:pPr>
            <w:r>
              <w:rPr>
                <w:color w:val="000000"/>
                <w:kern w:val="0"/>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625" w:type="dxa"/>
            <w:tcBorders>
              <w:bottom w:val="single" w:color="auto" w:sz="4" w:space="0"/>
            </w:tcBorders>
            <w:shd w:val="clear" w:color="auto" w:fill="FFFFFF" w:themeFill="background1"/>
            <w:vAlign w:val="top"/>
          </w:tcPr>
          <w:p>
            <w:pPr>
              <w:spacing w:before="156" w:beforeLines="50" w:after="468" w:afterLines="150" w:line="400" w:lineRule="exact"/>
              <w:ind w:firstLine="663" w:firstLineChars="300"/>
              <w:rPr>
                <w:b/>
                <w:color w:val="000000"/>
                <w:kern w:val="0"/>
                <w:sz w:val="22"/>
                <w:szCs w:val="22"/>
              </w:rPr>
            </w:pPr>
            <w:r>
              <w:rPr>
                <w:b/>
                <w:color w:val="000000"/>
                <w:kern w:val="0"/>
                <w:sz w:val="22"/>
                <w:szCs w:val="22"/>
              </w:rPr>
              <w:t>日期</w:t>
            </w:r>
          </w:p>
        </w:tc>
        <w:tc>
          <w:tcPr>
            <w:tcW w:w="6881" w:type="dxa"/>
            <w:gridSpan w:val="2"/>
            <w:tcBorders>
              <w:bottom w:val="single" w:color="auto" w:sz="4" w:space="0"/>
            </w:tcBorders>
          </w:tcPr>
          <w:p>
            <w:pPr>
              <w:spacing w:before="156" w:beforeLines="50" w:after="468" w:afterLines="150" w:line="400" w:lineRule="exact"/>
              <w:rPr>
                <w:color w:val="000000"/>
                <w:kern w:val="0"/>
                <w:sz w:val="22"/>
                <w:szCs w:val="22"/>
              </w:rPr>
            </w:pPr>
            <w:r>
              <w:rPr>
                <w:rFonts w:hint="eastAsia" w:ascii="仿宋" w:hAnsi="仿宋" w:eastAsia="仿宋" w:cs="仿宋"/>
                <w:snapToGrid w:val="0"/>
                <w:color w:val="000000"/>
                <w:spacing w:val="-4"/>
                <w:kern w:val="0"/>
                <w:sz w:val="22"/>
                <w:szCs w:val="22"/>
                <w:lang w:val="en-US" w:eastAsia="zh-CN" w:bidi="ar-SA"/>
              </w:rPr>
              <w:t>2024年 3月 5日</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1994C2"/>
    <w:multiLevelType w:val="singleLevel"/>
    <w:tmpl w:val="651994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496A38"/>
    <w:rsid w:val="00002405"/>
    <w:rsid w:val="00005043"/>
    <w:rsid w:val="00010F19"/>
    <w:rsid w:val="00013984"/>
    <w:rsid w:val="000153CA"/>
    <w:rsid w:val="00017289"/>
    <w:rsid w:val="00020D85"/>
    <w:rsid w:val="0002371C"/>
    <w:rsid w:val="000272B3"/>
    <w:rsid w:val="00036983"/>
    <w:rsid w:val="0004244A"/>
    <w:rsid w:val="00042551"/>
    <w:rsid w:val="00043AE9"/>
    <w:rsid w:val="00045542"/>
    <w:rsid w:val="000458BE"/>
    <w:rsid w:val="00047BE4"/>
    <w:rsid w:val="00050364"/>
    <w:rsid w:val="00084876"/>
    <w:rsid w:val="00085F85"/>
    <w:rsid w:val="00087F87"/>
    <w:rsid w:val="00090229"/>
    <w:rsid w:val="0009695B"/>
    <w:rsid w:val="000A1AD8"/>
    <w:rsid w:val="000A5570"/>
    <w:rsid w:val="000B0D32"/>
    <w:rsid w:val="000C0080"/>
    <w:rsid w:val="000D2120"/>
    <w:rsid w:val="000D5C53"/>
    <w:rsid w:val="000D6FA2"/>
    <w:rsid w:val="000F1C64"/>
    <w:rsid w:val="000F1C85"/>
    <w:rsid w:val="00102DEC"/>
    <w:rsid w:val="00114D58"/>
    <w:rsid w:val="001248C0"/>
    <w:rsid w:val="00155D3A"/>
    <w:rsid w:val="001572CD"/>
    <w:rsid w:val="00174046"/>
    <w:rsid w:val="00184F83"/>
    <w:rsid w:val="00197F26"/>
    <w:rsid w:val="001A2968"/>
    <w:rsid w:val="001A63B2"/>
    <w:rsid w:val="001B39C7"/>
    <w:rsid w:val="001C6F15"/>
    <w:rsid w:val="001E5D08"/>
    <w:rsid w:val="00201EEE"/>
    <w:rsid w:val="00207FE7"/>
    <w:rsid w:val="00220CE5"/>
    <w:rsid w:val="00225F7C"/>
    <w:rsid w:val="00237DE9"/>
    <w:rsid w:val="00267E80"/>
    <w:rsid w:val="002774A0"/>
    <w:rsid w:val="00295140"/>
    <w:rsid w:val="002955BE"/>
    <w:rsid w:val="00297B9E"/>
    <w:rsid w:val="002A0E2E"/>
    <w:rsid w:val="002A143C"/>
    <w:rsid w:val="002A1EE7"/>
    <w:rsid w:val="002B256A"/>
    <w:rsid w:val="002C560D"/>
    <w:rsid w:val="002D1A36"/>
    <w:rsid w:val="002D4CC4"/>
    <w:rsid w:val="002E24E5"/>
    <w:rsid w:val="002E7ADD"/>
    <w:rsid w:val="00302AD7"/>
    <w:rsid w:val="00304969"/>
    <w:rsid w:val="00311483"/>
    <w:rsid w:val="00311D62"/>
    <w:rsid w:val="00337BBA"/>
    <w:rsid w:val="003540B5"/>
    <w:rsid w:val="003604B9"/>
    <w:rsid w:val="0036215C"/>
    <w:rsid w:val="0036418F"/>
    <w:rsid w:val="00365440"/>
    <w:rsid w:val="0038140D"/>
    <w:rsid w:val="00383FC1"/>
    <w:rsid w:val="003844E3"/>
    <w:rsid w:val="003A4B8A"/>
    <w:rsid w:val="003A7C70"/>
    <w:rsid w:val="003B0FE9"/>
    <w:rsid w:val="003B1EEB"/>
    <w:rsid w:val="003C3D90"/>
    <w:rsid w:val="003D3FCD"/>
    <w:rsid w:val="003F4597"/>
    <w:rsid w:val="003F74E8"/>
    <w:rsid w:val="00406903"/>
    <w:rsid w:val="00413BDC"/>
    <w:rsid w:val="00416AAC"/>
    <w:rsid w:val="004251CF"/>
    <w:rsid w:val="00427E19"/>
    <w:rsid w:val="004473E3"/>
    <w:rsid w:val="00454216"/>
    <w:rsid w:val="004806F9"/>
    <w:rsid w:val="00480D72"/>
    <w:rsid w:val="00496A38"/>
    <w:rsid w:val="004A27D7"/>
    <w:rsid w:val="004A7733"/>
    <w:rsid w:val="004A7A74"/>
    <w:rsid w:val="004C28A8"/>
    <w:rsid w:val="004C2DD6"/>
    <w:rsid w:val="004E013C"/>
    <w:rsid w:val="004F32F5"/>
    <w:rsid w:val="004F4592"/>
    <w:rsid w:val="004F4719"/>
    <w:rsid w:val="004F63A0"/>
    <w:rsid w:val="00507C71"/>
    <w:rsid w:val="005145B4"/>
    <w:rsid w:val="00516C2A"/>
    <w:rsid w:val="00523BF9"/>
    <w:rsid w:val="00525BC4"/>
    <w:rsid w:val="00526545"/>
    <w:rsid w:val="00540F20"/>
    <w:rsid w:val="005479A7"/>
    <w:rsid w:val="00552353"/>
    <w:rsid w:val="00554722"/>
    <w:rsid w:val="00565409"/>
    <w:rsid w:val="005700E3"/>
    <w:rsid w:val="00577691"/>
    <w:rsid w:val="00581C23"/>
    <w:rsid w:val="005B74DE"/>
    <w:rsid w:val="005C4E3E"/>
    <w:rsid w:val="005D25C0"/>
    <w:rsid w:val="005D3993"/>
    <w:rsid w:val="005E294D"/>
    <w:rsid w:val="005F3FE0"/>
    <w:rsid w:val="006001C9"/>
    <w:rsid w:val="006350E6"/>
    <w:rsid w:val="006441EC"/>
    <w:rsid w:val="00647389"/>
    <w:rsid w:val="0065710E"/>
    <w:rsid w:val="0067333A"/>
    <w:rsid w:val="00680BD1"/>
    <w:rsid w:val="00687334"/>
    <w:rsid w:val="006A54DE"/>
    <w:rsid w:val="006B24BD"/>
    <w:rsid w:val="006C3F94"/>
    <w:rsid w:val="006D5799"/>
    <w:rsid w:val="006D65B4"/>
    <w:rsid w:val="006E4D38"/>
    <w:rsid w:val="00720A73"/>
    <w:rsid w:val="0073209F"/>
    <w:rsid w:val="00736581"/>
    <w:rsid w:val="00743FDC"/>
    <w:rsid w:val="007447EC"/>
    <w:rsid w:val="00744DD8"/>
    <w:rsid w:val="00746067"/>
    <w:rsid w:val="00763D1A"/>
    <w:rsid w:val="007670CC"/>
    <w:rsid w:val="00780B06"/>
    <w:rsid w:val="0078200A"/>
    <w:rsid w:val="00787734"/>
    <w:rsid w:val="00796DB8"/>
    <w:rsid w:val="007B3548"/>
    <w:rsid w:val="007B5F7C"/>
    <w:rsid w:val="007C1742"/>
    <w:rsid w:val="007D1F79"/>
    <w:rsid w:val="007E61FB"/>
    <w:rsid w:val="007F3745"/>
    <w:rsid w:val="007F43CE"/>
    <w:rsid w:val="007F4AFB"/>
    <w:rsid w:val="007F5ADD"/>
    <w:rsid w:val="008064F0"/>
    <w:rsid w:val="00814AEB"/>
    <w:rsid w:val="008352F9"/>
    <w:rsid w:val="008541B0"/>
    <w:rsid w:val="008651F8"/>
    <w:rsid w:val="008879F9"/>
    <w:rsid w:val="00892E66"/>
    <w:rsid w:val="008B2988"/>
    <w:rsid w:val="008B57AD"/>
    <w:rsid w:val="008D457A"/>
    <w:rsid w:val="008E0C20"/>
    <w:rsid w:val="008E3272"/>
    <w:rsid w:val="009035F8"/>
    <w:rsid w:val="00903DAF"/>
    <w:rsid w:val="00907B32"/>
    <w:rsid w:val="009120AD"/>
    <w:rsid w:val="009134CB"/>
    <w:rsid w:val="00921EAF"/>
    <w:rsid w:val="009373F3"/>
    <w:rsid w:val="009471F8"/>
    <w:rsid w:val="00947A48"/>
    <w:rsid w:val="00962750"/>
    <w:rsid w:val="009634A1"/>
    <w:rsid w:val="009767A9"/>
    <w:rsid w:val="009851BC"/>
    <w:rsid w:val="00987407"/>
    <w:rsid w:val="009923DB"/>
    <w:rsid w:val="009949CA"/>
    <w:rsid w:val="009A2C1E"/>
    <w:rsid w:val="009B3B51"/>
    <w:rsid w:val="009C3BED"/>
    <w:rsid w:val="009C6110"/>
    <w:rsid w:val="009F5A5D"/>
    <w:rsid w:val="00A07983"/>
    <w:rsid w:val="00A12F50"/>
    <w:rsid w:val="00A2240D"/>
    <w:rsid w:val="00A26CD4"/>
    <w:rsid w:val="00A31A69"/>
    <w:rsid w:val="00A33B3D"/>
    <w:rsid w:val="00A369F7"/>
    <w:rsid w:val="00A40544"/>
    <w:rsid w:val="00A43E9C"/>
    <w:rsid w:val="00A43F81"/>
    <w:rsid w:val="00A44FE6"/>
    <w:rsid w:val="00A4722B"/>
    <w:rsid w:val="00A56547"/>
    <w:rsid w:val="00A635E8"/>
    <w:rsid w:val="00A81215"/>
    <w:rsid w:val="00A83369"/>
    <w:rsid w:val="00A858E6"/>
    <w:rsid w:val="00A96BD4"/>
    <w:rsid w:val="00AA66DF"/>
    <w:rsid w:val="00AC6222"/>
    <w:rsid w:val="00AE0B60"/>
    <w:rsid w:val="00AE5A2F"/>
    <w:rsid w:val="00AE7608"/>
    <w:rsid w:val="00AF320A"/>
    <w:rsid w:val="00B12041"/>
    <w:rsid w:val="00B158E6"/>
    <w:rsid w:val="00B15A0A"/>
    <w:rsid w:val="00B31121"/>
    <w:rsid w:val="00B437ED"/>
    <w:rsid w:val="00B47EA9"/>
    <w:rsid w:val="00B63FA6"/>
    <w:rsid w:val="00B72E83"/>
    <w:rsid w:val="00B749B9"/>
    <w:rsid w:val="00B76140"/>
    <w:rsid w:val="00B8686A"/>
    <w:rsid w:val="00B87E96"/>
    <w:rsid w:val="00B91526"/>
    <w:rsid w:val="00BA210E"/>
    <w:rsid w:val="00BA47A9"/>
    <w:rsid w:val="00BA77BB"/>
    <w:rsid w:val="00BA7F8C"/>
    <w:rsid w:val="00BB358B"/>
    <w:rsid w:val="00BB3BA3"/>
    <w:rsid w:val="00BB7B01"/>
    <w:rsid w:val="00BC215E"/>
    <w:rsid w:val="00BC32BD"/>
    <w:rsid w:val="00BC5948"/>
    <w:rsid w:val="00BC67EA"/>
    <w:rsid w:val="00BD1C84"/>
    <w:rsid w:val="00BD2EE5"/>
    <w:rsid w:val="00BD3832"/>
    <w:rsid w:val="00BE15BE"/>
    <w:rsid w:val="00BE767D"/>
    <w:rsid w:val="00C003F1"/>
    <w:rsid w:val="00C02A0F"/>
    <w:rsid w:val="00C05CCB"/>
    <w:rsid w:val="00C14303"/>
    <w:rsid w:val="00C17ED9"/>
    <w:rsid w:val="00C47C06"/>
    <w:rsid w:val="00C62955"/>
    <w:rsid w:val="00C62FDD"/>
    <w:rsid w:val="00C636F1"/>
    <w:rsid w:val="00C760BF"/>
    <w:rsid w:val="00CA41DC"/>
    <w:rsid w:val="00CA7C76"/>
    <w:rsid w:val="00CB4C40"/>
    <w:rsid w:val="00CB5F28"/>
    <w:rsid w:val="00CC4ACB"/>
    <w:rsid w:val="00CD7A09"/>
    <w:rsid w:val="00CE42D4"/>
    <w:rsid w:val="00CF1FC2"/>
    <w:rsid w:val="00CF3B39"/>
    <w:rsid w:val="00D15A94"/>
    <w:rsid w:val="00D3227C"/>
    <w:rsid w:val="00D73B74"/>
    <w:rsid w:val="00D91C37"/>
    <w:rsid w:val="00D93531"/>
    <w:rsid w:val="00D94DA1"/>
    <w:rsid w:val="00D97B68"/>
    <w:rsid w:val="00DA2F84"/>
    <w:rsid w:val="00DB10E8"/>
    <w:rsid w:val="00DC1907"/>
    <w:rsid w:val="00DC5777"/>
    <w:rsid w:val="00DD2B03"/>
    <w:rsid w:val="00DD2DDA"/>
    <w:rsid w:val="00DE1616"/>
    <w:rsid w:val="00DF3B1A"/>
    <w:rsid w:val="00DF5CCA"/>
    <w:rsid w:val="00DF6A22"/>
    <w:rsid w:val="00E058B4"/>
    <w:rsid w:val="00E14675"/>
    <w:rsid w:val="00E1611B"/>
    <w:rsid w:val="00E172AD"/>
    <w:rsid w:val="00E1776F"/>
    <w:rsid w:val="00E201D7"/>
    <w:rsid w:val="00E2303E"/>
    <w:rsid w:val="00E3273D"/>
    <w:rsid w:val="00E4394E"/>
    <w:rsid w:val="00E43FD2"/>
    <w:rsid w:val="00E5517E"/>
    <w:rsid w:val="00E62C5E"/>
    <w:rsid w:val="00E6508B"/>
    <w:rsid w:val="00E66E0E"/>
    <w:rsid w:val="00E82B10"/>
    <w:rsid w:val="00E93623"/>
    <w:rsid w:val="00E93FC7"/>
    <w:rsid w:val="00E964C8"/>
    <w:rsid w:val="00E96CFD"/>
    <w:rsid w:val="00EA0EAE"/>
    <w:rsid w:val="00EA2AF4"/>
    <w:rsid w:val="00EA5A4E"/>
    <w:rsid w:val="00EA709B"/>
    <w:rsid w:val="00EB21E5"/>
    <w:rsid w:val="00EB4EDE"/>
    <w:rsid w:val="00EB5643"/>
    <w:rsid w:val="00EC581F"/>
    <w:rsid w:val="00ED3519"/>
    <w:rsid w:val="00ED55DB"/>
    <w:rsid w:val="00ED62D5"/>
    <w:rsid w:val="00ED69D4"/>
    <w:rsid w:val="00EE447E"/>
    <w:rsid w:val="00F10335"/>
    <w:rsid w:val="00F226EC"/>
    <w:rsid w:val="00F25DBF"/>
    <w:rsid w:val="00F30ED2"/>
    <w:rsid w:val="00F327C6"/>
    <w:rsid w:val="00F40923"/>
    <w:rsid w:val="00F422BC"/>
    <w:rsid w:val="00F429FF"/>
    <w:rsid w:val="00F611DD"/>
    <w:rsid w:val="00F63A0F"/>
    <w:rsid w:val="00F718EC"/>
    <w:rsid w:val="00F72A63"/>
    <w:rsid w:val="00F73659"/>
    <w:rsid w:val="00F7575D"/>
    <w:rsid w:val="00F75CBC"/>
    <w:rsid w:val="00F836A1"/>
    <w:rsid w:val="00F94C51"/>
    <w:rsid w:val="00FA74F5"/>
    <w:rsid w:val="00FB5E06"/>
    <w:rsid w:val="00FC3A5D"/>
    <w:rsid w:val="00FC6552"/>
    <w:rsid w:val="00FD7DA6"/>
    <w:rsid w:val="00FD7F2D"/>
    <w:rsid w:val="00FE4363"/>
    <w:rsid w:val="00FF7330"/>
    <w:rsid w:val="068E19BA"/>
    <w:rsid w:val="0C443240"/>
    <w:rsid w:val="0E4845AE"/>
    <w:rsid w:val="12502219"/>
    <w:rsid w:val="1252354E"/>
    <w:rsid w:val="1397672B"/>
    <w:rsid w:val="19D646D7"/>
    <w:rsid w:val="1B4A3CA9"/>
    <w:rsid w:val="26430207"/>
    <w:rsid w:val="27851EF2"/>
    <w:rsid w:val="27E64D5A"/>
    <w:rsid w:val="2D1B36F8"/>
    <w:rsid w:val="301D7787"/>
    <w:rsid w:val="326276D3"/>
    <w:rsid w:val="35951140"/>
    <w:rsid w:val="39AE76A2"/>
    <w:rsid w:val="3ABC7B9C"/>
    <w:rsid w:val="3B2F7C44"/>
    <w:rsid w:val="47F745F9"/>
    <w:rsid w:val="4A745C45"/>
    <w:rsid w:val="4D3F4D46"/>
    <w:rsid w:val="4D521641"/>
    <w:rsid w:val="4EC512BE"/>
    <w:rsid w:val="58DB5969"/>
    <w:rsid w:val="667D5F4E"/>
    <w:rsid w:val="6CEB7CE9"/>
    <w:rsid w:val="6DEB154A"/>
    <w:rsid w:val="6E8E5F64"/>
    <w:rsid w:val="70980188"/>
    <w:rsid w:val="74537B41"/>
    <w:rsid w:val="7DA01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next w:val="1"/>
    <w:autoRedefine/>
    <w:qFormat/>
    <w:uiPriority w:val="0"/>
    <w:pPr>
      <w:adjustRightInd w:val="0"/>
      <w:snapToGrid w:val="0"/>
      <w:spacing w:before="156" w:beforeLines="50" w:after="156" w:afterLines="50"/>
      <w:ind w:firstLine="961" w:firstLineChars="200"/>
      <w:jc w:val="center"/>
    </w:pPr>
    <w:rPr>
      <w:rFonts w:ascii="黑体" w:eastAsia="黑体"/>
      <w:b/>
      <w:sz w:val="48"/>
      <w:szCs w:val="36"/>
    </w:rPr>
  </w:style>
  <w:style w:type="paragraph" w:styleId="3">
    <w:name w:val="annotation text"/>
    <w:basedOn w:val="1"/>
    <w:link w:val="13"/>
    <w:autoRedefine/>
    <w:semiHidden/>
    <w:unhideWhenUsed/>
    <w:qFormat/>
    <w:uiPriority w:val="99"/>
    <w:pPr>
      <w:jc w:val="left"/>
    </w:pPr>
  </w:style>
  <w:style w:type="paragraph" w:styleId="4">
    <w:name w:val="Body Text"/>
    <w:basedOn w:val="1"/>
    <w:link w:val="23"/>
    <w:autoRedefine/>
    <w:qFormat/>
    <w:uiPriority w:val="0"/>
    <w:pPr>
      <w:widowControl/>
      <w:kinsoku w:val="0"/>
      <w:autoSpaceDE w:val="0"/>
      <w:autoSpaceDN w:val="0"/>
      <w:adjustRightInd w:val="0"/>
      <w:snapToGrid w:val="0"/>
      <w:jc w:val="left"/>
      <w:textAlignment w:val="baseline"/>
    </w:pPr>
    <w:rPr>
      <w:rFonts w:ascii="楷体" w:hAnsi="楷体" w:eastAsia="楷体" w:cs="楷体"/>
      <w:snapToGrid w:val="0"/>
      <w:color w:val="000000"/>
      <w:kern w:val="0"/>
      <w:szCs w:val="21"/>
      <w:lang w:eastAsia="en-US"/>
    </w:rPr>
  </w:style>
  <w:style w:type="paragraph" w:styleId="5">
    <w:name w:val="Balloon Text"/>
    <w:basedOn w:val="1"/>
    <w:link w:val="15"/>
    <w:autoRedefine/>
    <w:semiHidden/>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4"/>
    <w:autoRedefine/>
    <w:semiHidden/>
    <w:unhideWhenUsed/>
    <w:qFormat/>
    <w:uiPriority w:val="99"/>
    <w:rPr>
      <w:b/>
      <w:bCs/>
    </w:rPr>
  </w:style>
  <w:style w:type="table" w:styleId="10">
    <w:name w:val="Table Grid"/>
    <w:basedOn w:val="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autoRedefine/>
    <w:semiHidden/>
    <w:unhideWhenUsed/>
    <w:qFormat/>
    <w:uiPriority w:val="99"/>
    <w:rPr>
      <w:sz w:val="21"/>
      <w:szCs w:val="21"/>
    </w:rPr>
  </w:style>
  <w:style w:type="character" w:customStyle="1" w:styleId="13">
    <w:name w:val="批注文字 字符"/>
    <w:basedOn w:val="11"/>
    <w:link w:val="3"/>
    <w:autoRedefine/>
    <w:semiHidden/>
    <w:qFormat/>
    <w:uiPriority w:val="99"/>
    <w:rPr>
      <w:rFonts w:ascii="Times New Roman" w:hAnsi="Times New Roman" w:eastAsia="宋体" w:cs="Times New Roman"/>
      <w:szCs w:val="24"/>
    </w:rPr>
  </w:style>
  <w:style w:type="character" w:customStyle="1" w:styleId="14">
    <w:name w:val="批注主题 字符"/>
    <w:basedOn w:val="13"/>
    <w:link w:val="8"/>
    <w:autoRedefine/>
    <w:semiHidden/>
    <w:qFormat/>
    <w:uiPriority w:val="99"/>
    <w:rPr>
      <w:rFonts w:ascii="Times New Roman" w:hAnsi="Times New Roman" w:eastAsia="宋体" w:cs="Times New Roman"/>
      <w:b/>
      <w:bCs/>
      <w:szCs w:val="24"/>
    </w:rPr>
  </w:style>
  <w:style w:type="character" w:customStyle="1" w:styleId="15">
    <w:name w:val="批注框文本 字符"/>
    <w:basedOn w:val="11"/>
    <w:link w:val="5"/>
    <w:autoRedefine/>
    <w:semiHidden/>
    <w:qFormat/>
    <w:uiPriority w:val="99"/>
    <w:rPr>
      <w:rFonts w:ascii="Times New Roman" w:hAnsi="Times New Roman" w:eastAsia="宋体" w:cs="Times New Roman"/>
      <w:sz w:val="18"/>
      <w:szCs w:val="18"/>
    </w:rPr>
  </w:style>
  <w:style w:type="character" w:customStyle="1" w:styleId="16">
    <w:name w:val="页眉 字符"/>
    <w:basedOn w:val="11"/>
    <w:link w:val="7"/>
    <w:autoRedefine/>
    <w:qFormat/>
    <w:uiPriority w:val="99"/>
    <w:rPr>
      <w:rFonts w:ascii="Times New Roman" w:hAnsi="Times New Roman" w:eastAsia="宋体" w:cs="Times New Roman"/>
      <w:sz w:val="18"/>
      <w:szCs w:val="18"/>
    </w:rPr>
  </w:style>
  <w:style w:type="character" w:customStyle="1" w:styleId="17">
    <w:name w:val="页脚 字符"/>
    <w:basedOn w:val="11"/>
    <w:link w:val="6"/>
    <w:autoRedefine/>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fontstyle01"/>
    <w:basedOn w:val="11"/>
    <w:autoRedefine/>
    <w:qFormat/>
    <w:uiPriority w:val="0"/>
    <w:rPr>
      <w:rFonts w:hint="eastAsia" w:ascii="宋体" w:hAnsi="宋体" w:eastAsia="宋体"/>
      <w:color w:val="000000"/>
      <w:sz w:val="24"/>
      <w:szCs w:val="24"/>
    </w:rPr>
  </w:style>
  <w:style w:type="paragraph" w:customStyle="1" w:styleId="20">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1">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2">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23">
    <w:name w:val="正文文本 字符"/>
    <w:basedOn w:val="11"/>
    <w:link w:val="4"/>
    <w:autoRedefine/>
    <w:semiHidden/>
    <w:qFormat/>
    <w:uiPriority w:val="0"/>
    <w:rPr>
      <w:rFonts w:ascii="楷体" w:hAnsi="楷体" w:eastAsia="楷体" w:cs="楷体"/>
      <w:snapToGrid w:val="0"/>
      <w:color w:val="000000"/>
      <w:sz w:val="21"/>
      <w:szCs w:val="21"/>
      <w:lang w:eastAsia="en-US"/>
    </w:rPr>
  </w:style>
  <w:style w:type="paragraph" w:customStyle="1" w:styleId="24">
    <w:name w:val="Table Paragraph"/>
    <w:basedOn w:val="1"/>
    <w:autoRedefine/>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603</Words>
  <Characters>3438</Characters>
  <Lines>28</Lines>
  <Paragraphs>8</Paragraphs>
  <TotalTime>15</TotalTime>
  <ScaleCrop>false</ScaleCrop>
  <LinksUpToDate>false</LinksUpToDate>
  <CharactersWithSpaces>4033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2024-03-05T10:11:00Z</dcterms:created>
  <dc:creator>李若琰</dc:creator>
  <cp:lastModifiedBy>张彦拓</cp:lastModifiedBy>
  <dcterms:modified xsi:type="dcterms:W3CDTF">2024-03-05T14:37:27Z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FD40731C67584CADB5ABDE2AAADA21C1_13</vt:lpwstr>
  </property>
</Properties>
</file>