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D4" w:rsidRDefault="00DB2152">
      <w:pPr>
        <w:spacing w:beforeLines="10" w:before="31" w:line="360" w:lineRule="auto"/>
        <w:rPr>
          <w:rFonts w:ascii="楷体" w:eastAsia="楷体" w:hAnsi="楷体"/>
          <w:b/>
          <w:w w:val="95"/>
          <w:sz w:val="24"/>
        </w:rPr>
      </w:pPr>
      <w:r>
        <w:rPr>
          <w:rFonts w:ascii="楷体" w:eastAsia="楷体" w:hAnsi="楷体" w:cs="宋体" w:hint="eastAsia"/>
          <w:b/>
          <w:w w:val="95"/>
          <w:sz w:val="24"/>
        </w:rPr>
        <w:t xml:space="preserve">证券简称：华盛锂电 </w:t>
      </w:r>
      <w:r>
        <w:rPr>
          <w:rFonts w:ascii="楷体" w:eastAsia="楷体" w:hAnsi="楷体" w:cs="宋体"/>
          <w:b/>
          <w:w w:val="95"/>
          <w:sz w:val="24"/>
        </w:rPr>
        <w:t xml:space="preserve">                                         </w:t>
      </w:r>
      <w:r>
        <w:rPr>
          <w:rFonts w:ascii="楷体" w:eastAsia="楷体" w:hAnsi="楷体" w:cs="宋体" w:hint="eastAsia"/>
          <w:b/>
          <w:w w:val="95"/>
          <w:sz w:val="24"/>
        </w:rPr>
        <w:t>证券代码</w:t>
      </w:r>
      <w:r>
        <w:rPr>
          <w:rFonts w:ascii="楷体" w:eastAsia="楷体" w:hAnsi="楷体"/>
          <w:b/>
          <w:w w:val="95"/>
          <w:sz w:val="24"/>
        </w:rPr>
        <w:t>：</w:t>
      </w:r>
      <w:r>
        <w:rPr>
          <w:rFonts w:ascii="Times New Roman" w:eastAsia="楷体" w:hAnsi="Times New Roman"/>
          <w:b/>
          <w:w w:val="95"/>
          <w:sz w:val="24"/>
        </w:rPr>
        <w:t>688353</w:t>
      </w:r>
    </w:p>
    <w:p w:rsidR="00C947D4" w:rsidRDefault="00C947D4">
      <w:pPr>
        <w:spacing w:beforeLines="10" w:before="31" w:line="360" w:lineRule="auto"/>
        <w:jc w:val="center"/>
        <w:rPr>
          <w:rFonts w:ascii="宋体" w:hAnsi="宋体" w:cs="宋体"/>
          <w:b/>
          <w:w w:val="95"/>
          <w:sz w:val="32"/>
          <w:szCs w:val="32"/>
        </w:rPr>
      </w:pPr>
    </w:p>
    <w:p w:rsidR="00C947D4" w:rsidRDefault="00DB2152">
      <w:pPr>
        <w:spacing w:beforeLines="10" w:before="31" w:line="360" w:lineRule="auto"/>
        <w:jc w:val="center"/>
        <w:rPr>
          <w:rFonts w:ascii="楷体" w:eastAsia="楷体" w:hAnsi="楷体" w:cs="宋体"/>
          <w:b/>
          <w:w w:val="95"/>
          <w:sz w:val="36"/>
          <w:szCs w:val="36"/>
        </w:rPr>
      </w:pPr>
      <w:r>
        <w:rPr>
          <w:rFonts w:ascii="楷体" w:eastAsia="楷体" w:hAnsi="楷体" w:cs="宋体" w:hint="eastAsia"/>
          <w:b/>
          <w:w w:val="95"/>
          <w:sz w:val="36"/>
          <w:szCs w:val="36"/>
        </w:rPr>
        <w:t>江苏华盛锂电材料股份有限公司</w:t>
      </w:r>
    </w:p>
    <w:p w:rsidR="00C947D4" w:rsidRDefault="00DB2152">
      <w:pPr>
        <w:spacing w:line="360" w:lineRule="auto"/>
        <w:jc w:val="center"/>
        <w:rPr>
          <w:rFonts w:ascii="楷体" w:eastAsia="楷体" w:hAnsi="楷体" w:cs="宋体"/>
          <w:b/>
          <w:w w:val="95"/>
          <w:kern w:val="0"/>
          <w:sz w:val="36"/>
          <w:szCs w:val="36"/>
        </w:rPr>
      </w:pPr>
      <w:r>
        <w:rPr>
          <w:rFonts w:ascii="楷体" w:eastAsia="楷体" w:hAnsi="楷体" w:cs="宋体" w:hint="eastAsia"/>
          <w:b/>
          <w:w w:val="95"/>
          <w:kern w:val="0"/>
          <w:sz w:val="36"/>
          <w:szCs w:val="36"/>
        </w:rPr>
        <w:t>投资者关系活动记录表</w:t>
      </w:r>
    </w:p>
    <w:p w:rsidR="00C947D4" w:rsidRDefault="00DB2152">
      <w:pPr>
        <w:tabs>
          <w:tab w:val="left" w:pos="6106"/>
        </w:tabs>
        <w:spacing w:beforeLines="50" w:before="156" w:afterLines="50" w:after="156"/>
        <w:ind w:firstLineChars="100" w:firstLine="240"/>
        <w:jc w:val="right"/>
        <w:rPr>
          <w:rFonts w:ascii="宋体" w:hAnsi="宋体" w:cs="宋体"/>
          <w:sz w:val="24"/>
        </w:rPr>
      </w:pPr>
      <w:r>
        <w:rPr>
          <w:rFonts w:ascii="楷体" w:eastAsia="楷体" w:hAnsi="楷体" w:cs="宋体" w:hint="eastAsia"/>
          <w:sz w:val="24"/>
        </w:rPr>
        <w:t>编号</w:t>
      </w:r>
      <w:r>
        <w:rPr>
          <w:rFonts w:ascii="宋体" w:hAnsi="宋体" w:cs="宋体" w:hint="eastAsia"/>
          <w:sz w:val="24"/>
        </w:rPr>
        <w:t>：</w:t>
      </w:r>
      <w:r>
        <w:rPr>
          <w:rFonts w:ascii="Times New Roman" w:hAnsi="Times New Roman"/>
          <w:sz w:val="24"/>
        </w:rPr>
        <w:t>202</w:t>
      </w:r>
      <w:r w:rsidR="006439B3">
        <w:rPr>
          <w:rFonts w:ascii="Times New Roman" w:hAnsi="Times New Roman" w:hint="eastAsia"/>
          <w:sz w:val="24"/>
        </w:rPr>
        <w:t>4</w:t>
      </w:r>
      <w:r>
        <w:rPr>
          <w:rFonts w:ascii="Times New Roman" w:hAnsi="Times New Roman"/>
          <w:sz w:val="24"/>
        </w:rPr>
        <w:t>-00</w:t>
      </w:r>
      <w:r w:rsidR="000031F2">
        <w:rPr>
          <w:rFonts w:ascii="Times New Roman" w:hAnsi="Times New Roman" w:hint="eastAsia"/>
          <w:sz w:val="24"/>
        </w:rPr>
        <w:t>3</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6855"/>
      </w:tblGrid>
      <w:tr w:rsidR="00C947D4">
        <w:trPr>
          <w:jc w:val="center"/>
        </w:trPr>
        <w:tc>
          <w:tcPr>
            <w:tcW w:w="1617" w:type="dxa"/>
            <w:tcBorders>
              <w:top w:val="single" w:sz="12"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Cs/>
                <w:sz w:val="24"/>
              </w:rPr>
            </w:pPr>
            <w:r>
              <w:rPr>
                <w:rFonts w:ascii="Times New Roman" w:eastAsia="楷体" w:hAnsi="Times New Roman"/>
                <w:b/>
                <w:bCs/>
                <w:sz w:val="24"/>
              </w:rPr>
              <w:t>投资者关系活动类别</w:t>
            </w:r>
          </w:p>
        </w:tc>
        <w:tc>
          <w:tcPr>
            <w:tcW w:w="6855" w:type="dxa"/>
            <w:tcBorders>
              <w:top w:val="single" w:sz="12" w:space="0" w:color="auto"/>
              <w:left w:val="single" w:sz="4" w:space="0" w:color="auto"/>
              <w:bottom w:val="single" w:sz="4" w:space="0" w:color="auto"/>
              <w:right w:val="single" w:sz="12" w:space="0" w:color="auto"/>
            </w:tcBorders>
            <w:vAlign w:val="center"/>
          </w:tcPr>
          <w:p w:rsidR="00C947D4" w:rsidRDefault="00DB2152">
            <w:pPr>
              <w:widowControl/>
              <w:tabs>
                <w:tab w:val="left" w:pos="3480"/>
              </w:tabs>
              <w:spacing w:line="360" w:lineRule="auto"/>
              <w:rPr>
                <w:rFonts w:ascii="Times New Roman" w:eastAsia="楷体" w:hAnsi="Times New Roman"/>
                <w:bCs/>
                <w:sz w:val="24"/>
              </w:rPr>
            </w:pPr>
            <w:r>
              <w:rPr>
                <w:rFonts w:ascii="Times New Roman" w:eastAsia="楷体" w:hAnsi="Times New Roman" w:hint="eastAsia"/>
                <w:bCs/>
                <w:sz w:val="24"/>
              </w:rPr>
              <w:t>√特定对象调研</w:t>
            </w:r>
            <w:r>
              <w:rPr>
                <w:rFonts w:ascii="Times New Roman" w:eastAsia="楷体" w:hAnsi="Times New Roman"/>
                <w:bCs/>
                <w:sz w:val="24"/>
              </w:rPr>
              <w:t xml:space="preserve">   </w:t>
            </w:r>
            <w:r>
              <w:rPr>
                <w:rFonts w:ascii="Times New Roman" w:eastAsia="楷体" w:hAnsi="Times New Roman" w:hint="eastAsia"/>
                <w:bCs/>
                <w:sz w:val="24"/>
              </w:rPr>
              <w:t>□分析师会议</w:t>
            </w:r>
            <w:r>
              <w:rPr>
                <w:rFonts w:ascii="Times New Roman" w:eastAsia="楷体" w:hAnsi="Times New Roman" w:hint="eastAsia"/>
                <w:bCs/>
                <w:sz w:val="24"/>
              </w:rPr>
              <w:t xml:space="preserve"> </w:t>
            </w:r>
            <w:r>
              <w:rPr>
                <w:rFonts w:ascii="Times New Roman" w:eastAsia="楷体" w:hAnsi="Times New Roman"/>
                <w:bCs/>
                <w:sz w:val="24"/>
              </w:rPr>
              <w:t xml:space="preserve">     </w:t>
            </w:r>
            <w:r>
              <w:rPr>
                <w:rFonts w:ascii="Times New Roman" w:eastAsia="楷体" w:hAnsi="Times New Roman" w:hint="eastAsia"/>
                <w:bCs/>
                <w:sz w:val="24"/>
              </w:rPr>
              <w:t>□媒体采访</w:t>
            </w:r>
          </w:p>
          <w:p w:rsidR="00C947D4" w:rsidRDefault="003A4773">
            <w:pPr>
              <w:widowControl/>
              <w:tabs>
                <w:tab w:val="left" w:pos="2040"/>
                <w:tab w:val="left" w:pos="3480"/>
              </w:tabs>
              <w:spacing w:line="360" w:lineRule="auto"/>
              <w:rPr>
                <w:rFonts w:ascii="Times New Roman" w:eastAsia="楷体" w:hAnsi="Times New Roman"/>
                <w:bCs/>
                <w:sz w:val="24"/>
              </w:rPr>
            </w:pPr>
            <w:r>
              <w:rPr>
                <w:rFonts w:ascii="Times New Roman" w:eastAsia="楷体" w:hAnsi="Times New Roman" w:hint="eastAsia"/>
                <w:bCs/>
                <w:sz w:val="24"/>
              </w:rPr>
              <w:t>□</w:t>
            </w:r>
            <w:r w:rsidR="00DB2152">
              <w:rPr>
                <w:rFonts w:ascii="Times New Roman" w:eastAsia="楷体" w:hAnsi="Times New Roman" w:hint="eastAsia"/>
                <w:bCs/>
                <w:sz w:val="24"/>
              </w:rPr>
              <w:t>业绩说明会</w:t>
            </w:r>
            <w:r w:rsidR="00DB2152">
              <w:rPr>
                <w:rFonts w:ascii="Times New Roman" w:eastAsia="楷体" w:hAnsi="Times New Roman"/>
                <w:bCs/>
                <w:sz w:val="24"/>
              </w:rPr>
              <w:t xml:space="preserve">     </w:t>
            </w:r>
            <w:r w:rsidR="00DB2152">
              <w:rPr>
                <w:rFonts w:ascii="Times New Roman" w:eastAsia="楷体" w:hAnsi="Times New Roman" w:hint="eastAsia"/>
                <w:bCs/>
                <w:sz w:val="24"/>
              </w:rPr>
              <w:t>□新闻发布会</w:t>
            </w:r>
            <w:r w:rsidR="00DB2152">
              <w:rPr>
                <w:rFonts w:ascii="Times New Roman" w:eastAsia="楷体" w:hAnsi="Times New Roman" w:hint="eastAsia"/>
                <w:bCs/>
                <w:sz w:val="24"/>
              </w:rPr>
              <w:t xml:space="preserve"> </w:t>
            </w:r>
            <w:r w:rsidR="00DB2152">
              <w:rPr>
                <w:rFonts w:ascii="Times New Roman" w:eastAsia="楷体" w:hAnsi="Times New Roman"/>
                <w:bCs/>
                <w:sz w:val="24"/>
              </w:rPr>
              <w:t xml:space="preserve">     </w:t>
            </w:r>
            <w:r w:rsidR="00DB2152">
              <w:rPr>
                <w:rFonts w:ascii="Times New Roman" w:eastAsia="楷体" w:hAnsi="Times New Roman" w:hint="eastAsia"/>
                <w:bCs/>
                <w:sz w:val="24"/>
              </w:rPr>
              <w:t>□路演活动</w:t>
            </w:r>
          </w:p>
          <w:p w:rsidR="00C947D4" w:rsidRDefault="00DB2152">
            <w:pPr>
              <w:spacing w:line="360" w:lineRule="auto"/>
              <w:rPr>
                <w:rFonts w:ascii="Times New Roman" w:eastAsia="楷体" w:hAnsi="Times New Roman"/>
                <w:bCs/>
                <w:sz w:val="24"/>
              </w:rPr>
            </w:pPr>
            <w:r>
              <w:rPr>
                <w:rFonts w:ascii="Times New Roman" w:eastAsia="楷体" w:hAnsi="Times New Roman" w:hint="eastAsia"/>
                <w:bCs/>
                <w:sz w:val="24"/>
              </w:rPr>
              <w:t>□现场参观</w:t>
            </w:r>
            <w:r>
              <w:rPr>
                <w:rFonts w:ascii="Times New Roman" w:eastAsia="楷体" w:hAnsi="Times New Roman"/>
                <w:bCs/>
                <w:sz w:val="24"/>
              </w:rPr>
              <w:t xml:space="preserve">       </w:t>
            </w:r>
            <w:r>
              <w:rPr>
                <w:rFonts w:ascii="Times New Roman" w:eastAsia="楷体" w:hAnsi="Times New Roman" w:hint="eastAsia"/>
                <w:bCs/>
                <w:sz w:val="24"/>
              </w:rPr>
              <w:t>□一对一沟通</w:t>
            </w:r>
            <w:r>
              <w:rPr>
                <w:rFonts w:ascii="Times New Roman" w:eastAsia="楷体" w:hAnsi="Times New Roman" w:hint="eastAsia"/>
                <w:bCs/>
                <w:sz w:val="24"/>
              </w:rPr>
              <w:t xml:space="preserve"> </w:t>
            </w:r>
            <w:r>
              <w:rPr>
                <w:rFonts w:ascii="Times New Roman" w:eastAsia="楷体" w:hAnsi="Times New Roman"/>
                <w:bCs/>
                <w:sz w:val="24"/>
              </w:rPr>
              <w:t xml:space="preserve">     </w:t>
            </w:r>
            <w:r>
              <w:rPr>
                <w:rFonts w:ascii="Times New Roman" w:eastAsia="楷体" w:hAnsi="Times New Roman" w:hint="eastAsia"/>
                <w:bCs/>
                <w:sz w:val="24"/>
              </w:rPr>
              <w:t>□其他（电话会议）</w:t>
            </w:r>
          </w:p>
        </w:tc>
      </w:tr>
      <w:tr w:rsidR="00C947D4">
        <w:trPr>
          <w:trHeight w:val="751"/>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b/>
                <w:bCs/>
                <w:sz w:val="24"/>
              </w:rPr>
              <w:t>参与单位</w:t>
            </w:r>
            <w:r>
              <w:rPr>
                <w:rFonts w:ascii="Times New Roman" w:eastAsia="楷体" w:hAnsi="Times New Roman" w:hint="eastAsia"/>
                <w:b/>
                <w:bCs/>
                <w:sz w:val="24"/>
              </w:rPr>
              <w:t>及人员</w:t>
            </w:r>
            <w:r>
              <w:rPr>
                <w:rFonts w:ascii="Times New Roman" w:eastAsia="楷体" w:hAnsi="Times New Roman"/>
                <w:b/>
                <w:bCs/>
                <w:sz w:val="24"/>
              </w:rPr>
              <w:t>名称</w:t>
            </w:r>
          </w:p>
        </w:tc>
        <w:tc>
          <w:tcPr>
            <w:tcW w:w="6855" w:type="dxa"/>
            <w:tcBorders>
              <w:top w:val="single" w:sz="4" w:space="0" w:color="auto"/>
              <w:left w:val="single" w:sz="4" w:space="0" w:color="auto"/>
              <w:bottom w:val="single" w:sz="4" w:space="0" w:color="auto"/>
              <w:right w:val="single" w:sz="12" w:space="0" w:color="auto"/>
            </w:tcBorders>
            <w:vAlign w:val="center"/>
          </w:tcPr>
          <w:p w:rsidR="00BC3D46" w:rsidRDefault="000031F2" w:rsidP="00E04B86">
            <w:pPr>
              <w:rPr>
                <w:rFonts w:ascii="Times New Roman" w:eastAsia="楷体" w:hAnsi="Times New Roman"/>
                <w:sz w:val="24"/>
              </w:rPr>
            </w:pPr>
            <w:r>
              <w:rPr>
                <w:rFonts w:ascii="Times New Roman" w:eastAsia="楷体" w:hAnsi="Times New Roman" w:hint="eastAsia"/>
                <w:sz w:val="24"/>
              </w:rPr>
              <w:t>申万宏源证券、东吴证券</w:t>
            </w:r>
          </w:p>
        </w:tc>
      </w:tr>
      <w:tr w:rsidR="00C947D4">
        <w:trPr>
          <w:trHeight w:val="706"/>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b/>
                <w:bCs/>
                <w:sz w:val="24"/>
              </w:rPr>
              <w:t>时间</w:t>
            </w:r>
          </w:p>
        </w:tc>
        <w:tc>
          <w:tcPr>
            <w:tcW w:w="6855" w:type="dxa"/>
            <w:tcBorders>
              <w:top w:val="single" w:sz="4" w:space="0" w:color="auto"/>
              <w:left w:val="single" w:sz="4" w:space="0" w:color="auto"/>
              <w:bottom w:val="single" w:sz="4" w:space="0" w:color="auto"/>
              <w:right w:val="single" w:sz="12" w:space="0" w:color="auto"/>
            </w:tcBorders>
            <w:vAlign w:val="center"/>
          </w:tcPr>
          <w:p w:rsidR="00C947D4" w:rsidRDefault="00DB2152" w:rsidP="000031F2">
            <w:pPr>
              <w:rPr>
                <w:rFonts w:ascii="Times New Roman" w:eastAsia="楷体" w:hAnsi="Times New Roman"/>
                <w:sz w:val="24"/>
              </w:rPr>
            </w:pPr>
            <w:r>
              <w:rPr>
                <w:rFonts w:ascii="Times New Roman" w:eastAsia="楷体" w:hAnsi="Times New Roman" w:hint="eastAsia"/>
                <w:sz w:val="24"/>
              </w:rPr>
              <w:t>202</w:t>
            </w:r>
            <w:r w:rsidR="006439B3">
              <w:rPr>
                <w:rFonts w:ascii="Times New Roman" w:eastAsia="楷体" w:hAnsi="Times New Roman" w:hint="eastAsia"/>
                <w:sz w:val="24"/>
              </w:rPr>
              <w:t>4</w:t>
            </w:r>
            <w:r>
              <w:rPr>
                <w:rFonts w:ascii="Times New Roman" w:eastAsia="楷体" w:hAnsi="Times New Roman"/>
                <w:sz w:val="24"/>
              </w:rPr>
              <w:t>年</w:t>
            </w:r>
            <w:r w:rsidR="000031F2">
              <w:rPr>
                <w:rFonts w:ascii="Times New Roman" w:eastAsia="楷体" w:hAnsi="Times New Roman" w:hint="eastAsia"/>
                <w:sz w:val="24"/>
              </w:rPr>
              <w:t>3</w:t>
            </w:r>
            <w:r>
              <w:rPr>
                <w:rFonts w:ascii="Times New Roman" w:eastAsia="楷体" w:hAnsi="Times New Roman"/>
                <w:sz w:val="24"/>
              </w:rPr>
              <w:t>月</w:t>
            </w:r>
            <w:r w:rsidR="000031F2">
              <w:rPr>
                <w:rFonts w:ascii="Times New Roman" w:eastAsia="楷体" w:hAnsi="Times New Roman" w:hint="eastAsia"/>
                <w:sz w:val="24"/>
              </w:rPr>
              <w:t>6</w:t>
            </w:r>
            <w:r w:rsidR="00E04B86">
              <w:rPr>
                <w:rFonts w:ascii="Times New Roman" w:eastAsia="楷体" w:hAnsi="Times New Roman" w:hint="eastAsia"/>
                <w:sz w:val="24"/>
              </w:rPr>
              <w:t>日</w:t>
            </w:r>
          </w:p>
        </w:tc>
      </w:tr>
      <w:tr w:rsidR="00C947D4">
        <w:trPr>
          <w:trHeight w:val="702"/>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b/>
                <w:bCs/>
                <w:sz w:val="24"/>
              </w:rPr>
              <w:t>地点</w:t>
            </w:r>
          </w:p>
        </w:tc>
        <w:tc>
          <w:tcPr>
            <w:tcW w:w="6855" w:type="dxa"/>
            <w:tcBorders>
              <w:top w:val="single" w:sz="4" w:space="0" w:color="auto"/>
              <w:left w:val="single" w:sz="4" w:space="0" w:color="auto"/>
              <w:bottom w:val="single" w:sz="4" w:space="0" w:color="auto"/>
              <w:right w:val="single" w:sz="12" w:space="0" w:color="auto"/>
            </w:tcBorders>
            <w:vAlign w:val="center"/>
          </w:tcPr>
          <w:p w:rsidR="00C947D4" w:rsidRDefault="00DB2152" w:rsidP="006439B3">
            <w:pPr>
              <w:rPr>
                <w:rFonts w:ascii="Times New Roman" w:eastAsia="楷体" w:hAnsi="Times New Roman"/>
                <w:sz w:val="24"/>
              </w:rPr>
            </w:pPr>
            <w:r>
              <w:rPr>
                <w:rFonts w:ascii="Times New Roman" w:eastAsia="楷体" w:hAnsi="Times New Roman"/>
                <w:sz w:val="24"/>
              </w:rPr>
              <w:t>江苏华盛锂电材料股份有限公司</w:t>
            </w:r>
            <w:r w:rsidR="006439B3">
              <w:rPr>
                <w:rFonts w:ascii="Times New Roman" w:eastAsia="楷体" w:hAnsi="Times New Roman" w:hint="eastAsia"/>
                <w:sz w:val="24"/>
              </w:rPr>
              <w:t>三期会议室</w:t>
            </w:r>
          </w:p>
        </w:tc>
      </w:tr>
      <w:tr w:rsidR="00C947D4">
        <w:trPr>
          <w:trHeight w:val="711"/>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b/>
                <w:bCs/>
                <w:sz w:val="24"/>
              </w:rPr>
              <w:t>公司接待人员姓名</w:t>
            </w:r>
          </w:p>
        </w:tc>
        <w:tc>
          <w:tcPr>
            <w:tcW w:w="6855" w:type="dxa"/>
            <w:tcBorders>
              <w:top w:val="single" w:sz="4" w:space="0" w:color="auto"/>
              <w:left w:val="single" w:sz="4" w:space="0" w:color="auto"/>
              <w:bottom w:val="single" w:sz="4" w:space="0" w:color="auto"/>
              <w:right w:val="single" w:sz="12" w:space="0" w:color="auto"/>
            </w:tcBorders>
            <w:vAlign w:val="center"/>
          </w:tcPr>
          <w:p w:rsidR="008B5547" w:rsidRDefault="008B5547" w:rsidP="00DB2152">
            <w:pPr>
              <w:spacing w:beforeLines="50" w:before="156" w:afterLines="50" w:after="156"/>
              <w:rPr>
                <w:rFonts w:ascii="Times New Roman" w:eastAsia="楷体" w:hAnsi="Times New Roman"/>
                <w:sz w:val="24"/>
              </w:rPr>
            </w:pPr>
            <w:r w:rsidRPr="008B5547">
              <w:rPr>
                <w:rFonts w:ascii="Times New Roman" w:eastAsia="楷体" w:hAnsi="Times New Roman" w:hint="eastAsia"/>
                <w:sz w:val="24"/>
              </w:rPr>
              <w:t>副总经理、董事会秘书：黄振东</w:t>
            </w:r>
          </w:p>
          <w:p w:rsidR="00C947D4" w:rsidRDefault="003A4773" w:rsidP="00DB2152">
            <w:pPr>
              <w:spacing w:beforeLines="50" w:before="156" w:afterLines="50" w:after="156"/>
              <w:rPr>
                <w:rFonts w:ascii="Times New Roman" w:eastAsia="楷体" w:hAnsi="Times New Roman"/>
                <w:sz w:val="24"/>
              </w:rPr>
            </w:pPr>
            <w:r>
              <w:rPr>
                <w:rFonts w:ascii="Times New Roman" w:eastAsia="楷体" w:hAnsi="Times New Roman" w:hint="eastAsia"/>
                <w:sz w:val="24"/>
              </w:rPr>
              <w:t>证券事务代表：陆海媛</w:t>
            </w:r>
          </w:p>
        </w:tc>
      </w:tr>
      <w:tr w:rsidR="00C947D4">
        <w:trPr>
          <w:trHeight w:val="821"/>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b/>
                <w:bCs/>
                <w:sz w:val="24"/>
              </w:rPr>
              <w:t>投资者关系活动主要内容介绍</w:t>
            </w:r>
          </w:p>
        </w:tc>
        <w:tc>
          <w:tcPr>
            <w:tcW w:w="6855" w:type="dxa"/>
            <w:tcBorders>
              <w:top w:val="single" w:sz="4" w:space="0" w:color="auto"/>
              <w:left w:val="single" w:sz="4" w:space="0" w:color="auto"/>
              <w:bottom w:val="single" w:sz="4" w:space="0" w:color="auto"/>
              <w:right w:val="single" w:sz="12" w:space="0" w:color="auto"/>
            </w:tcBorders>
            <w:vAlign w:val="center"/>
          </w:tcPr>
          <w:p w:rsidR="00C947D4" w:rsidRPr="00E04B86" w:rsidRDefault="00E04B86" w:rsidP="004A033B">
            <w:pPr>
              <w:adjustRightInd w:val="0"/>
              <w:snapToGrid w:val="0"/>
              <w:spacing w:line="360" w:lineRule="auto"/>
              <w:ind w:firstLine="440"/>
              <w:rPr>
                <w:rFonts w:ascii="楷体" w:eastAsia="楷体" w:hAnsi="楷体"/>
                <w:sz w:val="24"/>
                <w:shd w:val="clear" w:color="auto" w:fill="FFFFFF"/>
              </w:rPr>
            </w:pPr>
            <w:r w:rsidRPr="00E04B86">
              <w:rPr>
                <w:rFonts w:ascii="楷体" w:eastAsia="楷体" w:hAnsi="楷体" w:hint="eastAsia"/>
                <w:sz w:val="24"/>
                <w:shd w:val="clear" w:color="auto" w:fill="FFFFFF"/>
              </w:rPr>
              <w:t>本次投资者交流会中，投资者重点关注的问题及公司的回复要点如下：</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1、公司2023年业绩下滑的原因是什么？</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答：公司主要产品碳酸亚乙烯酯（VC）和氟代碳酸乙烯酯（FEC）的销量同比增加约44%，但新能源添加剂市场竞争激烈，国内各生产企业产能扩张和释放速度阶段性大于市场增长速度，公司主要产品销售价格出现大幅下降，同时因公司新增产能的投产，相应折旧费用增加导致单位成本上涨，叠加存货跌价影响因素，因此公司2023年度业绩出现下滑。</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 xml:space="preserve">2、公司对2024年的市场需求有何展望？ </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答：尽管电解液添加剂市场竞争激烈，国内各生产企业产能</w:t>
            </w:r>
            <w:r w:rsidRPr="000031F2">
              <w:rPr>
                <w:rFonts w:ascii="楷体" w:eastAsia="楷体" w:hAnsi="楷体" w:hint="eastAsia"/>
                <w:sz w:val="24"/>
                <w:shd w:val="clear" w:color="auto" w:fill="FFFFFF"/>
              </w:rPr>
              <w:lastRenderedPageBreak/>
              <w:t>扩张和释放速度阶段性大于市场增长速度，但中国新能源汽车仍然处于快速发展的过程中，公司十分看好行业的发展前景。</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3、请问原材料价格波动对公司业绩的影响大吗？</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答：公司添加剂的主要原材料包括碳酸乙烯酯、碳酸二甲酯、氢氧化钾、液碱、三乙胺等。原材料价格的波动对业绩的影响较小，公司业绩下滑主要是国内各生产企业产能扩张和释放速度阶段性大于市场增长速度，产品销售价格出现大幅下降所致。</w:t>
            </w:r>
          </w:p>
          <w:p w:rsidR="000031F2"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4、目前负极领域竞争激烈，公司的负极产品相对璞泰来、贝特瑞等龙头企业的核心竞争力是什么?</w:t>
            </w:r>
          </w:p>
          <w:p w:rsidR="008B5547" w:rsidRPr="000031F2" w:rsidRDefault="000031F2" w:rsidP="000031F2">
            <w:pPr>
              <w:adjustRightInd w:val="0"/>
              <w:snapToGrid w:val="0"/>
              <w:spacing w:line="360" w:lineRule="auto"/>
              <w:ind w:firstLineChars="200" w:firstLine="480"/>
              <w:rPr>
                <w:rFonts w:ascii="楷体" w:eastAsia="楷体" w:hAnsi="楷体"/>
                <w:sz w:val="24"/>
                <w:shd w:val="clear" w:color="auto" w:fill="FFFFFF"/>
              </w:rPr>
            </w:pPr>
            <w:r w:rsidRPr="000031F2">
              <w:rPr>
                <w:rFonts w:ascii="楷体" w:eastAsia="楷体" w:hAnsi="楷体" w:hint="eastAsia"/>
                <w:sz w:val="24"/>
                <w:shd w:val="clear" w:color="auto" w:fill="FFFFFF"/>
              </w:rPr>
              <w:t>答：公司子公司华赢新能源通过自主研发，开发出有机分子嫁接技术，在石墨表面构建一层功能分子界面膜，可以有效地抑制电极充放电过程中的副反应，增强石墨负极的稳定性。经过验证，该技术可有效提升石墨的首次库伦效率，延长电池的循环寿命，降低电池的自放电，提升电池的稳定性和安全性。其核心创新技术2021年获得江苏省科学技术奖三等奖。</w:t>
            </w:r>
          </w:p>
        </w:tc>
      </w:tr>
      <w:tr w:rsidR="00C947D4">
        <w:trPr>
          <w:trHeight w:val="821"/>
          <w:jc w:val="center"/>
        </w:trPr>
        <w:tc>
          <w:tcPr>
            <w:tcW w:w="1617" w:type="dxa"/>
            <w:tcBorders>
              <w:top w:val="single" w:sz="4" w:space="0" w:color="auto"/>
              <w:left w:val="single" w:sz="12" w:space="0" w:color="auto"/>
              <w:bottom w:val="single" w:sz="4"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hint="eastAsia"/>
                <w:b/>
                <w:bCs/>
                <w:sz w:val="24"/>
              </w:rPr>
              <w:lastRenderedPageBreak/>
              <w:t>附件清单（如有）</w:t>
            </w:r>
          </w:p>
        </w:tc>
        <w:tc>
          <w:tcPr>
            <w:tcW w:w="6855" w:type="dxa"/>
            <w:tcBorders>
              <w:top w:val="single" w:sz="4" w:space="0" w:color="auto"/>
              <w:left w:val="single" w:sz="4" w:space="0" w:color="auto"/>
              <w:bottom w:val="single" w:sz="4" w:space="0" w:color="auto"/>
              <w:right w:val="single" w:sz="12" w:space="0" w:color="auto"/>
            </w:tcBorders>
            <w:vAlign w:val="center"/>
          </w:tcPr>
          <w:p w:rsidR="00C947D4" w:rsidRDefault="00DB2152">
            <w:pPr>
              <w:rPr>
                <w:rFonts w:ascii="Times New Roman" w:eastAsia="楷体" w:hAnsi="Times New Roman"/>
                <w:sz w:val="24"/>
              </w:rPr>
            </w:pPr>
            <w:r>
              <w:rPr>
                <w:rFonts w:ascii="Times New Roman" w:eastAsia="楷体" w:hAnsi="Times New Roman"/>
                <w:sz w:val="24"/>
              </w:rPr>
              <w:t>无</w:t>
            </w:r>
          </w:p>
        </w:tc>
      </w:tr>
      <w:tr w:rsidR="00C947D4">
        <w:trPr>
          <w:trHeight w:val="821"/>
          <w:jc w:val="center"/>
        </w:trPr>
        <w:tc>
          <w:tcPr>
            <w:tcW w:w="1617" w:type="dxa"/>
            <w:tcBorders>
              <w:top w:val="single" w:sz="4" w:space="0" w:color="auto"/>
              <w:left w:val="single" w:sz="12" w:space="0" w:color="auto"/>
              <w:bottom w:val="single" w:sz="12" w:space="0" w:color="auto"/>
              <w:right w:val="single" w:sz="4" w:space="0" w:color="auto"/>
            </w:tcBorders>
            <w:vAlign w:val="center"/>
          </w:tcPr>
          <w:p w:rsidR="00C947D4" w:rsidRDefault="00DB2152">
            <w:pPr>
              <w:jc w:val="center"/>
              <w:rPr>
                <w:rFonts w:ascii="Times New Roman" w:eastAsia="楷体" w:hAnsi="Times New Roman"/>
                <w:b/>
                <w:bCs/>
                <w:sz w:val="24"/>
              </w:rPr>
            </w:pPr>
            <w:r>
              <w:rPr>
                <w:rFonts w:ascii="Times New Roman" w:eastAsia="楷体" w:hAnsi="Times New Roman" w:hint="eastAsia"/>
                <w:b/>
                <w:bCs/>
                <w:sz w:val="24"/>
              </w:rPr>
              <w:t>日期</w:t>
            </w:r>
          </w:p>
        </w:tc>
        <w:tc>
          <w:tcPr>
            <w:tcW w:w="6855" w:type="dxa"/>
            <w:tcBorders>
              <w:top w:val="single" w:sz="4" w:space="0" w:color="auto"/>
              <w:left w:val="single" w:sz="4" w:space="0" w:color="auto"/>
              <w:bottom w:val="single" w:sz="12" w:space="0" w:color="auto"/>
              <w:right w:val="single" w:sz="12" w:space="0" w:color="auto"/>
            </w:tcBorders>
            <w:vAlign w:val="center"/>
          </w:tcPr>
          <w:p w:rsidR="00C947D4" w:rsidRDefault="00DB2152" w:rsidP="000031F2">
            <w:pPr>
              <w:rPr>
                <w:rFonts w:ascii="Times New Roman" w:eastAsia="楷体" w:hAnsi="Times New Roman"/>
                <w:sz w:val="24"/>
              </w:rPr>
            </w:pPr>
            <w:r>
              <w:rPr>
                <w:rFonts w:ascii="Times New Roman" w:eastAsia="楷体" w:hAnsi="Times New Roman" w:hint="eastAsia"/>
                <w:sz w:val="24"/>
              </w:rPr>
              <w:t>202</w:t>
            </w:r>
            <w:r w:rsidR="006439B3">
              <w:rPr>
                <w:rFonts w:ascii="Times New Roman" w:eastAsia="楷体" w:hAnsi="Times New Roman" w:hint="eastAsia"/>
                <w:sz w:val="24"/>
              </w:rPr>
              <w:t>4</w:t>
            </w:r>
            <w:r>
              <w:rPr>
                <w:rFonts w:ascii="Times New Roman" w:eastAsia="楷体" w:hAnsi="Times New Roman"/>
                <w:sz w:val="24"/>
              </w:rPr>
              <w:t>年</w:t>
            </w:r>
            <w:r w:rsidR="000031F2">
              <w:rPr>
                <w:rFonts w:ascii="Times New Roman" w:eastAsia="楷体" w:hAnsi="Times New Roman" w:hint="eastAsia"/>
                <w:sz w:val="24"/>
              </w:rPr>
              <w:t>3</w:t>
            </w:r>
            <w:r>
              <w:rPr>
                <w:rFonts w:ascii="Times New Roman" w:eastAsia="楷体" w:hAnsi="Times New Roman"/>
                <w:sz w:val="24"/>
              </w:rPr>
              <w:t>月</w:t>
            </w:r>
            <w:r w:rsidR="000031F2">
              <w:rPr>
                <w:rFonts w:ascii="Times New Roman" w:eastAsia="楷体" w:hAnsi="Times New Roman" w:hint="eastAsia"/>
                <w:sz w:val="24"/>
              </w:rPr>
              <w:t>6</w:t>
            </w:r>
            <w:r w:rsidR="00E04B86">
              <w:rPr>
                <w:rFonts w:ascii="Times New Roman" w:eastAsia="楷体" w:hAnsi="Times New Roman" w:hint="eastAsia"/>
                <w:sz w:val="24"/>
              </w:rPr>
              <w:t>日</w:t>
            </w:r>
            <w:bookmarkStart w:id="0" w:name="_GoBack"/>
            <w:bookmarkEnd w:id="0"/>
          </w:p>
        </w:tc>
      </w:tr>
    </w:tbl>
    <w:p w:rsidR="00C947D4" w:rsidRDefault="00C947D4">
      <w:pPr>
        <w:widowControl/>
        <w:jc w:val="left"/>
      </w:pPr>
    </w:p>
    <w:sectPr w:rsidR="00C947D4">
      <w:headerReference w:type="default" r:id="rId9"/>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5D" w:rsidRDefault="00A3565D">
      <w:r>
        <w:separator/>
      </w:r>
    </w:p>
  </w:endnote>
  <w:endnote w:type="continuationSeparator" w:id="0">
    <w:p w:rsidR="00A3565D" w:rsidRDefault="00A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5D" w:rsidRDefault="00A3565D">
      <w:r>
        <w:separator/>
      </w:r>
    </w:p>
  </w:footnote>
  <w:footnote w:type="continuationSeparator" w:id="0">
    <w:p w:rsidR="00A3565D" w:rsidRDefault="00A3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2" w:rsidRDefault="00DB2152">
    <w:pPr>
      <w:pStyle w:val="a6"/>
      <w:rPr>
        <w:rFonts w:ascii="楷体" w:eastAsia="楷体" w:hAnsi="楷体"/>
      </w:rPr>
    </w:pPr>
    <w:r>
      <w:rPr>
        <w:rFonts w:ascii="楷体" w:eastAsia="楷体" w:hAnsi="楷体" w:hint="eastAsia"/>
      </w:rPr>
      <w:t xml:space="preserve">江苏华盛锂电材料股份有限公司 </w:t>
    </w:r>
    <w:r>
      <w:rPr>
        <w:rFonts w:ascii="楷体" w:eastAsia="楷体" w:hAnsi="楷体"/>
      </w:rPr>
      <w:t xml:space="preserve">                                               </w:t>
    </w:r>
    <w:r>
      <w:rPr>
        <w:rFonts w:ascii="楷体" w:eastAsia="楷体" w:hAnsi="楷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18"/>
    <w:rsid w:val="000031F2"/>
    <w:rsid w:val="000076A8"/>
    <w:rsid w:val="0001396B"/>
    <w:rsid w:val="00013B2C"/>
    <w:rsid w:val="000251BC"/>
    <w:rsid w:val="0002600A"/>
    <w:rsid w:val="00031EDC"/>
    <w:rsid w:val="00032FBF"/>
    <w:rsid w:val="0004190F"/>
    <w:rsid w:val="0006665D"/>
    <w:rsid w:val="000752AD"/>
    <w:rsid w:val="000B7145"/>
    <w:rsid w:val="000C0917"/>
    <w:rsid w:val="000D1EEA"/>
    <w:rsid w:val="000E0A29"/>
    <w:rsid w:val="000E4A02"/>
    <w:rsid w:val="000F7A15"/>
    <w:rsid w:val="00106CE5"/>
    <w:rsid w:val="00110AC1"/>
    <w:rsid w:val="00110FC0"/>
    <w:rsid w:val="00114A39"/>
    <w:rsid w:val="00114B26"/>
    <w:rsid w:val="00121DE3"/>
    <w:rsid w:val="00127A0C"/>
    <w:rsid w:val="0013291D"/>
    <w:rsid w:val="001356DC"/>
    <w:rsid w:val="00135DE9"/>
    <w:rsid w:val="00136571"/>
    <w:rsid w:val="0014063C"/>
    <w:rsid w:val="001716C9"/>
    <w:rsid w:val="00172A27"/>
    <w:rsid w:val="001764CF"/>
    <w:rsid w:val="00180E8C"/>
    <w:rsid w:val="001C3E04"/>
    <w:rsid w:val="001C65A5"/>
    <w:rsid w:val="001D107B"/>
    <w:rsid w:val="001D76A0"/>
    <w:rsid w:val="002051B0"/>
    <w:rsid w:val="00214F3F"/>
    <w:rsid w:val="0021568D"/>
    <w:rsid w:val="002421F3"/>
    <w:rsid w:val="0025795E"/>
    <w:rsid w:val="002707AC"/>
    <w:rsid w:val="002A5DDA"/>
    <w:rsid w:val="002B1EA1"/>
    <w:rsid w:val="002B2792"/>
    <w:rsid w:val="002B5738"/>
    <w:rsid w:val="003046C0"/>
    <w:rsid w:val="003146EB"/>
    <w:rsid w:val="003168B2"/>
    <w:rsid w:val="00342805"/>
    <w:rsid w:val="00356C12"/>
    <w:rsid w:val="0036096D"/>
    <w:rsid w:val="00362CEE"/>
    <w:rsid w:val="003712F0"/>
    <w:rsid w:val="00372B7B"/>
    <w:rsid w:val="00382BB7"/>
    <w:rsid w:val="00384A01"/>
    <w:rsid w:val="00385F42"/>
    <w:rsid w:val="003864BC"/>
    <w:rsid w:val="00391142"/>
    <w:rsid w:val="00394720"/>
    <w:rsid w:val="003A22AA"/>
    <w:rsid w:val="003A4773"/>
    <w:rsid w:val="003C56D1"/>
    <w:rsid w:val="003D2184"/>
    <w:rsid w:val="003E55B6"/>
    <w:rsid w:val="003E6473"/>
    <w:rsid w:val="003F6DC0"/>
    <w:rsid w:val="00402082"/>
    <w:rsid w:val="00415566"/>
    <w:rsid w:val="0042296F"/>
    <w:rsid w:val="00426B09"/>
    <w:rsid w:val="00432FC9"/>
    <w:rsid w:val="004413F5"/>
    <w:rsid w:val="00452094"/>
    <w:rsid w:val="00453D13"/>
    <w:rsid w:val="00456D35"/>
    <w:rsid w:val="00461E20"/>
    <w:rsid w:val="004646BB"/>
    <w:rsid w:val="00464AC6"/>
    <w:rsid w:val="004672FD"/>
    <w:rsid w:val="00476C84"/>
    <w:rsid w:val="004853F9"/>
    <w:rsid w:val="0049067C"/>
    <w:rsid w:val="00496215"/>
    <w:rsid w:val="00496ED9"/>
    <w:rsid w:val="004A033B"/>
    <w:rsid w:val="004A215B"/>
    <w:rsid w:val="004A227A"/>
    <w:rsid w:val="004B35E2"/>
    <w:rsid w:val="004B42FE"/>
    <w:rsid w:val="004C7EAD"/>
    <w:rsid w:val="004D001F"/>
    <w:rsid w:val="004D3F22"/>
    <w:rsid w:val="004D45FF"/>
    <w:rsid w:val="004E3115"/>
    <w:rsid w:val="004F3029"/>
    <w:rsid w:val="0050067C"/>
    <w:rsid w:val="005026B6"/>
    <w:rsid w:val="00502E9C"/>
    <w:rsid w:val="00520FE3"/>
    <w:rsid w:val="0052527D"/>
    <w:rsid w:val="00530F80"/>
    <w:rsid w:val="00532959"/>
    <w:rsid w:val="005515C2"/>
    <w:rsid w:val="00556BB3"/>
    <w:rsid w:val="0056159D"/>
    <w:rsid w:val="00563FA2"/>
    <w:rsid w:val="005703A5"/>
    <w:rsid w:val="005761E2"/>
    <w:rsid w:val="005858D9"/>
    <w:rsid w:val="0059023D"/>
    <w:rsid w:val="00593A35"/>
    <w:rsid w:val="005B02EB"/>
    <w:rsid w:val="005C7A1B"/>
    <w:rsid w:val="005D4B0E"/>
    <w:rsid w:val="0060293E"/>
    <w:rsid w:val="00605E6F"/>
    <w:rsid w:val="00612D1C"/>
    <w:rsid w:val="00613EDC"/>
    <w:rsid w:val="0062262A"/>
    <w:rsid w:val="006264DF"/>
    <w:rsid w:val="00627ADB"/>
    <w:rsid w:val="006439B3"/>
    <w:rsid w:val="00646058"/>
    <w:rsid w:val="006469A4"/>
    <w:rsid w:val="00661F6B"/>
    <w:rsid w:val="00664FF6"/>
    <w:rsid w:val="006655B9"/>
    <w:rsid w:val="006672F6"/>
    <w:rsid w:val="006B0D03"/>
    <w:rsid w:val="006B22F5"/>
    <w:rsid w:val="006C7C57"/>
    <w:rsid w:val="006D2E8D"/>
    <w:rsid w:val="006D389E"/>
    <w:rsid w:val="0071100A"/>
    <w:rsid w:val="00711238"/>
    <w:rsid w:val="0071206F"/>
    <w:rsid w:val="00712771"/>
    <w:rsid w:val="00720F84"/>
    <w:rsid w:val="0073320D"/>
    <w:rsid w:val="00736A80"/>
    <w:rsid w:val="00742D08"/>
    <w:rsid w:val="00744CAC"/>
    <w:rsid w:val="007460EB"/>
    <w:rsid w:val="00746C2A"/>
    <w:rsid w:val="007477DF"/>
    <w:rsid w:val="007713DA"/>
    <w:rsid w:val="00792EEF"/>
    <w:rsid w:val="007A4530"/>
    <w:rsid w:val="007A6F30"/>
    <w:rsid w:val="007A7D7C"/>
    <w:rsid w:val="007B371D"/>
    <w:rsid w:val="007B4CF9"/>
    <w:rsid w:val="007C1B43"/>
    <w:rsid w:val="007D738A"/>
    <w:rsid w:val="007F2858"/>
    <w:rsid w:val="007F717B"/>
    <w:rsid w:val="007F74C6"/>
    <w:rsid w:val="007F7552"/>
    <w:rsid w:val="00800D77"/>
    <w:rsid w:val="00804834"/>
    <w:rsid w:val="00804B8F"/>
    <w:rsid w:val="00804DE1"/>
    <w:rsid w:val="008057B4"/>
    <w:rsid w:val="008414A2"/>
    <w:rsid w:val="00854B7A"/>
    <w:rsid w:val="00870B23"/>
    <w:rsid w:val="00891E31"/>
    <w:rsid w:val="00896842"/>
    <w:rsid w:val="008A10B2"/>
    <w:rsid w:val="008B1C28"/>
    <w:rsid w:val="008B5547"/>
    <w:rsid w:val="008C24CC"/>
    <w:rsid w:val="008C7A2E"/>
    <w:rsid w:val="008C7E7C"/>
    <w:rsid w:val="008D1D7F"/>
    <w:rsid w:val="008F64E9"/>
    <w:rsid w:val="008F77EE"/>
    <w:rsid w:val="00904EA2"/>
    <w:rsid w:val="00940831"/>
    <w:rsid w:val="00950339"/>
    <w:rsid w:val="00960FAA"/>
    <w:rsid w:val="009626AA"/>
    <w:rsid w:val="0097726C"/>
    <w:rsid w:val="0098145D"/>
    <w:rsid w:val="00981912"/>
    <w:rsid w:val="009830FD"/>
    <w:rsid w:val="009918C4"/>
    <w:rsid w:val="009A084D"/>
    <w:rsid w:val="009B005C"/>
    <w:rsid w:val="009B0125"/>
    <w:rsid w:val="009B58AF"/>
    <w:rsid w:val="009C379C"/>
    <w:rsid w:val="009D40D8"/>
    <w:rsid w:val="009D718A"/>
    <w:rsid w:val="009E1B35"/>
    <w:rsid w:val="009E74AD"/>
    <w:rsid w:val="009F29D5"/>
    <w:rsid w:val="009F3DC7"/>
    <w:rsid w:val="009F3F06"/>
    <w:rsid w:val="00A02568"/>
    <w:rsid w:val="00A04DD5"/>
    <w:rsid w:val="00A05634"/>
    <w:rsid w:val="00A127DE"/>
    <w:rsid w:val="00A24A6E"/>
    <w:rsid w:val="00A3565D"/>
    <w:rsid w:val="00A55870"/>
    <w:rsid w:val="00A62859"/>
    <w:rsid w:val="00A6428F"/>
    <w:rsid w:val="00A73B46"/>
    <w:rsid w:val="00A75413"/>
    <w:rsid w:val="00A82D19"/>
    <w:rsid w:val="00A87B8F"/>
    <w:rsid w:val="00A9103F"/>
    <w:rsid w:val="00A93B61"/>
    <w:rsid w:val="00A950CC"/>
    <w:rsid w:val="00A96029"/>
    <w:rsid w:val="00AA1054"/>
    <w:rsid w:val="00AB3F05"/>
    <w:rsid w:val="00AC1815"/>
    <w:rsid w:val="00AC36A7"/>
    <w:rsid w:val="00AE1D23"/>
    <w:rsid w:val="00AF121D"/>
    <w:rsid w:val="00B029F9"/>
    <w:rsid w:val="00B0524B"/>
    <w:rsid w:val="00B16C30"/>
    <w:rsid w:val="00B203CE"/>
    <w:rsid w:val="00B273B0"/>
    <w:rsid w:val="00B418A3"/>
    <w:rsid w:val="00B4214A"/>
    <w:rsid w:val="00B533A2"/>
    <w:rsid w:val="00B5658A"/>
    <w:rsid w:val="00B62C32"/>
    <w:rsid w:val="00B64DFA"/>
    <w:rsid w:val="00B80D78"/>
    <w:rsid w:val="00B85A0D"/>
    <w:rsid w:val="00B86663"/>
    <w:rsid w:val="00B90446"/>
    <w:rsid w:val="00BA14F2"/>
    <w:rsid w:val="00BA5BFE"/>
    <w:rsid w:val="00BA7DD1"/>
    <w:rsid w:val="00BB4944"/>
    <w:rsid w:val="00BC3D46"/>
    <w:rsid w:val="00BD0C60"/>
    <w:rsid w:val="00BE08B7"/>
    <w:rsid w:val="00BE2645"/>
    <w:rsid w:val="00BE67F0"/>
    <w:rsid w:val="00C064EA"/>
    <w:rsid w:val="00C3372B"/>
    <w:rsid w:val="00C358B5"/>
    <w:rsid w:val="00C42CBD"/>
    <w:rsid w:val="00C4451C"/>
    <w:rsid w:val="00C510B0"/>
    <w:rsid w:val="00C51B18"/>
    <w:rsid w:val="00C5461F"/>
    <w:rsid w:val="00C61A3F"/>
    <w:rsid w:val="00C63FD3"/>
    <w:rsid w:val="00C70626"/>
    <w:rsid w:val="00C80A5E"/>
    <w:rsid w:val="00C947D4"/>
    <w:rsid w:val="00C95434"/>
    <w:rsid w:val="00CA27D4"/>
    <w:rsid w:val="00CA6F63"/>
    <w:rsid w:val="00CC62F4"/>
    <w:rsid w:val="00CC75B4"/>
    <w:rsid w:val="00CE3455"/>
    <w:rsid w:val="00CF0E73"/>
    <w:rsid w:val="00CF47E1"/>
    <w:rsid w:val="00CF6E94"/>
    <w:rsid w:val="00D0634E"/>
    <w:rsid w:val="00D1386F"/>
    <w:rsid w:val="00D156EC"/>
    <w:rsid w:val="00D320C3"/>
    <w:rsid w:val="00D57B48"/>
    <w:rsid w:val="00D83A19"/>
    <w:rsid w:val="00DA0D89"/>
    <w:rsid w:val="00DA3C8F"/>
    <w:rsid w:val="00DB2152"/>
    <w:rsid w:val="00DB35E3"/>
    <w:rsid w:val="00DB738F"/>
    <w:rsid w:val="00DC6FE4"/>
    <w:rsid w:val="00DD0014"/>
    <w:rsid w:val="00DD1BCC"/>
    <w:rsid w:val="00DD5690"/>
    <w:rsid w:val="00DD5E20"/>
    <w:rsid w:val="00DE1B2B"/>
    <w:rsid w:val="00DE7187"/>
    <w:rsid w:val="00DF0E83"/>
    <w:rsid w:val="00DF2823"/>
    <w:rsid w:val="00DF3D1C"/>
    <w:rsid w:val="00DF595E"/>
    <w:rsid w:val="00E04B86"/>
    <w:rsid w:val="00E055F9"/>
    <w:rsid w:val="00E11158"/>
    <w:rsid w:val="00E23166"/>
    <w:rsid w:val="00E27593"/>
    <w:rsid w:val="00E33B82"/>
    <w:rsid w:val="00E37D7D"/>
    <w:rsid w:val="00E42839"/>
    <w:rsid w:val="00E43D1B"/>
    <w:rsid w:val="00E43E56"/>
    <w:rsid w:val="00E46E07"/>
    <w:rsid w:val="00E509DB"/>
    <w:rsid w:val="00E51087"/>
    <w:rsid w:val="00E5460E"/>
    <w:rsid w:val="00E751D8"/>
    <w:rsid w:val="00E90C93"/>
    <w:rsid w:val="00E91FB3"/>
    <w:rsid w:val="00E9483C"/>
    <w:rsid w:val="00E95915"/>
    <w:rsid w:val="00EA151C"/>
    <w:rsid w:val="00EA7263"/>
    <w:rsid w:val="00EC7D20"/>
    <w:rsid w:val="00ED4235"/>
    <w:rsid w:val="00EE0078"/>
    <w:rsid w:val="00EE1486"/>
    <w:rsid w:val="00EE5C90"/>
    <w:rsid w:val="00EE7267"/>
    <w:rsid w:val="00EF18FB"/>
    <w:rsid w:val="00F05D98"/>
    <w:rsid w:val="00F3084E"/>
    <w:rsid w:val="00F347DB"/>
    <w:rsid w:val="00F3591D"/>
    <w:rsid w:val="00F572D6"/>
    <w:rsid w:val="00F6067C"/>
    <w:rsid w:val="00F6299C"/>
    <w:rsid w:val="00F65DD0"/>
    <w:rsid w:val="00F67637"/>
    <w:rsid w:val="00F739E9"/>
    <w:rsid w:val="00F7709D"/>
    <w:rsid w:val="00F838D5"/>
    <w:rsid w:val="00FA5733"/>
    <w:rsid w:val="00FA5D36"/>
    <w:rsid w:val="00FB0456"/>
    <w:rsid w:val="00FD02B3"/>
    <w:rsid w:val="00FD33E7"/>
    <w:rsid w:val="00FE2E5A"/>
    <w:rsid w:val="00FF4AE9"/>
    <w:rsid w:val="00FF5BE3"/>
    <w:rsid w:val="23DB3F63"/>
    <w:rsid w:val="24465EFD"/>
    <w:rsid w:val="2E7712D2"/>
    <w:rsid w:val="2EF861C1"/>
    <w:rsid w:val="38EF7122"/>
    <w:rsid w:val="3F855194"/>
    <w:rsid w:val="64421FF9"/>
    <w:rsid w:val="67E5006B"/>
    <w:rsid w:val="71435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semiHidden/>
    <w:unhideWhenUsed/>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paragraph" w:customStyle="1" w:styleId="TableParagraph">
    <w:name w:val="Table Paragraph"/>
    <w:basedOn w:val="a"/>
    <w:qFormat/>
    <w:pPr>
      <w:jc w:val="left"/>
    </w:pPr>
    <w:rPr>
      <w:kern w:val="0"/>
      <w:sz w:val="22"/>
      <w:szCs w:val="22"/>
    </w:rPr>
  </w:style>
  <w:style w:type="table" w:customStyle="1" w:styleId="TableNormal">
    <w:name w:val="Table Normal"/>
    <w:basedOn w:val="a1"/>
    <w:semiHidden/>
    <w:tblPr>
      <w:tblInd w:w="0" w:type="dxa"/>
      <w:tblCellMar>
        <w:top w:w="0" w:type="dxa"/>
        <w:left w:w="0" w:type="dxa"/>
        <w:bottom w:w="0" w:type="dxa"/>
        <w:right w:w="0" w:type="dxa"/>
      </w:tblCellMar>
    </w:tblPr>
  </w:style>
  <w:style w:type="character" w:customStyle="1" w:styleId="Char2">
    <w:name w:val="页眉 Char"/>
    <w:link w:val="a6"/>
    <w:rPr>
      <w:rFonts w:cs="Times New Roman"/>
      <w:kern w:val="2"/>
      <w:sz w:val="18"/>
      <w:szCs w:val="18"/>
    </w:rPr>
  </w:style>
  <w:style w:type="character" w:customStyle="1" w:styleId="Char1">
    <w:name w:val="页脚 Char"/>
    <w:link w:val="a5"/>
    <w:rPr>
      <w:rFonts w:cs="Times New Roman"/>
      <w:kern w:val="2"/>
      <w:sz w:val="18"/>
      <w:szCs w:val="18"/>
    </w:rPr>
  </w:style>
  <w:style w:type="paragraph" w:customStyle="1" w:styleId="1">
    <w:name w:val="列表段落1"/>
    <w:basedOn w:val="a"/>
    <w:uiPriority w:val="99"/>
    <w:qFormat/>
    <w:pPr>
      <w:ind w:firstLineChars="200" w:firstLine="420"/>
    </w:pPr>
  </w:style>
  <w:style w:type="character" w:customStyle="1" w:styleId="oli-avatar-text">
    <w:name w:val="oli-avatar-text"/>
    <w:basedOn w:val="a0"/>
  </w:style>
  <w:style w:type="paragraph" w:styleId="aa">
    <w:name w:val="List Paragraph"/>
    <w:basedOn w:val="a"/>
    <w:uiPriority w:val="34"/>
    <w:qFormat/>
    <w:pPr>
      <w:ind w:firstLineChars="200" w:firstLine="420"/>
    </w:pPr>
  </w:style>
  <w:style w:type="character" w:customStyle="1" w:styleId="Char">
    <w:name w:val="批注文字 Char"/>
    <w:basedOn w:val="a0"/>
    <w:link w:val="a3"/>
    <w:semiHidden/>
    <w:rPr>
      <w:rFonts w:cs="Times New Roman"/>
      <w:kern w:val="2"/>
      <w:sz w:val="21"/>
      <w:szCs w:val="24"/>
    </w:rPr>
  </w:style>
  <w:style w:type="character" w:customStyle="1" w:styleId="Char3">
    <w:name w:val="批注主题 Char"/>
    <w:basedOn w:val="Char"/>
    <w:link w:val="a7"/>
    <w:semiHidden/>
    <w:rPr>
      <w:rFonts w:cs="Times New Roman"/>
      <w:b/>
      <w:bCs/>
      <w:kern w:val="2"/>
      <w:sz w:val="21"/>
      <w:szCs w:val="24"/>
    </w:rPr>
  </w:style>
  <w:style w:type="character" w:customStyle="1" w:styleId="Char0">
    <w:name w:val="批注框文本 Char"/>
    <w:basedOn w:val="a0"/>
    <w:link w:val="a4"/>
    <w:semiHidden/>
    <w:rPr>
      <w:rFonts w:cs="Times New Roman"/>
      <w:kern w:val="2"/>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10">
    <w:name w:val="修订1"/>
    <w:hidden/>
    <w:uiPriority w:val="99"/>
    <w:semiHidden/>
    <w:rPr>
      <w:rFonts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pPr>
      <w:jc w:val="left"/>
    </w:pPr>
  </w:style>
  <w:style w:type="paragraph" w:styleId="a4">
    <w:name w:val="Balloon Text"/>
    <w:basedOn w:val="a"/>
    <w:link w:val="Char0"/>
    <w:semiHidden/>
    <w:unhideWhenUsed/>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table" w:styleId="a8">
    <w:name w:val="Table Grid"/>
    <w:basedOn w:val="a1"/>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paragraph" w:customStyle="1" w:styleId="TableParagraph">
    <w:name w:val="Table Paragraph"/>
    <w:basedOn w:val="a"/>
    <w:qFormat/>
    <w:pPr>
      <w:jc w:val="left"/>
    </w:pPr>
    <w:rPr>
      <w:kern w:val="0"/>
      <w:sz w:val="22"/>
      <w:szCs w:val="22"/>
    </w:rPr>
  </w:style>
  <w:style w:type="table" w:customStyle="1" w:styleId="TableNormal">
    <w:name w:val="Table Normal"/>
    <w:basedOn w:val="a1"/>
    <w:semiHidden/>
    <w:tblPr>
      <w:tblInd w:w="0" w:type="dxa"/>
      <w:tblCellMar>
        <w:top w:w="0" w:type="dxa"/>
        <w:left w:w="0" w:type="dxa"/>
        <w:bottom w:w="0" w:type="dxa"/>
        <w:right w:w="0" w:type="dxa"/>
      </w:tblCellMar>
    </w:tblPr>
  </w:style>
  <w:style w:type="character" w:customStyle="1" w:styleId="Char2">
    <w:name w:val="页眉 Char"/>
    <w:link w:val="a6"/>
    <w:rPr>
      <w:rFonts w:cs="Times New Roman"/>
      <w:kern w:val="2"/>
      <w:sz w:val="18"/>
      <w:szCs w:val="18"/>
    </w:rPr>
  </w:style>
  <w:style w:type="character" w:customStyle="1" w:styleId="Char1">
    <w:name w:val="页脚 Char"/>
    <w:link w:val="a5"/>
    <w:rPr>
      <w:rFonts w:cs="Times New Roman"/>
      <w:kern w:val="2"/>
      <w:sz w:val="18"/>
      <w:szCs w:val="18"/>
    </w:rPr>
  </w:style>
  <w:style w:type="paragraph" w:customStyle="1" w:styleId="1">
    <w:name w:val="列表段落1"/>
    <w:basedOn w:val="a"/>
    <w:uiPriority w:val="99"/>
    <w:qFormat/>
    <w:pPr>
      <w:ind w:firstLineChars="200" w:firstLine="420"/>
    </w:pPr>
  </w:style>
  <w:style w:type="character" w:customStyle="1" w:styleId="oli-avatar-text">
    <w:name w:val="oli-avatar-text"/>
    <w:basedOn w:val="a0"/>
  </w:style>
  <w:style w:type="paragraph" w:styleId="aa">
    <w:name w:val="List Paragraph"/>
    <w:basedOn w:val="a"/>
    <w:uiPriority w:val="34"/>
    <w:qFormat/>
    <w:pPr>
      <w:ind w:firstLineChars="200" w:firstLine="420"/>
    </w:pPr>
  </w:style>
  <w:style w:type="character" w:customStyle="1" w:styleId="Char">
    <w:name w:val="批注文字 Char"/>
    <w:basedOn w:val="a0"/>
    <w:link w:val="a3"/>
    <w:semiHidden/>
    <w:rPr>
      <w:rFonts w:cs="Times New Roman"/>
      <w:kern w:val="2"/>
      <w:sz w:val="21"/>
      <w:szCs w:val="24"/>
    </w:rPr>
  </w:style>
  <w:style w:type="character" w:customStyle="1" w:styleId="Char3">
    <w:name w:val="批注主题 Char"/>
    <w:basedOn w:val="Char"/>
    <w:link w:val="a7"/>
    <w:semiHidden/>
    <w:rPr>
      <w:rFonts w:cs="Times New Roman"/>
      <w:b/>
      <w:bCs/>
      <w:kern w:val="2"/>
      <w:sz w:val="21"/>
      <w:szCs w:val="24"/>
    </w:rPr>
  </w:style>
  <w:style w:type="character" w:customStyle="1" w:styleId="Char0">
    <w:name w:val="批注框文本 Char"/>
    <w:basedOn w:val="a0"/>
    <w:link w:val="a4"/>
    <w:semiHidden/>
    <w:rPr>
      <w:rFonts w:cs="Times New Roman"/>
      <w:kern w:val="2"/>
      <w:sz w:val="18"/>
      <w:szCs w:val="18"/>
    </w:rPr>
  </w:style>
  <w:style w:type="paragraph" w:customStyle="1" w:styleId="Default">
    <w:name w:val="Default"/>
    <w:pPr>
      <w:widowControl w:val="0"/>
      <w:autoSpaceDE w:val="0"/>
      <w:autoSpaceDN w:val="0"/>
      <w:adjustRightInd w:val="0"/>
    </w:pPr>
    <w:rPr>
      <w:rFonts w:ascii="宋体" w:hAnsiTheme="minorHAnsi" w:cs="宋体"/>
      <w:color w:val="000000"/>
      <w:sz w:val="24"/>
      <w:szCs w:val="24"/>
    </w:rPr>
  </w:style>
  <w:style w:type="paragraph" w:customStyle="1" w:styleId="10">
    <w:name w:val="修订1"/>
    <w:hidden/>
    <w:uiPriority w:val="99"/>
    <w:semiHidden/>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4A9E4-0AF9-4A8C-9A1C-6B097D11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149</Words>
  <Characters>850</Characters>
  <Application>Microsoft Office Word</Application>
  <DocSecurity>0</DocSecurity>
  <Lines>7</Lines>
  <Paragraphs>1</Paragraphs>
  <ScaleCrop>false</ScaleCrop>
  <Company>Kingsoft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86186</dc:creator>
  <cp:lastModifiedBy>朱凯</cp:lastModifiedBy>
  <cp:revision>26</cp:revision>
  <cp:lastPrinted>2022-03-16T07:42:00Z</cp:lastPrinted>
  <dcterms:created xsi:type="dcterms:W3CDTF">2022-11-25T07:23:00Z</dcterms:created>
  <dcterms:modified xsi:type="dcterms:W3CDTF">2024-03-07T02:43:00Z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