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FCA6" w14:textId="5E6C4452" w:rsidR="00AF18E3" w:rsidRPr="002C2015" w:rsidRDefault="00AF18E3" w:rsidP="006B3810">
      <w:pPr>
        <w:spacing w:beforeLines="50" w:before="156"/>
        <w:rPr>
          <w:rFonts w:ascii="黑体" w:eastAsia="黑体" w:hAnsi="黑体"/>
          <w:b/>
          <w:color w:val="FF0000"/>
          <w:sz w:val="44"/>
          <w:szCs w:val="44"/>
        </w:rPr>
      </w:pPr>
      <w:r w:rsidRPr="002C2015">
        <w:rPr>
          <w:rFonts w:ascii="黑体" w:eastAsia="黑体" w:hAnsi="黑体" w:hint="eastAsia"/>
          <w:b/>
          <w:color w:val="FF0000"/>
          <w:sz w:val="44"/>
          <w:szCs w:val="44"/>
        </w:rPr>
        <w:t>中国北方稀土（集团）高科技股份有限公司</w:t>
      </w:r>
    </w:p>
    <w:p w14:paraId="7A85D454" w14:textId="6E7E7F90" w:rsidR="00AF18E3" w:rsidRPr="002C2015" w:rsidRDefault="00AF18E3" w:rsidP="00765170">
      <w:pPr>
        <w:spacing w:afterLines="50" w:after="156"/>
        <w:jc w:val="center"/>
        <w:rPr>
          <w:rFonts w:ascii="黑体" w:eastAsia="黑体" w:hAnsi="黑体"/>
          <w:b/>
          <w:color w:val="FF0000"/>
          <w:sz w:val="44"/>
          <w:szCs w:val="44"/>
        </w:rPr>
      </w:pPr>
      <w:r w:rsidRPr="002C2015">
        <w:rPr>
          <w:rFonts w:ascii="黑体" w:eastAsia="黑体" w:hAnsi="黑体" w:hint="eastAsia"/>
          <w:b/>
          <w:color w:val="FF0000"/>
          <w:sz w:val="44"/>
          <w:szCs w:val="44"/>
        </w:rPr>
        <w:t>投资者关系活动记录表</w:t>
      </w:r>
    </w:p>
    <w:p w14:paraId="05F0A59C" w14:textId="708D5903" w:rsidR="006A6D01" w:rsidRPr="006A6D01" w:rsidRDefault="006A6D01" w:rsidP="004B7E61">
      <w:pPr>
        <w:jc w:val="right"/>
        <w:rPr>
          <w:rFonts w:ascii="宋体" w:eastAsia="宋体" w:hAnsi="宋体"/>
          <w:sz w:val="28"/>
          <w:szCs w:val="28"/>
        </w:rPr>
      </w:pPr>
      <w:r w:rsidRPr="006A6D01">
        <w:rPr>
          <w:rFonts w:ascii="宋体" w:eastAsia="宋体" w:hAnsi="宋体" w:hint="eastAsia"/>
          <w:sz w:val="28"/>
          <w:szCs w:val="28"/>
        </w:rPr>
        <w:t>编号：2</w:t>
      </w:r>
      <w:r w:rsidRPr="006A6D01">
        <w:rPr>
          <w:rFonts w:ascii="宋体" w:eastAsia="宋体" w:hAnsi="宋体"/>
          <w:sz w:val="28"/>
          <w:szCs w:val="28"/>
        </w:rPr>
        <w:t>02</w:t>
      </w:r>
      <w:r w:rsidR="00B20CF2">
        <w:rPr>
          <w:rFonts w:ascii="宋体" w:eastAsia="宋体" w:hAnsi="宋体"/>
          <w:sz w:val="28"/>
          <w:szCs w:val="28"/>
        </w:rPr>
        <w:t>4</w:t>
      </w:r>
      <w:r w:rsidRPr="006A6D01">
        <w:rPr>
          <w:rFonts w:ascii="宋体" w:eastAsia="宋体" w:hAnsi="宋体"/>
          <w:sz w:val="28"/>
          <w:szCs w:val="28"/>
        </w:rPr>
        <w:t>-00</w:t>
      </w:r>
      <w:r w:rsidR="00B20CF2">
        <w:rPr>
          <w:rFonts w:ascii="宋体" w:eastAsia="宋体" w:hAnsi="宋体"/>
          <w:sz w:val="28"/>
          <w:szCs w:val="28"/>
        </w:rPr>
        <w:t>1</w:t>
      </w: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2269"/>
        <w:gridCol w:w="6662"/>
      </w:tblGrid>
      <w:tr w:rsidR="00AF18E3" w:rsidRPr="00AF18E3" w14:paraId="055D37CE" w14:textId="77777777" w:rsidTr="00765170">
        <w:trPr>
          <w:jc w:val="center"/>
        </w:trPr>
        <w:tc>
          <w:tcPr>
            <w:tcW w:w="2269" w:type="dxa"/>
            <w:vAlign w:val="center"/>
          </w:tcPr>
          <w:p w14:paraId="592B560B" w14:textId="77777777" w:rsidR="00827F2B" w:rsidRDefault="00AF18E3" w:rsidP="00827F2B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18E3">
              <w:rPr>
                <w:rFonts w:ascii="宋体" w:eastAsia="宋体" w:hAnsi="宋体" w:hint="eastAsia"/>
                <w:sz w:val="28"/>
                <w:szCs w:val="28"/>
              </w:rPr>
              <w:t>投资者关系</w:t>
            </w:r>
          </w:p>
          <w:p w14:paraId="6B93A5E3" w14:textId="7C5B647F" w:rsidR="00AF18E3" w:rsidRPr="00AF18E3" w:rsidRDefault="00AF18E3" w:rsidP="00827F2B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18E3">
              <w:rPr>
                <w:rFonts w:ascii="宋体" w:eastAsia="宋体" w:hAnsi="宋体" w:hint="eastAsia"/>
                <w:sz w:val="28"/>
                <w:szCs w:val="28"/>
              </w:rPr>
              <w:t>活动类别</w:t>
            </w:r>
          </w:p>
        </w:tc>
        <w:tc>
          <w:tcPr>
            <w:tcW w:w="6662" w:type="dxa"/>
          </w:tcPr>
          <w:p w14:paraId="03D48D14" w14:textId="4019D71A" w:rsidR="007A31C0" w:rsidRPr="00FF759B" w:rsidRDefault="00A33938" w:rsidP="00827F2B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FF759B">
              <w:rPr>
                <w:rFonts w:ascii="宋体" w:eastAsia="宋体" w:hAnsi="宋体" w:hint="eastAsia"/>
                <w:sz w:val="28"/>
                <w:szCs w:val="28"/>
              </w:rPr>
              <w:t>√</w:t>
            </w:r>
            <w:r w:rsidR="007A31C0" w:rsidRPr="00FF759B">
              <w:rPr>
                <w:rFonts w:ascii="宋体" w:eastAsia="宋体" w:hAnsi="宋体" w:hint="eastAsia"/>
                <w:sz w:val="28"/>
                <w:szCs w:val="28"/>
              </w:rPr>
              <w:t>机构投资者</w:t>
            </w:r>
            <w:r w:rsidR="00A949B9" w:rsidRPr="00FF759B">
              <w:rPr>
                <w:rFonts w:ascii="宋体" w:eastAsia="宋体" w:hAnsi="宋体" w:hint="eastAsia"/>
                <w:sz w:val="28"/>
                <w:szCs w:val="28"/>
              </w:rPr>
              <w:t xml:space="preserve">调研 </w:t>
            </w:r>
            <w:r w:rsidR="00A949B9" w:rsidRPr="00FF759B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ED1F61"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7A31C0" w:rsidRPr="00FF759B">
              <w:rPr>
                <w:rFonts w:ascii="宋体" w:eastAsia="宋体" w:hAnsi="宋体" w:hint="eastAsia"/>
                <w:sz w:val="28"/>
                <w:szCs w:val="28"/>
              </w:rPr>
              <w:t>个人投资者调研</w:t>
            </w:r>
          </w:p>
          <w:p w14:paraId="12CE5CE2" w14:textId="6DF183C7" w:rsidR="00AF18E3" w:rsidRDefault="00A33938" w:rsidP="00827F2B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A949B9">
              <w:rPr>
                <w:rFonts w:ascii="宋体" w:eastAsia="宋体" w:hAnsi="宋体" w:hint="eastAsia"/>
                <w:sz w:val="28"/>
                <w:szCs w:val="28"/>
              </w:rPr>
              <w:t>分析师会议</w:t>
            </w:r>
            <w:r w:rsidR="007A31C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7A31C0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="007A31C0"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7A31C0">
              <w:rPr>
                <w:rFonts w:ascii="宋体" w:eastAsia="宋体" w:hAnsi="宋体" w:hint="eastAsia"/>
                <w:sz w:val="28"/>
                <w:szCs w:val="28"/>
              </w:rPr>
              <w:t>现场参观</w:t>
            </w:r>
          </w:p>
          <w:p w14:paraId="2F03A8C8" w14:textId="300F01CB" w:rsidR="00A949B9" w:rsidRDefault="00A949B9" w:rsidP="00827F2B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媒体采访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="007A31C0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业绩说明会</w:t>
            </w:r>
          </w:p>
          <w:p w14:paraId="29ECE141" w14:textId="735954C6" w:rsidR="00AF18E3" w:rsidRDefault="00A949B9" w:rsidP="00827F2B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新闻发布会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7A31C0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路演活动</w:t>
            </w:r>
          </w:p>
          <w:p w14:paraId="1A4FE051" w14:textId="60B7019E" w:rsidR="00AF18E3" w:rsidRPr="00AF18E3" w:rsidRDefault="00A949B9" w:rsidP="00827F2B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A949B9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F18E3" w:rsidRPr="00AF18E3" w14:paraId="7FDC888B" w14:textId="77777777" w:rsidTr="00765170">
        <w:trPr>
          <w:trHeight w:val="560"/>
          <w:jc w:val="center"/>
        </w:trPr>
        <w:tc>
          <w:tcPr>
            <w:tcW w:w="2269" w:type="dxa"/>
            <w:vAlign w:val="center"/>
          </w:tcPr>
          <w:p w14:paraId="64328C09" w14:textId="0B0FF3B1" w:rsidR="00AF18E3" w:rsidRPr="00AF18E3" w:rsidRDefault="00AF18E3" w:rsidP="00827F2B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参会单位</w:t>
            </w:r>
          </w:p>
        </w:tc>
        <w:tc>
          <w:tcPr>
            <w:tcW w:w="6662" w:type="dxa"/>
            <w:vAlign w:val="center"/>
          </w:tcPr>
          <w:p w14:paraId="023329F0" w14:textId="461E3A84" w:rsidR="00AF18E3" w:rsidRPr="00FF759B" w:rsidRDefault="00B20CF2" w:rsidP="00B20CF2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国信</w:t>
            </w:r>
            <w:r w:rsidR="00CD5531">
              <w:rPr>
                <w:rFonts w:ascii="宋体" w:eastAsia="宋体" w:hAnsi="宋体" w:hint="eastAsia"/>
                <w:sz w:val="28"/>
                <w:szCs w:val="28"/>
              </w:rPr>
              <w:t>证券</w:t>
            </w:r>
          </w:p>
        </w:tc>
      </w:tr>
      <w:tr w:rsidR="00AF18E3" w:rsidRPr="00AF18E3" w14:paraId="50F78EF4" w14:textId="77777777" w:rsidTr="00765170">
        <w:trPr>
          <w:jc w:val="center"/>
        </w:trPr>
        <w:tc>
          <w:tcPr>
            <w:tcW w:w="2269" w:type="dxa"/>
            <w:vAlign w:val="center"/>
          </w:tcPr>
          <w:p w14:paraId="4A6F2AB8" w14:textId="3EEC779E" w:rsidR="00AF18E3" w:rsidRPr="00AF18E3" w:rsidRDefault="00AF18E3" w:rsidP="00827F2B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6662" w:type="dxa"/>
          </w:tcPr>
          <w:p w14:paraId="25C6A6BE" w14:textId="2F88C6BD" w:rsidR="00AF18E3" w:rsidRPr="00AF18E3" w:rsidRDefault="00BA07EA" w:rsidP="00B20CF2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</w:t>
            </w:r>
            <w:r w:rsidR="00B20CF2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="00B20CF2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B20CF2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AF18E3" w:rsidRPr="00CD5531" w14:paraId="3E982775" w14:textId="77777777" w:rsidTr="00765170">
        <w:trPr>
          <w:jc w:val="center"/>
        </w:trPr>
        <w:tc>
          <w:tcPr>
            <w:tcW w:w="2269" w:type="dxa"/>
            <w:vAlign w:val="center"/>
          </w:tcPr>
          <w:p w14:paraId="44340EDE" w14:textId="0125338E" w:rsidR="00AF18E3" w:rsidRPr="00AF18E3" w:rsidRDefault="00AF18E3" w:rsidP="00827F2B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  <w:r w:rsidR="00CD5531">
              <w:rPr>
                <w:rFonts w:ascii="宋体" w:eastAsia="宋体" w:hAnsi="宋体" w:hint="eastAsia"/>
                <w:sz w:val="28"/>
                <w:szCs w:val="28"/>
              </w:rPr>
              <w:t>及形式</w:t>
            </w:r>
          </w:p>
        </w:tc>
        <w:tc>
          <w:tcPr>
            <w:tcW w:w="6662" w:type="dxa"/>
          </w:tcPr>
          <w:p w14:paraId="1C2B2787" w14:textId="2D802A39" w:rsidR="00AF18E3" w:rsidRPr="00AF18E3" w:rsidRDefault="00BA07EA" w:rsidP="00B20CF2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 w:rsidR="00260CA3">
              <w:rPr>
                <w:rFonts w:ascii="宋体" w:eastAsia="宋体" w:hAnsi="宋体" w:hint="eastAsia"/>
                <w:sz w:val="28"/>
                <w:szCs w:val="28"/>
              </w:rPr>
              <w:t>总部</w:t>
            </w:r>
            <w:r w:rsidR="00726D70">
              <w:rPr>
                <w:rFonts w:ascii="宋体" w:eastAsia="宋体" w:hAnsi="宋体" w:hint="eastAsia"/>
                <w:sz w:val="28"/>
                <w:szCs w:val="28"/>
              </w:rPr>
              <w:t>办公楼</w:t>
            </w:r>
            <w:r w:rsidR="00B20CF2">
              <w:rPr>
                <w:rFonts w:ascii="宋体" w:eastAsia="宋体" w:hAnsi="宋体"/>
                <w:sz w:val="28"/>
                <w:szCs w:val="28"/>
              </w:rPr>
              <w:t>9</w:t>
            </w:r>
            <w:r w:rsidR="00CD5531">
              <w:rPr>
                <w:rFonts w:ascii="宋体" w:eastAsia="宋体" w:hAnsi="宋体"/>
                <w:sz w:val="28"/>
                <w:szCs w:val="28"/>
              </w:rPr>
              <w:t>06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会议室</w:t>
            </w:r>
            <w:r w:rsidR="00B20CF2">
              <w:rPr>
                <w:rFonts w:ascii="宋体" w:eastAsia="宋体" w:hAnsi="宋体" w:hint="eastAsia"/>
                <w:sz w:val="28"/>
                <w:szCs w:val="28"/>
              </w:rPr>
              <w:t>现场调研</w:t>
            </w:r>
          </w:p>
        </w:tc>
      </w:tr>
      <w:tr w:rsidR="00AF18E3" w:rsidRPr="00AF18E3" w14:paraId="0D26E8FE" w14:textId="77777777" w:rsidTr="00765170">
        <w:trPr>
          <w:trHeight w:val="1381"/>
          <w:jc w:val="center"/>
        </w:trPr>
        <w:tc>
          <w:tcPr>
            <w:tcW w:w="2269" w:type="dxa"/>
            <w:vAlign w:val="center"/>
          </w:tcPr>
          <w:p w14:paraId="6E2E7CEE" w14:textId="3D033ED7" w:rsidR="00AF18E3" w:rsidRPr="00AF18E3" w:rsidRDefault="00AF18E3" w:rsidP="00827F2B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公司接待人员</w:t>
            </w:r>
          </w:p>
        </w:tc>
        <w:tc>
          <w:tcPr>
            <w:tcW w:w="6662" w:type="dxa"/>
          </w:tcPr>
          <w:p w14:paraId="087BB6F7" w14:textId="183D0C8A" w:rsidR="00AF18E3" w:rsidRPr="00E76C53" w:rsidRDefault="00E76C53" w:rsidP="00E03792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 w:rsidRPr="00E76C53">
              <w:rPr>
                <w:rFonts w:ascii="宋体" w:eastAsia="宋体" w:hAnsi="宋体" w:hint="eastAsia"/>
                <w:sz w:val="28"/>
                <w:szCs w:val="28"/>
              </w:rPr>
              <w:t>董事、副总经理、财务总监</w:t>
            </w:r>
            <w:r w:rsidR="00B20CF2">
              <w:rPr>
                <w:rFonts w:ascii="宋体" w:eastAsia="宋体" w:hAnsi="宋体" w:hint="eastAsia"/>
                <w:sz w:val="28"/>
                <w:szCs w:val="28"/>
              </w:rPr>
              <w:t>兼计划财务部部长</w:t>
            </w:r>
            <w:r w:rsidRPr="00E76C53">
              <w:rPr>
                <w:rFonts w:ascii="宋体" w:eastAsia="宋体" w:hAnsi="宋体" w:hint="eastAsia"/>
                <w:sz w:val="28"/>
                <w:szCs w:val="28"/>
              </w:rPr>
              <w:t>王占成</w:t>
            </w:r>
            <w:r w:rsidR="00B20CF2">
              <w:rPr>
                <w:rFonts w:ascii="宋体" w:eastAsia="宋体" w:hAnsi="宋体" w:hint="eastAsia"/>
                <w:sz w:val="28"/>
                <w:szCs w:val="28"/>
              </w:rPr>
              <w:t>；公司</w:t>
            </w:r>
            <w:r w:rsidR="00B20CF2" w:rsidRPr="00E76C53">
              <w:rPr>
                <w:rFonts w:ascii="宋体" w:eastAsia="宋体" w:hAnsi="宋体" w:hint="eastAsia"/>
                <w:sz w:val="28"/>
                <w:szCs w:val="28"/>
              </w:rPr>
              <w:t>董事、</w:t>
            </w:r>
            <w:r w:rsidR="00E03792">
              <w:rPr>
                <w:rFonts w:ascii="宋体" w:eastAsia="宋体" w:hAnsi="宋体" w:hint="eastAsia"/>
                <w:sz w:val="28"/>
                <w:szCs w:val="28"/>
              </w:rPr>
              <w:t>董事会秘书、首席合规官吴永钢</w:t>
            </w:r>
            <w:r w:rsidR="00E03792">
              <w:rPr>
                <w:rFonts w:ascii="宋体" w:eastAsia="宋体" w:hAnsi="宋体" w:hint="eastAsia"/>
                <w:sz w:val="28"/>
                <w:szCs w:val="28"/>
              </w:rPr>
              <w:t>；公司</w:t>
            </w:r>
            <w:r w:rsidR="00E03792" w:rsidRPr="00E76C53">
              <w:rPr>
                <w:rFonts w:ascii="宋体" w:eastAsia="宋体" w:hAnsi="宋体" w:hint="eastAsia"/>
                <w:sz w:val="28"/>
                <w:szCs w:val="28"/>
              </w:rPr>
              <w:t>证券部（法律事务部）副部长乔慧峰</w:t>
            </w:r>
            <w:r w:rsidR="00E03792">
              <w:rPr>
                <w:rFonts w:ascii="宋体" w:eastAsia="宋体" w:hAnsi="宋体" w:hint="eastAsia"/>
                <w:sz w:val="28"/>
                <w:szCs w:val="28"/>
              </w:rPr>
              <w:t>；</w:t>
            </w:r>
            <w:r w:rsidR="00B20CF2">
              <w:rPr>
                <w:rFonts w:ascii="宋体" w:eastAsia="宋体" w:hAnsi="宋体" w:hint="eastAsia"/>
                <w:sz w:val="28"/>
                <w:szCs w:val="28"/>
              </w:rPr>
              <w:t>公司规划发展部副部长姜春林</w:t>
            </w:r>
            <w:r w:rsidR="00054B81">
              <w:rPr>
                <w:rFonts w:ascii="宋体" w:eastAsia="宋体" w:hAnsi="宋体" w:hint="eastAsia"/>
                <w:sz w:val="28"/>
                <w:szCs w:val="28"/>
              </w:rPr>
              <w:t>；</w:t>
            </w:r>
            <w:bookmarkStart w:id="0" w:name="_GoBack"/>
            <w:bookmarkEnd w:id="0"/>
            <w:r w:rsidR="00054B81">
              <w:rPr>
                <w:rFonts w:ascii="宋体" w:eastAsia="宋体" w:hAnsi="宋体" w:hint="eastAsia"/>
                <w:sz w:val="28"/>
                <w:szCs w:val="28"/>
              </w:rPr>
              <w:t>公司市场营销部业务主管李怀国。</w:t>
            </w:r>
          </w:p>
        </w:tc>
      </w:tr>
      <w:tr w:rsidR="00B20CF2" w:rsidRPr="00B20CF2" w14:paraId="0BE2832B" w14:textId="77777777" w:rsidTr="00765170">
        <w:trPr>
          <w:trHeight w:val="416"/>
          <w:jc w:val="center"/>
        </w:trPr>
        <w:tc>
          <w:tcPr>
            <w:tcW w:w="2269" w:type="dxa"/>
            <w:vAlign w:val="center"/>
          </w:tcPr>
          <w:p w14:paraId="28C501C9" w14:textId="5DD35FEB" w:rsidR="00AF18E3" w:rsidRPr="00AF18E3" w:rsidRDefault="00AF18E3" w:rsidP="00827F2B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投资者关系活动主要内容</w:t>
            </w:r>
          </w:p>
        </w:tc>
        <w:tc>
          <w:tcPr>
            <w:tcW w:w="6662" w:type="dxa"/>
          </w:tcPr>
          <w:p w14:paraId="19875C19" w14:textId="178FA151" w:rsidR="00834458" w:rsidRPr="00BD3874" w:rsidRDefault="00B165B7" w:rsidP="00E032DD">
            <w:pPr>
              <w:spacing w:line="500" w:lineRule="exact"/>
              <w:ind w:firstLineChars="200" w:firstLine="562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问：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公司</w:t>
            </w:r>
            <w:r w:rsidR="00BD3874" w:rsidRPr="00BD3874"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  <w:t>2023年经营情况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？</w:t>
            </w:r>
          </w:p>
          <w:p w14:paraId="1C751BDE" w14:textId="58646FFB" w:rsidR="00BD3874" w:rsidRPr="00BD3874" w:rsidRDefault="00B165B7" w:rsidP="00E032DD">
            <w:pPr>
              <w:pStyle w:val="Default"/>
              <w:spacing w:line="500" w:lineRule="exact"/>
              <w:ind w:firstLineChars="200" w:firstLine="560"/>
              <w:jc w:val="both"/>
              <w:rPr>
                <w:rFonts w:hAnsi="宋体"/>
                <w:color w:val="000000" w:themeColor="text1"/>
                <w:sz w:val="28"/>
                <w:szCs w:val="28"/>
              </w:rPr>
            </w:pPr>
            <w:r w:rsidRPr="00BD3874">
              <w:rPr>
                <w:rFonts w:hAnsi="宋体" w:hint="eastAsia"/>
                <w:color w:val="000000" w:themeColor="text1"/>
                <w:sz w:val="28"/>
                <w:szCs w:val="28"/>
              </w:rPr>
              <w:t>答：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2023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年度实现归属于母公司所有者的净利润为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21.7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亿元到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23.3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亿元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，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与上年同期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同比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减少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61.00%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到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63.67%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。利润下滑的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主要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原因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是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稀土产品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市场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价格大幅下降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。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详情请参阅公司于2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024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年1月3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0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在上海证券交易所网站发布的《北方稀土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2023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年度业绩预告》。为提升经营业绩，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2023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年公司</w:t>
            </w:r>
            <w:r w:rsidR="005B48C9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积极拓展市场，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产量、销量同比增加，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主要的技术经济指标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较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2022年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有大幅提升，但是仍然无法抵消稀土产品</w:t>
            </w:r>
            <w:r w:rsidR="00BD3874" w:rsidRPr="00BD3874">
              <w:rPr>
                <w:rFonts w:hAnsi="宋体" w:cs="Times New Roman"/>
                <w:color w:val="000000" w:themeColor="text1"/>
                <w:sz w:val="28"/>
                <w:szCs w:val="28"/>
              </w:rPr>
              <w:t>市场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价格下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lastRenderedPageBreak/>
              <w:t>降带来的影响。</w:t>
            </w:r>
          </w:p>
          <w:p w14:paraId="1F45D80C" w14:textId="77777777" w:rsidR="00BD3874" w:rsidRPr="00BD3874" w:rsidRDefault="00021068" w:rsidP="00E032DD">
            <w:pPr>
              <w:spacing w:line="500" w:lineRule="exact"/>
              <w:ind w:firstLineChars="200" w:firstLine="562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问：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公司与金融机构合作情况，未来是否有新增融资的计划？</w:t>
            </w:r>
          </w:p>
          <w:p w14:paraId="22F9B9D3" w14:textId="56F38DC1" w:rsidR="00021068" w:rsidRPr="00BD3874" w:rsidRDefault="00021068" w:rsidP="00E032DD">
            <w:pPr>
              <w:spacing w:line="500" w:lineRule="exact"/>
              <w:ind w:firstLineChars="200" w:firstLine="560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答：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目前，公司只有存续的1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2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亿元中期票据，将于2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024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年1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1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月到期，还开展一些传统的业务，如：银行贷款、银行承兑汇票等。公司为充分调动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各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子公司生产经营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的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灵活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性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和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积极性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，对子公司实施授信额度总量管控，年度内按照子公司经营规模给予固定的授信额度，在额度范围</w:t>
            </w:r>
            <w:r w:rsidR="005B48C9">
              <w:rPr>
                <w:rFonts w:ascii="宋体" w:eastAsia="宋体" w:hAnsi="宋体" w:hint="eastAsia"/>
                <w:sz w:val="28"/>
                <w:szCs w:val="28"/>
              </w:rPr>
              <w:t>内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子公司自行调配。公司的银行授信额度比较充裕,而且当前银行贷款的利率比资本市场发行公司债券、中期票据的成本低。</w:t>
            </w:r>
          </w:p>
          <w:p w14:paraId="05A5CAD3" w14:textId="3F6EF9E7" w:rsidR="00BD3874" w:rsidRPr="00BD3874" w:rsidRDefault="00906508" w:rsidP="00E032DD">
            <w:pPr>
              <w:spacing w:line="500" w:lineRule="exact"/>
              <w:ind w:firstLineChars="200" w:firstLine="562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问：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公司2</w:t>
            </w:r>
            <w:r w:rsidR="00BD3874" w:rsidRPr="00BD3874"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  <w:t>023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年稀土产品销售价格情况。</w:t>
            </w:r>
          </w:p>
          <w:p w14:paraId="134AFC15" w14:textId="56947F42" w:rsidR="00906508" w:rsidRPr="00BD3874" w:rsidRDefault="00906508" w:rsidP="00E032DD">
            <w:pPr>
              <w:spacing w:line="500" w:lineRule="exact"/>
              <w:ind w:firstLineChars="200" w:firstLine="560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答：</w:t>
            </w:r>
            <w:r w:rsidR="005B48C9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公司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稀土产品的价格</w:t>
            </w:r>
            <w:r w:rsidR="005B48C9">
              <w:rPr>
                <w:rFonts w:ascii="宋体" w:eastAsia="宋体" w:hAnsi="宋体" w:hint="eastAsia"/>
                <w:sz w:val="28"/>
                <w:szCs w:val="28"/>
              </w:rPr>
              <w:t>执行的市场价，各网站均有即时价，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 w:rsidR="005B48C9">
              <w:rPr>
                <w:rFonts w:ascii="宋体" w:eastAsia="宋体" w:hAnsi="宋体" w:hint="eastAsia"/>
                <w:sz w:val="28"/>
                <w:szCs w:val="28"/>
              </w:rPr>
              <w:t>产品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销售价格根据市场变化进行调整。</w:t>
            </w:r>
            <w:r w:rsidR="005B48C9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="005B48C9">
              <w:rPr>
                <w:rFonts w:ascii="宋体" w:eastAsia="宋体" w:hAnsi="宋体"/>
                <w:sz w:val="28"/>
                <w:szCs w:val="28"/>
              </w:rPr>
              <w:t>023</w:t>
            </w:r>
            <w:r w:rsidR="005B48C9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稀土产品的销售价格情况，请参阅公司将于后续披露的2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023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年度报告。</w:t>
            </w:r>
          </w:p>
          <w:p w14:paraId="653ADD88" w14:textId="14779425" w:rsidR="00021068" w:rsidRPr="00BD3874" w:rsidRDefault="00B932B3" w:rsidP="00E032DD">
            <w:pPr>
              <w:spacing w:line="500" w:lineRule="exact"/>
              <w:ind w:firstLineChars="200" w:firstLine="562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问：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公司与包钢股份稀土精矿交易价格的稳定性方面，怎么看？</w:t>
            </w:r>
          </w:p>
          <w:p w14:paraId="6B540F1A" w14:textId="0508F008" w:rsidR="00BD3874" w:rsidRPr="00BD3874" w:rsidRDefault="00DF6450" w:rsidP="00E032DD">
            <w:pPr>
              <w:spacing w:line="50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答：</w:t>
            </w:r>
            <w:r w:rsidR="00BD3874" w:rsidRPr="00BD3874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公司</w:t>
            </w:r>
            <w:r w:rsidR="00BD3874" w:rsidRPr="00BD3874">
              <w:rPr>
                <w:rFonts w:ascii="宋体" w:eastAsia="宋体" w:hAnsi="宋体"/>
                <w:sz w:val="28"/>
                <w:szCs w:val="28"/>
              </w:rPr>
              <w:t>2023年第一次临时股东大会审议通过了《关于稀土精矿日常关联交易定价机制暨2022年度执行及2023年度预计的议案》。该议案明确，在定价公式不变的情况下，每季度首月上旬根据定价公式计算、调整稀土精矿价格。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公司与包钢股份稀土精矿交易价格是依据定价公式计算所得，是稳定的。</w:t>
            </w:r>
          </w:p>
          <w:p w14:paraId="162CCF0B" w14:textId="739C17EB" w:rsidR="009A4FF1" w:rsidRPr="00BD3874" w:rsidRDefault="002C2368" w:rsidP="00E032DD">
            <w:pPr>
              <w:spacing w:line="500" w:lineRule="exact"/>
              <w:ind w:firstLineChars="200" w:firstLine="562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问：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预计2</w:t>
            </w:r>
            <w:r w:rsidR="00BD3874" w:rsidRPr="00BD3874"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  <w:t>024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年市场行情会好吗？</w:t>
            </w:r>
          </w:p>
          <w:p w14:paraId="61D6F729" w14:textId="7E492E23" w:rsidR="00711753" w:rsidRDefault="00BD3874" w:rsidP="00E032DD">
            <w:pPr>
              <w:spacing w:line="50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答：从公司角度是希望市场行情大好，</w:t>
            </w:r>
            <w:r w:rsidRPr="00BD3874">
              <w:rPr>
                <w:rFonts w:ascii="宋体" w:eastAsia="宋体" w:hAnsi="宋体" w:hint="eastAsia"/>
                <w:sz w:val="28"/>
                <w:szCs w:val="28"/>
              </w:rPr>
              <w:t>国内市场稀土产品的供给端由工信部下达的总量计划指标、废料回收、国外进口矿三部分构成。工信部下达的总量计划指标公司占比较大，废料回收方面公司一个子公司已经生产，还有一个在建的废料回收项目。进口矿公司每年也从市场上采购一些。</w:t>
            </w:r>
            <w:r w:rsidR="00711753">
              <w:rPr>
                <w:rFonts w:ascii="宋体" w:eastAsia="宋体" w:hAnsi="宋体" w:hint="eastAsia"/>
                <w:sz w:val="28"/>
                <w:szCs w:val="28"/>
              </w:rPr>
              <w:t>市场供求受此三方影响而起伏波动，但</w:t>
            </w:r>
            <w:r w:rsidR="00232A86">
              <w:rPr>
                <w:rFonts w:ascii="宋体" w:eastAsia="宋体" w:hAnsi="宋体" w:hint="eastAsia"/>
                <w:sz w:val="28"/>
                <w:szCs w:val="28"/>
              </w:rPr>
              <w:t>国家</w:t>
            </w:r>
            <w:r w:rsidR="00711753">
              <w:rPr>
                <w:rFonts w:ascii="宋体" w:eastAsia="宋体" w:hAnsi="宋体" w:hint="eastAsia"/>
                <w:sz w:val="28"/>
                <w:szCs w:val="28"/>
              </w:rPr>
              <w:t>总量</w:t>
            </w:r>
            <w:r w:rsidR="00FD4E91">
              <w:rPr>
                <w:rFonts w:ascii="宋体" w:eastAsia="宋体" w:hAnsi="宋体" w:hint="eastAsia"/>
                <w:sz w:val="28"/>
                <w:szCs w:val="28"/>
              </w:rPr>
              <w:t>计划</w:t>
            </w:r>
            <w:r w:rsidR="00711753">
              <w:rPr>
                <w:rFonts w:ascii="宋体" w:eastAsia="宋体" w:hAnsi="宋体" w:hint="eastAsia"/>
                <w:sz w:val="28"/>
                <w:szCs w:val="28"/>
              </w:rPr>
              <w:t>指标为生产增加了确定性。</w:t>
            </w:r>
          </w:p>
          <w:p w14:paraId="18C202B9" w14:textId="77777777" w:rsidR="00BD3874" w:rsidRPr="00BD3874" w:rsidRDefault="007E4C99" w:rsidP="00E032DD">
            <w:pPr>
              <w:spacing w:line="500" w:lineRule="exact"/>
              <w:ind w:firstLineChars="200" w:firstLine="562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问：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请介绍公司在包钢（集团）公司内担当的角色及战略定位。</w:t>
            </w:r>
          </w:p>
          <w:p w14:paraId="1AAB9966" w14:textId="01EBAA35" w:rsidR="007E4C99" w:rsidRPr="00874762" w:rsidRDefault="007E4C99" w:rsidP="00874762">
            <w:pPr>
              <w:pStyle w:val="Default"/>
              <w:spacing w:line="500" w:lineRule="exact"/>
              <w:ind w:firstLineChars="200" w:firstLine="560"/>
              <w:jc w:val="both"/>
              <w:rPr>
                <w:rFonts w:hAnsi="宋体"/>
                <w:color w:val="000000" w:themeColor="text1"/>
                <w:sz w:val="28"/>
                <w:szCs w:val="28"/>
              </w:rPr>
            </w:pPr>
            <w:r w:rsidRPr="00BD3874">
              <w:rPr>
                <w:rFonts w:hAnsi="宋体" w:hint="eastAsia"/>
                <w:color w:val="000000" w:themeColor="text1"/>
                <w:sz w:val="28"/>
                <w:szCs w:val="28"/>
              </w:rPr>
              <w:t>答：</w:t>
            </w:r>
            <w:r w:rsidR="0085217F">
              <w:rPr>
                <w:rFonts w:hAnsi="宋体" w:hint="eastAsia"/>
                <w:color w:val="000000" w:themeColor="text1"/>
                <w:sz w:val="28"/>
                <w:szCs w:val="28"/>
              </w:rPr>
              <w:t>公司</w:t>
            </w:r>
            <w:r w:rsidR="00874762">
              <w:rPr>
                <w:rFonts w:hAnsi="宋体" w:hint="eastAsia"/>
                <w:color w:val="000000" w:themeColor="text1"/>
                <w:sz w:val="28"/>
                <w:szCs w:val="28"/>
              </w:rPr>
              <w:t>从三个方面来定位角色。一是</w:t>
            </w:r>
            <w:r w:rsidR="0085217F">
              <w:rPr>
                <w:rFonts w:hAnsi="宋体" w:hint="eastAsia"/>
                <w:color w:val="000000" w:themeColor="text1"/>
                <w:sz w:val="28"/>
                <w:szCs w:val="28"/>
              </w:rPr>
              <w:t>从</w:t>
            </w:r>
            <w:r w:rsidR="00874762">
              <w:rPr>
                <w:rFonts w:hAnsi="宋体" w:hint="eastAsia"/>
                <w:color w:val="000000" w:themeColor="text1"/>
                <w:sz w:val="28"/>
                <w:szCs w:val="28"/>
              </w:rPr>
              <w:t>资源定位</w:t>
            </w:r>
            <w:r w:rsidR="00384183">
              <w:rPr>
                <w:rFonts w:hAnsi="宋体" w:hint="eastAsia"/>
                <w:color w:val="000000" w:themeColor="text1"/>
                <w:sz w:val="28"/>
                <w:szCs w:val="28"/>
              </w:rPr>
              <w:t>看</w:t>
            </w:r>
            <w:r w:rsidR="00874762">
              <w:rPr>
                <w:rFonts w:hAnsi="宋体" w:hint="eastAsia"/>
                <w:color w:val="000000" w:themeColor="text1"/>
                <w:sz w:val="28"/>
                <w:szCs w:val="28"/>
              </w:rPr>
              <w:t>。</w:t>
            </w:r>
            <w:r w:rsidR="00BD3874" w:rsidRPr="00BD3874">
              <w:rPr>
                <w:rFonts w:hAnsi="宋体" w:cs="Times New Roman" w:hint="eastAsia"/>
                <w:sz w:val="28"/>
                <w:szCs w:val="28"/>
              </w:rPr>
              <w:t>稀土是国家的战略资源，承担着国家战略使命</w:t>
            </w:r>
            <w:r w:rsidR="00874762">
              <w:rPr>
                <w:rFonts w:hAnsi="宋体" w:cs="Times New Roman" w:hint="eastAsia"/>
                <w:sz w:val="28"/>
                <w:szCs w:val="28"/>
              </w:rPr>
              <w:t>；二是从资源禀赋看</w:t>
            </w:r>
            <w:r w:rsidR="00C012B8">
              <w:rPr>
                <w:rFonts w:hAnsi="宋体" w:cs="Times New Roman" w:hint="eastAsia"/>
                <w:sz w:val="28"/>
                <w:szCs w:val="28"/>
              </w:rPr>
              <w:t>，</w:t>
            </w:r>
            <w:r w:rsidR="00DE741B">
              <w:rPr>
                <w:rFonts w:hAnsi="宋体" w:cs="Times New Roman" w:hint="eastAsia"/>
                <w:sz w:val="28"/>
                <w:szCs w:val="28"/>
              </w:rPr>
              <w:t>经过多年发展，</w:t>
            </w:r>
            <w:r w:rsidR="00C012B8">
              <w:rPr>
                <w:rFonts w:hAnsi="宋体" w:cs="Times New Roman" w:hint="eastAsia"/>
                <w:sz w:val="28"/>
                <w:szCs w:val="28"/>
              </w:rPr>
              <w:t>国内稀土产业已经形成了南重北轻的产业格局。</w:t>
            </w:r>
            <w:r w:rsidR="00B84B6A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去年国务院常务会提出推动稀土产业高质量发展，从政策层面赋予了</w:t>
            </w:r>
            <w:r w:rsidR="00B84B6A">
              <w:rPr>
                <w:rFonts w:hAnsi="宋体" w:cs="Times New Roman" w:hint="eastAsia"/>
                <w:sz w:val="28"/>
                <w:szCs w:val="28"/>
              </w:rPr>
              <w:t>公司承担的使命和战略定位，</w:t>
            </w:r>
            <w:r w:rsidR="00BD3874" w:rsidRPr="00BD3874">
              <w:rPr>
                <w:rFonts w:hAnsi="宋体" w:cs="Times New Roman" w:hint="eastAsia"/>
                <w:sz w:val="28"/>
                <w:szCs w:val="28"/>
              </w:rPr>
              <w:t>随着</w:t>
            </w:r>
            <w:r w:rsidR="00C012B8">
              <w:rPr>
                <w:rFonts w:hAnsi="宋体" w:cs="Times New Roman" w:hint="eastAsia"/>
                <w:sz w:val="28"/>
                <w:szCs w:val="28"/>
              </w:rPr>
              <w:t>打造全国最大的稀土新材料基地和全球领先的稀土应用基地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建设</w:t>
            </w:r>
            <w:r w:rsidR="00C012B8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目标的提出</w:t>
            </w:r>
            <w:r w:rsidR="00BD3874" w:rsidRPr="00BD3874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，</w:t>
            </w:r>
            <w:r w:rsidR="00C012B8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公司将肩负起建设两个基地的主力军责任。</w:t>
            </w:r>
            <w:r w:rsidR="003D48E1">
              <w:rPr>
                <w:rFonts w:hAnsi="宋体" w:cs="Times New Roman" w:hint="eastAsia"/>
                <w:sz w:val="28"/>
                <w:szCs w:val="28"/>
              </w:rPr>
              <w:t>三是</w:t>
            </w:r>
            <w:r w:rsidR="00BD3874" w:rsidRPr="00BD3874">
              <w:rPr>
                <w:rFonts w:hAnsi="宋体" w:cs="Times New Roman" w:hint="eastAsia"/>
                <w:sz w:val="28"/>
                <w:szCs w:val="28"/>
              </w:rPr>
              <w:t>从稀土产业供应链端来看，</w:t>
            </w:r>
            <w:r w:rsidR="003D48E1">
              <w:rPr>
                <w:rFonts w:hAnsi="宋体" w:cs="Times New Roman" w:hint="eastAsia"/>
                <w:sz w:val="28"/>
                <w:szCs w:val="28"/>
              </w:rPr>
              <w:t>公司</w:t>
            </w:r>
            <w:r w:rsidR="00EC5CB6">
              <w:rPr>
                <w:rFonts w:hAnsi="宋体" w:cs="Times New Roman" w:hint="eastAsia"/>
                <w:sz w:val="28"/>
                <w:szCs w:val="28"/>
              </w:rPr>
              <w:t>拥有</w:t>
            </w:r>
            <w:r w:rsidR="003D48E1" w:rsidRPr="003D48E1">
              <w:rPr>
                <w:rFonts w:hAnsi="宋体" w:cs="Times New Roman" w:hint="eastAsia"/>
                <w:sz w:val="28"/>
                <w:szCs w:val="28"/>
              </w:rPr>
              <w:t>全球规模最大的稀土原料生产基地和稀土功能材料制造基地</w:t>
            </w:r>
            <w:r w:rsidR="003D48E1">
              <w:rPr>
                <w:rFonts w:hAnsi="宋体" w:cs="Times New Roman" w:hint="eastAsia"/>
                <w:sz w:val="28"/>
                <w:szCs w:val="28"/>
              </w:rPr>
              <w:t>，</w:t>
            </w:r>
            <w:r w:rsidR="003D48E1" w:rsidRPr="003D48E1">
              <w:rPr>
                <w:rFonts w:hAnsi="宋体" w:cs="Times New Roman" w:hint="eastAsia"/>
                <w:sz w:val="28"/>
                <w:szCs w:val="28"/>
              </w:rPr>
              <w:t>可生产各类稀土产品共11个大类、100余种、近千个规格。</w:t>
            </w:r>
            <w:r w:rsidR="0085217F" w:rsidRPr="0085217F">
              <w:rPr>
                <w:rFonts w:hAnsi="宋体" w:cs="Times New Roman" w:hint="eastAsia"/>
                <w:sz w:val="28"/>
                <w:szCs w:val="28"/>
              </w:rPr>
              <w:t>稀土原料供应位居全球第一，稀土功能材料中磁性材料合金产能居全球第一，抛光材料市</w:t>
            </w:r>
            <w:r w:rsidR="0085217F">
              <w:rPr>
                <w:rFonts w:hAnsi="宋体" w:cs="Times New Roman" w:hint="eastAsia"/>
                <w:sz w:val="28"/>
                <w:szCs w:val="28"/>
              </w:rPr>
              <w:t>占率居</w:t>
            </w:r>
            <w:r w:rsidR="0085217F" w:rsidRPr="0085217F">
              <w:rPr>
                <w:rFonts w:hAnsi="宋体" w:cs="Times New Roman" w:hint="eastAsia"/>
                <w:sz w:val="28"/>
                <w:szCs w:val="28"/>
              </w:rPr>
              <w:t>国内</w:t>
            </w:r>
            <w:r w:rsidR="0085217F">
              <w:rPr>
                <w:rFonts w:hAnsi="宋体" w:cs="Times New Roman" w:hint="eastAsia"/>
                <w:sz w:val="28"/>
                <w:szCs w:val="28"/>
              </w:rPr>
              <w:t>第一，储氢材料</w:t>
            </w:r>
            <w:r w:rsidR="0085217F" w:rsidRPr="0085217F">
              <w:rPr>
                <w:rFonts w:hAnsi="宋体" w:cs="Times New Roman" w:hint="eastAsia"/>
                <w:sz w:val="28"/>
                <w:szCs w:val="28"/>
              </w:rPr>
              <w:t>市</w:t>
            </w:r>
            <w:r w:rsidR="0085217F">
              <w:rPr>
                <w:rFonts w:hAnsi="宋体" w:cs="Times New Roman" w:hint="eastAsia"/>
                <w:sz w:val="28"/>
                <w:szCs w:val="28"/>
              </w:rPr>
              <w:t>占率超过1</w:t>
            </w:r>
            <w:r w:rsidR="0085217F">
              <w:rPr>
                <w:rFonts w:hAnsi="宋体" w:cs="Times New Roman"/>
                <w:sz w:val="28"/>
                <w:szCs w:val="28"/>
              </w:rPr>
              <w:t>/3</w:t>
            </w:r>
            <w:r w:rsidR="0085217F">
              <w:rPr>
                <w:rFonts w:hAnsi="宋体" w:cs="Times New Roman" w:hint="eastAsia"/>
                <w:sz w:val="28"/>
                <w:szCs w:val="28"/>
              </w:rPr>
              <w:t>。</w:t>
            </w:r>
          </w:p>
          <w:p w14:paraId="745E9ED0" w14:textId="4BC51899" w:rsidR="007E4C99" w:rsidRPr="00BD3874" w:rsidRDefault="007E4C99" w:rsidP="00E032DD">
            <w:pPr>
              <w:spacing w:line="500" w:lineRule="exact"/>
              <w:ind w:firstLineChars="200" w:firstLine="562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问：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2</w:t>
            </w:r>
            <w:r w:rsidR="00BD3874" w:rsidRPr="00BD3874"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  <w:t>024</w:t>
            </w:r>
            <w:r w:rsidR="00BD3874" w:rsidRPr="00BD3874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年稀土产品价格预期，公司怎么看？</w:t>
            </w:r>
          </w:p>
          <w:p w14:paraId="28E247A0" w14:textId="26B093F9" w:rsidR="00122FF4" w:rsidRPr="00BD3874" w:rsidRDefault="007E4C99" w:rsidP="00E032DD">
            <w:pPr>
              <w:spacing w:line="50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BD387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答：</w:t>
            </w:r>
            <w:r w:rsidR="00BD3874" w:rsidRPr="00BD387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产品价格还是主要受供需影响，春节后稀土下游企业复工速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度低于预期，需求端不及预期，产品价格下跌，近期产品价格出现走稳的趋势。面对当前的市场形势，</w:t>
            </w:r>
            <w:r w:rsidR="00BD3874" w:rsidRPr="00BD3874">
              <w:rPr>
                <w:rFonts w:ascii="宋体" w:eastAsia="宋体" w:hAnsi="宋体" w:hint="eastAsia"/>
                <w:color w:val="00000A"/>
                <w:sz w:val="28"/>
                <w:szCs w:val="28"/>
              </w:rPr>
              <w:t>公司深入分析市场需求变化，并制定相应的销售策略。同时，公司积极开拓国内外市场，特别是新型市场和高增长领域订单，努力开拓销售渠道，持续巩固提升公司产品市场竞争力和占有率，扩大收入和利润贡献率</w:t>
            </w:r>
            <w:r w:rsidR="00BD3874" w:rsidRPr="00BD3874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AF18E3" w:rsidRPr="00AF18E3" w14:paraId="6FC81332" w14:textId="77777777" w:rsidTr="00765170">
        <w:trPr>
          <w:trHeight w:val="570"/>
          <w:jc w:val="center"/>
        </w:trPr>
        <w:tc>
          <w:tcPr>
            <w:tcW w:w="2269" w:type="dxa"/>
            <w:vAlign w:val="center"/>
          </w:tcPr>
          <w:p w14:paraId="0BCECB63" w14:textId="2E62F40D" w:rsidR="00AF18E3" w:rsidRPr="00AF18E3" w:rsidRDefault="00AF18E3" w:rsidP="00CC625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附件清单</w:t>
            </w:r>
          </w:p>
        </w:tc>
        <w:tc>
          <w:tcPr>
            <w:tcW w:w="6662" w:type="dxa"/>
            <w:vAlign w:val="center"/>
          </w:tcPr>
          <w:p w14:paraId="175D4260" w14:textId="05834D76" w:rsidR="00AF18E3" w:rsidRPr="00AF18E3" w:rsidRDefault="00507CC3" w:rsidP="000377E4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无</w:t>
            </w:r>
          </w:p>
        </w:tc>
      </w:tr>
      <w:tr w:rsidR="00F82564" w:rsidRPr="00AF18E3" w14:paraId="2B59C58D" w14:textId="77777777" w:rsidTr="00765170">
        <w:trPr>
          <w:jc w:val="center"/>
        </w:trPr>
        <w:tc>
          <w:tcPr>
            <w:tcW w:w="8931" w:type="dxa"/>
            <w:gridSpan w:val="2"/>
            <w:vAlign w:val="center"/>
          </w:tcPr>
          <w:p w14:paraId="6EF7969C" w14:textId="3D903998" w:rsidR="00F82564" w:rsidRPr="00F82564" w:rsidRDefault="00F82564" w:rsidP="00C53CF2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F82564">
              <w:rPr>
                <w:rFonts w:ascii="宋体" w:eastAsia="宋体" w:hAnsi="宋体" w:hint="eastAsia"/>
                <w:sz w:val="28"/>
                <w:szCs w:val="28"/>
              </w:rPr>
              <w:t>注：公司严格遵守信息披露法律法规与投资者交流，如涉及公司战略规划等意向性目标，不视为公司或管理层对公司业绩的保证或承诺，敬请广大投资者注意投资风险。</w:t>
            </w:r>
          </w:p>
        </w:tc>
      </w:tr>
    </w:tbl>
    <w:p w14:paraId="0C0328E1" w14:textId="16CA75B3" w:rsidR="00AF18E3" w:rsidRPr="00AF18E3" w:rsidRDefault="00AF18E3" w:rsidP="00F82564">
      <w:pPr>
        <w:spacing w:line="400" w:lineRule="exact"/>
        <w:rPr>
          <w:rFonts w:ascii="宋体" w:eastAsia="宋体" w:hAnsi="宋体"/>
          <w:sz w:val="24"/>
        </w:rPr>
      </w:pPr>
    </w:p>
    <w:sectPr w:rsidR="00AF18E3" w:rsidRPr="00AF18E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81A92" w14:textId="77777777" w:rsidR="00D3544B" w:rsidRDefault="00D3544B" w:rsidP="00AF18E3">
      <w:pPr>
        <w:spacing w:line="240" w:lineRule="auto"/>
      </w:pPr>
      <w:r>
        <w:separator/>
      </w:r>
    </w:p>
  </w:endnote>
  <w:endnote w:type="continuationSeparator" w:id="0">
    <w:p w14:paraId="6720D638" w14:textId="77777777" w:rsidR="00D3544B" w:rsidRDefault="00D3544B" w:rsidP="00AF1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748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FA30F2E" w14:textId="0F14D5C0" w:rsidR="00E67BF1" w:rsidRPr="00E67BF1" w:rsidRDefault="00E67BF1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E67BF1">
          <w:rPr>
            <w:rFonts w:ascii="宋体" w:eastAsia="宋体" w:hAnsi="宋体"/>
            <w:sz w:val="28"/>
            <w:szCs w:val="28"/>
          </w:rPr>
          <w:fldChar w:fldCharType="begin"/>
        </w:r>
        <w:r w:rsidRPr="00E67BF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67BF1">
          <w:rPr>
            <w:rFonts w:ascii="宋体" w:eastAsia="宋体" w:hAnsi="宋体"/>
            <w:sz w:val="28"/>
            <w:szCs w:val="28"/>
          </w:rPr>
          <w:fldChar w:fldCharType="separate"/>
        </w:r>
        <w:r w:rsidR="00D3544B" w:rsidRPr="00D3544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E67BF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6FE8" w14:textId="77777777" w:rsidR="00D3544B" w:rsidRDefault="00D3544B" w:rsidP="00AF18E3">
      <w:pPr>
        <w:spacing w:line="240" w:lineRule="auto"/>
      </w:pPr>
      <w:r>
        <w:separator/>
      </w:r>
    </w:p>
  </w:footnote>
  <w:footnote w:type="continuationSeparator" w:id="0">
    <w:p w14:paraId="1D6AE1AE" w14:textId="77777777" w:rsidR="00D3544B" w:rsidRDefault="00D3544B" w:rsidP="00AF1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F4E4" w14:textId="0832577E" w:rsidR="00AF18E3" w:rsidRPr="00B977D7" w:rsidRDefault="00AF18E3" w:rsidP="00AF18E3">
    <w:pPr>
      <w:rPr>
        <w:rFonts w:ascii="宋体" w:eastAsia="宋体" w:hAnsi="宋体"/>
        <w:sz w:val="21"/>
        <w:szCs w:val="21"/>
        <w:u w:val="single"/>
      </w:rPr>
    </w:pPr>
    <w:r w:rsidRPr="00B977D7">
      <w:rPr>
        <w:rFonts w:ascii="宋体" w:eastAsia="宋体" w:hAnsi="宋体" w:hint="eastAsia"/>
        <w:sz w:val="21"/>
        <w:szCs w:val="21"/>
        <w:u w:val="single"/>
      </w:rPr>
      <w:t>证券代码：6</w:t>
    </w:r>
    <w:r w:rsidRPr="00B977D7">
      <w:rPr>
        <w:rFonts w:ascii="宋体" w:eastAsia="宋体" w:hAnsi="宋体"/>
        <w:sz w:val="21"/>
        <w:szCs w:val="21"/>
        <w:u w:val="single"/>
      </w:rPr>
      <w:t xml:space="preserve">00111                                             </w:t>
    </w:r>
    <w:r w:rsidRPr="00B977D7">
      <w:rPr>
        <w:rFonts w:ascii="宋体" w:eastAsia="宋体" w:hAnsi="宋体" w:hint="eastAsia"/>
        <w:sz w:val="21"/>
        <w:szCs w:val="21"/>
        <w:u w:val="single"/>
      </w:rPr>
      <w:t>证券简称：北方稀土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BB"/>
    <w:rsid w:val="00003ACB"/>
    <w:rsid w:val="00007869"/>
    <w:rsid w:val="00007F1B"/>
    <w:rsid w:val="0001045D"/>
    <w:rsid w:val="000169C8"/>
    <w:rsid w:val="000206A8"/>
    <w:rsid w:val="00021068"/>
    <w:rsid w:val="00021239"/>
    <w:rsid w:val="00022AA2"/>
    <w:rsid w:val="0003014A"/>
    <w:rsid w:val="00031806"/>
    <w:rsid w:val="00032F0D"/>
    <w:rsid w:val="000346FE"/>
    <w:rsid w:val="00036037"/>
    <w:rsid w:val="00037106"/>
    <w:rsid w:val="000377E4"/>
    <w:rsid w:val="00044341"/>
    <w:rsid w:val="0005145E"/>
    <w:rsid w:val="00053D25"/>
    <w:rsid w:val="00054B81"/>
    <w:rsid w:val="00056687"/>
    <w:rsid w:val="0006189F"/>
    <w:rsid w:val="00063B3A"/>
    <w:rsid w:val="00063F99"/>
    <w:rsid w:val="000758DB"/>
    <w:rsid w:val="00076053"/>
    <w:rsid w:val="00081740"/>
    <w:rsid w:val="000A61BB"/>
    <w:rsid w:val="000A73E5"/>
    <w:rsid w:val="000B0092"/>
    <w:rsid w:val="000B2BB0"/>
    <w:rsid w:val="000B33AD"/>
    <w:rsid w:val="000B7040"/>
    <w:rsid w:val="000C5F6A"/>
    <w:rsid w:val="000C6531"/>
    <w:rsid w:val="000D5AC6"/>
    <w:rsid w:val="000E1D6C"/>
    <w:rsid w:val="000E44B4"/>
    <w:rsid w:val="000E5F9C"/>
    <w:rsid w:val="000E6FD6"/>
    <w:rsid w:val="000F2C46"/>
    <w:rsid w:val="000F4902"/>
    <w:rsid w:val="000F614D"/>
    <w:rsid w:val="00101D02"/>
    <w:rsid w:val="001102BE"/>
    <w:rsid w:val="0011160F"/>
    <w:rsid w:val="00113461"/>
    <w:rsid w:val="0011424D"/>
    <w:rsid w:val="00116915"/>
    <w:rsid w:val="0012052A"/>
    <w:rsid w:val="00121EED"/>
    <w:rsid w:val="00122FF4"/>
    <w:rsid w:val="00123B39"/>
    <w:rsid w:val="001313BB"/>
    <w:rsid w:val="001338C4"/>
    <w:rsid w:val="001341B6"/>
    <w:rsid w:val="00141204"/>
    <w:rsid w:val="001504BF"/>
    <w:rsid w:val="00151C65"/>
    <w:rsid w:val="00152480"/>
    <w:rsid w:val="00156292"/>
    <w:rsid w:val="00156419"/>
    <w:rsid w:val="00157890"/>
    <w:rsid w:val="00166472"/>
    <w:rsid w:val="00170FDB"/>
    <w:rsid w:val="00171EED"/>
    <w:rsid w:val="00175861"/>
    <w:rsid w:val="00175D2A"/>
    <w:rsid w:val="00176D09"/>
    <w:rsid w:val="00183849"/>
    <w:rsid w:val="001840C5"/>
    <w:rsid w:val="001863DF"/>
    <w:rsid w:val="00187C3E"/>
    <w:rsid w:val="001908FC"/>
    <w:rsid w:val="001A0AC0"/>
    <w:rsid w:val="001B4C07"/>
    <w:rsid w:val="001B66C0"/>
    <w:rsid w:val="001C0F9B"/>
    <w:rsid w:val="001C29FD"/>
    <w:rsid w:val="001C3895"/>
    <w:rsid w:val="001C62BF"/>
    <w:rsid w:val="001D0954"/>
    <w:rsid w:val="001D2ACE"/>
    <w:rsid w:val="001D4005"/>
    <w:rsid w:val="001D5485"/>
    <w:rsid w:val="001D6150"/>
    <w:rsid w:val="001D6699"/>
    <w:rsid w:val="001D67BD"/>
    <w:rsid w:val="001D78E1"/>
    <w:rsid w:val="001E0E7B"/>
    <w:rsid w:val="001E4E65"/>
    <w:rsid w:val="001E5885"/>
    <w:rsid w:val="001F0527"/>
    <w:rsid w:val="001F298E"/>
    <w:rsid w:val="001F60ED"/>
    <w:rsid w:val="00202F7A"/>
    <w:rsid w:val="0020439B"/>
    <w:rsid w:val="00207DB3"/>
    <w:rsid w:val="00212997"/>
    <w:rsid w:val="00213154"/>
    <w:rsid w:val="0021427D"/>
    <w:rsid w:val="00217045"/>
    <w:rsid w:val="002200EF"/>
    <w:rsid w:val="00223B7C"/>
    <w:rsid w:val="00225001"/>
    <w:rsid w:val="0022730F"/>
    <w:rsid w:val="00227315"/>
    <w:rsid w:val="00232A86"/>
    <w:rsid w:val="00232D7A"/>
    <w:rsid w:val="0023380D"/>
    <w:rsid w:val="00240392"/>
    <w:rsid w:val="00244F53"/>
    <w:rsid w:val="0024795D"/>
    <w:rsid w:val="00247E4A"/>
    <w:rsid w:val="002518D0"/>
    <w:rsid w:val="00253EE3"/>
    <w:rsid w:val="00255068"/>
    <w:rsid w:val="002551CC"/>
    <w:rsid w:val="00260421"/>
    <w:rsid w:val="00260CA3"/>
    <w:rsid w:val="002610C3"/>
    <w:rsid w:val="0026334F"/>
    <w:rsid w:val="00264CEC"/>
    <w:rsid w:val="002709B5"/>
    <w:rsid w:val="00270CEA"/>
    <w:rsid w:val="00271400"/>
    <w:rsid w:val="00271649"/>
    <w:rsid w:val="00277333"/>
    <w:rsid w:val="00280B28"/>
    <w:rsid w:val="00282AFC"/>
    <w:rsid w:val="00291D78"/>
    <w:rsid w:val="00292919"/>
    <w:rsid w:val="002939FF"/>
    <w:rsid w:val="002A7F7E"/>
    <w:rsid w:val="002B1D62"/>
    <w:rsid w:val="002B31F8"/>
    <w:rsid w:val="002B4AC1"/>
    <w:rsid w:val="002C12B7"/>
    <w:rsid w:val="002C2015"/>
    <w:rsid w:val="002C2368"/>
    <w:rsid w:val="002C3857"/>
    <w:rsid w:val="002C6D02"/>
    <w:rsid w:val="002D480D"/>
    <w:rsid w:val="002D544A"/>
    <w:rsid w:val="002D680B"/>
    <w:rsid w:val="002E7BB2"/>
    <w:rsid w:val="002F52D9"/>
    <w:rsid w:val="00302674"/>
    <w:rsid w:val="00304076"/>
    <w:rsid w:val="00304270"/>
    <w:rsid w:val="0031597B"/>
    <w:rsid w:val="00320500"/>
    <w:rsid w:val="00334A60"/>
    <w:rsid w:val="00336316"/>
    <w:rsid w:val="0033772A"/>
    <w:rsid w:val="0034086F"/>
    <w:rsid w:val="00341220"/>
    <w:rsid w:val="00350231"/>
    <w:rsid w:val="00352A6C"/>
    <w:rsid w:val="003551FF"/>
    <w:rsid w:val="00365231"/>
    <w:rsid w:val="00366A8C"/>
    <w:rsid w:val="00371015"/>
    <w:rsid w:val="0037480B"/>
    <w:rsid w:val="00383606"/>
    <w:rsid w:val="00384183"/>
    <w:rsid w:val="0038662D"/>
    <w:rsid w:val="003868FD"/>
    <w:rsid w:val="003879A6"/>
    <w:rsid w:val="00391B9D"/>
    <w:rsid w:val="003946E4"/>
    <w:rsid w:val="003951F5"/>
    <w:rsid w:val="003A3DA4"/>
    <w:rsid w:val="003A53E1"/>
    <w:rsid w:val="003B282B"/>
    <w:rsid w:val="003B4432"/>
    <w:rsid w:val="003C03E4"/>
    <w:rsid w:val="003C0AD4"/>
    <w:rsid w:val="003C6162"/>
    <w:rsid w:val="003D152B"/>
    <w:rsid w:val="003D27B8"/>
    <w:rsid w:val="003D48E1"/>
    <w:rsid w:val="003D6815"/>
    <w:rsid w:val="003E3BA4"/>
    <w:rsid w:val="003E5B76"/>
    <w:rsid w:val="003E6B6D"/>
    <w:rsid w:val="003E71C5"/>
    <w:rsid w:val="003F3F1B"/>
    <w:rsid w:val="003F6B3F"/>
    <w:rsid w:val="004028CD"/>
    <w:rsid w:val="0040328C"/>
    <w:rsid w:val="00411FC5"/>
    <w:rsid w:val="00415B67"/>
    <w:rsid w:val="00422A1A"/>
    <w:rsid w:val="00423223"/>
    <w:rsid w:val="004366FF"/>
    <w:rsid w:val="00442140"/>
    <w:rsid w:val="00442E50"/>
    <w:rsid w:val="0044560C"/>
    <w:rsid w:val="00453A54"/>
    <w:rsid w:val="00453D05"/>
    <w:rsid w:val="004558AA"/>
    <w:rsid w:val="00456F33"/>
    <w:rsid w:val="00461F71"/>
    <w:rsid w:val="00462770"/>
    <w:rsid w:val="00476690"/>
    <w:rsid w:val="004808F4"/>
    <w:rsid w:val="00481A0C"/>
    <w:rsid w:val="00482245"/>
    <w:rsid w:val="0048683F"/>
    <w:rsid w:val="00491DEC"/>
    <w:rsid w:val="00492ED8"/>
    <w:rsid w:val="00494A7B"/>
    <w:rsid w:val="004B35E3"/>
    <w:rsid w:val="004B7E61"/>
    <w:rsid w:val="004C5EA4"/>
    <w:rsid w:val="004C658D"/>
    <w:rsid w:val="004D19F4"/>
    <w:rsid w:val="004E2748"/>
    <w:rsid w:val="004E329A"/>
    <w:rsid w:val="004E4E8A"/>
    <w:rsid w:val="004E5C85"/>
    <w:rsid w:val="004F0918"/>
    <w:rsid w:val="004F754F"/>
    <w:rsid w:val="004F7C43"/>
    <w:rsid w:val="0050341C"/>
    <w:rsid w:val="005055D2"/>
    <w:rsid w:val="00507CC3"/>
    <w:rsid w:val="00510BDA"/>
    <w:rsid w:val="00511DFF"/>
    <w:rsid w:val="0051602E"/>
    <w:rsid w:val="00520E04"/>
    <w:rsid w:val="00523D7B"/>
    <w:rsid w:val="00527B20"/>
    <w:rsid w:val="00530281"/>
    <w:rsid w:val="00530347"/>
    <w:rsid w:val="00531EB8"/>
    <w:rsid w:val="00532ADD"/>
    <w:rsid w:val="0054129D"/>
    <w:rsid w:val="0054154E"/>
    <w:rsid w:val="00543EB9"/>
    <w:rsid w:val="00544659"/>
    <w:rsid w:val="005502D8"/>
    <w:rsid w:val="00550A0A"/>
    <w:rsid w:val="005566C2"/>
    <w:rsid w:val="00563A90"/>
    <w:rsid w:val="005752DD"/>
    <w:rsid w:val="005803B1"/>
    <w:rsid w:val="00586481"/>
    <w:rsid w:val="00590B96"/>
    <w:rsid w:val="00591CF8"/>
    <w:rsid w:val="00592DED"/>
    <w:rsid w:val="00596BFF"/>
    <w:rsid w:val="00596E96"/>
    <w:rsid w:val="005979B1"/>
    <w:rsid w:val="005A2650"/>
    <w:rsid w:val="005A3607"/>
    <w:rsid w:val="005B48C9"/>
    <w:rsid w:val="005B5010"/>
    <w:rsid w:val="005B735C"/>
    <w:rsid w:val="005C0B3D"/>
    <w:rsid w:val="005C5193"/>
    <w:rsid w:val="005C720C"/>
    <w:rsid w:val="005D002D"/>
    <w:rsid w:val="005D2726"/>
    <w:rsid w:val="005E26FB"/>
    <w:rsid w:val="005E3043"/>
    <w:rsid w:val="005E40F0"/>
    <w:rsid w:val="005E6E0B"/>
    <w:rsid w:val="005F03B2"/>
    <w:rsid w:val="005F1F0A"/>
    <w:rsid w:val="005F21E1"/>
    <w:rsid w:val="006018B4"/>
    <w:rsid w:val="00607CED"/>
    <w:rsid w:val="00610106"/>
    <w:rsid w:val="00614392"/>
    <w:rsid w:val="00621EB3"/>
    <w:rsid w:val="006255D1"/>
    <w:rsid w:val="00627906"/>
    <w:rsid w:val="0063017D"/>
    <w:rsid w:val="00631C05"/>
    <w:rsid w:val="00632C2F"/>
    <w:rsid w:val="0064269B"/>
    <w:rsid w:val="006454F9"/>
    <w:rsid w:val="0065140A"/>
    <w:rsid w:val="006563BB"/>
    <w:rsid w:val="00663895"/>
    <w:rsid w:val="0066468E"/>
    <w:rsid w:val="00671B9B"/>
    <w:rsid w:val="00676F9E"/>
    <w:rsid w:val="0068603C"/>
    <w:rsid w:val="00691222"/>
    <w:rsid w:val="00693BD8"/>
    <w:rsid w:val="00695BF6"/>
    <w:rsid w:val="006A047A"/>
    <w:rsid w:val="006A6D01"/>
    <w:rsid w:val="006A77BF"/>
    <w:rsid w:val="006B27CD"/>
    <w:rsid w:val="006B3810"/>
    <w:rsid w:val="006B4239"/>
    <w:rsid w:val="006C075C"/>
    <w:rsid w:val="006C361F"/>
    <w:rsid w:val="006C3906"/>
    <w:rsid w:val="006C74EC"/>
    <w:rsid w:val="006D2FE0"/>
    <w:rsid w:val="006E5585"/>
    <w:rsid w:val="006E64D6"/>
    <w:rsid w:val="006F5446"/>
    <w:rsid w:val="00704108"/>
    <w:rsid w:val="00710661"/>
    <w:rsid w:val="00711753"/>
    <w:rsid w:val="007144DA"/>
    <w:rsid w:val="00716B08"/>
    <w:rsid w:val="007200D4"/>
    <w:rsid w:val="0072416C"/>
    <w:rsid w:val="00726D70"/>
    <w:rsid w:val="00731D5B"/>
    <w:rsid w:val="00737ABF"/>
    <w:rsid w:val="00740B97"/>
    <w:rsid w:val="0074248B"/>
    <w:rsid w:val="0074644E"/>
    <w:rsid w:val="00750AC7"/>
    <w:rsid w:val="00765170"/>
    <w:rsid w:val="007700D6"/>
    <w:rsid w:val="0077381C"/>
    <w:rsid w:val="00773A3B"/>
    <w:rsid w:val="00781B73"/>
    <w:rsid w:val="00783BDB"/>
    <w:rsid w:val="00792814"/>
    <w:rsid w:val="007A31C0"/>
    <w:rsid w:val="007A4819"/>
    <w:rsid w:val="007A7B9C"/>
    <w:rsid w:val="007B03D8"/>
    <w:rsid w:val="007B05EC"/>
    <w:rsid w:val="007B0E9F"/>
    <w:rsid w:val="007B6069"/>
    <w:rsid w:val="007C31BA"/>
    <w:rsid w:val="007C46DC"/>
    <w:rsid w:val="007C4AE8"/>
    <w:rsid w:val="007C6709"/>
    <w:rsid w:val="007C797C"/>
    <w:rsid w:val="007D5B4F"/>
    <w:rsid w:val="007E23DA"/>
    <w:rsid w:val="007E4C99"/>
    <w:rsid w:val="007E568E"/>
    <w:rsid w:val="007E5B42"/>
    <w:rsid w:val="007F1D47"/>
    <w:rsid w:val="007F6CB0"/>
    <w:rsid w:val="00802127"/>
    <w:rsid w:val="0080393F"/>
    <w:rsid w:val="00806058"/>
    <w:rsid w:val="008062B4"/>
    <w:rsid w:val="008121FD"/>
    <w:rsid w:val="0081301A"/>
    <w:rsid w:val="0081426A"/>
    <w:rsid w:val="00817CB6"/>
    <w:rsid w:val="00824A3D"/>
    <w:rsid w:val="00826C92"/>
    <w:rsid w:val="00827F2B"/>
    <w:rsid w:val="00831F53"/>
    <w:rsid w:val="00834458"/>
    <w:rsid w:val="008446FB"/>
    <w:rsid w:val="0085089E"/>
    <w:rsid w:val="0085217F"/>
    <w:rsid w:val="00855C5F"/>
    <w:rsid w:val="00856B96"/>
    <w:rsid w:val="008607BB"/>
    <w:rsid w:val="00860AAE"/>
    <w:rsid w:val="00861EEC"/>
    <w:rsid w:val="008713F4"/>
    <w:rsid w:val="00874762"/>
    <w:rsid w:val="008763DF"/>
    <w:rsid w:val="00880C96"/>
    <w:rsid w:val="00882880"/>
    <w:rsid w:val="00890C10"/>
    <w:rsid w:val="0089166C"/>
    <w:rsid w:val="00892F91"/>
    <w:rsid w:val="008945E7"/>
    <w:rsid w:val="00895F7F"/>
    <w:rsid w:val="008B77B8"/>
    <w:rsid w:val="008B7EC8"/>
    <w:rsid w:val="008C05AB"/>
    <w:rsid w:val="008D1FE9"/>
    <w:rsid w:val="008D2FCC"/>
    <w:rsid w:val="008D54FC"/>
    <w:rsid w:val="008D55BD"/>
    <w:rsid w:val="008D6AC4"/>
    <w:rsid w:val="008D734E"/>
    <w:rsid w:val="008E38FB"/>
    <w:rsid w:val="008E3D5D"/>
    <w:rsid w:val="008E5017"/>
    <w:rsid w:val="008F33B4"/>
    <w:rsid w:val="0090296F"/>
    <w:rsid w:val="00903723"/>
    <w:rsid w:val="00906508"/>
    <w:rsid w:val="009117F5"/>
    <w:rsid w:val="009137FC"/>
    <w:rsid w:val="0091442D"/>
    <w:rsid w:val="0091500A"/>
    <w:rsid w:val="00925DDA"/>
    <w:rsid w:val="00925E43"/>
    <w:rsid w:val="009304A5"/>
    <w:rsid w:val="0093191F"/>
    <w:rsid w:val="009335A9"/>
    <w:rsid w:val="00940DB2"/>
    <w:rsid w:val="00953518"/>
    <w:rsid w:val="00954561"/>
    <w:rsid w:val="00954A36"/>
    <w:rsid w:val="009579DE"/>
    <w:rsid w:val="009649CE"/>
    <w:rsid w:val="00976196"/>
    <w:rsid w:val="0098185A"/>
    <w:rsid w:val="0098232A"/>
    <w:rsid w:val="00983890"/>
    <w:rsid w:val="00994603"/>
    <w:rsid w:val="009A4FF1"/>
    <w:rsid w:val="009A508C"/>
    <w:rsid w:val="009A5618"/>
    <w:rsid w:val="009A5EE7"/>
    <w:rsid w:val="009B2FDA"/>
    <w:rsid w:val="009B5515"/>
    <w:rsid w:val="009B79F7"/>
    <w:rsid w:val="009C4DC5"/>
    <w:rsid w:val="009C54CB"/>
    <w:rsid w:val="009C63F5"/>
    <w:rsid w:val="009C6AE7"/>
    <w:rsid w:val="009C6C08"/>
    <w:rsid w:val="009D1195"/>
    <w:rsid w:val="009D4117"/>
    <w:rsid w:val="009D49E1"/>
    <w:rsid w:val="009D525D"/>
    <w:rsid w:val="009E3859"/>
    <w:rsid w:val="009E39F1"/>
    <w:rsid w:val="009E5541"/>
    <w:rsid w:val="009E78C0"/>
    <w:rsid w:val="00A12CC8"/>
    <w:rsid w:val="00A259FC"/>
    <w:rsid w:val="00A31238"/>
    <w:rsid w:val="00A33938"/>
    <w:rsid w:val="00A352C9"/>
    <w:rsid w:val="00A36BDE"/>
    <w:rsid w:val="00A43B63"/>
    <w:rsid w:val="00A43E6A"/>
    <w:rsid w:val="00A503F7"/>
    <w:rsid w:val="00A5081F"/>
    <w:rsid w:val="00A5389B"/>
    <w:rsid w:val="00A60FC0"/>
    <w:rsid w:val="00A65745"/>
    <w:rsid w:val="00A729A4"/>
    <w:rsid w:val="00A741C5"/>
    <w:rsid w:val="00A77EB8"/>
    <w:rsid w:val="00A803E7"/>
    <w:rsid w:val="00A81240"/>
    <w:rsid w:val="00A921D1"/>
    <w:rsid w:val="00A949B9"/>
    <w:rsid w:val="00A953B0"/>
    <w:rsid w:val="00A97AFD"/>
    <w:rsid w:val="00AA04DF"/>
    <w:rsid w:val="00AA59AD"/>
    <w:rsid w:val="00AA72AA"/>
    <w:rsid w:val="00AB1BC3"/>
    <w:rsid w:val="00AB26A6"/>
    <w:rsid w:val="00AB3866"/>
    <w:rsid w:val="00AB5C78"/>
    <w:rsid w:val="00AC169F"/>
    <w:rsid w:val="00AC6BFA"/>
    <w:rsid w:val="00AC751F"/>
    <w:rsid w:val="00AD3682"/>
    <w:rsid w:val="00AE3C2A"/>
    <w:rsid w:val="00AF0AB0"/>
    <w:rsid w:val="00AF18DD"/>
    <w:rsid w:val="00AF18E3"/>
    <w:rsid w:val="00B0045D"/>
    <w:rsid w:val="00B01D5F"/>
    <w:rsid w:val="00B0267D"/>
    <w:rsid w:val="00B07FAD"/>
    <w:rsid w:val="00B141AC"/>
    <w:rsid w:val="00B165B7"/>
    <w:rsid w:val="00B17EA5"/>
    <w:rsid w:val="00B20CF2"/>
    <w:rsid w:val="00B21C21"/>
    <w:rsid w:val="00B22865"/>
    <w:rsid w:val="00B234CD"/>
    <w:rsid w:val="00B26CF9"/>
    <w:rsid w:val="00B40DB2"/>
    <w:rsid w:val="00B449F2"/>
    <w:rsid w:val="00B449FD"/>
    <w:rsid w:val="00B46FD3"/>
    <w:rsid w:val="00B47CB3"/>
    <w:rsid w:val="00B5272D"/>
    <w:rsid w:val="00B54940"/>
    <w:rsid w:val="00B552C4"/>
    <w:rsid w:val="00B569BB"/>
    <w:rsid w:val="00B57AE0"/>
    <w:rsid w:val="00B60C7F"/>
    <w:rsid w:val="00B6741F"/>
    <w:rsid w:val="00B74007"/>
    <w:rsid w:val="00B76534"/>
    <w:rsid w:val="00B77FD0"/>
    <w:rsid w:val="00B84B6A"/>
    <w:rsid w:val="00B85E64"/>
    <w:rsid w:val="00B932B3"/>
    <w:rsid w:val="00B95B30"/>
    <w:rsid w:val="00B97082"/>
    <w:rsid w:val="00B977D7"/>
    <w:rsid w:val="00BA07EA"/>
    <w:rsid w:val="00BB1AE6"/>
    <w:rsid w:val="00BB42DF"/>
    <w:rsid w:val="00BB66DA"/>
    <w:rsid w:val="00BC0701"/>
    <w:rsid w:val="00BC3574"/>
    <w:rsid w:val="00BD1210"/>
    <w:rsid w:val="00BD3874"/>
    <w:rsid w:val="00BD5169"/>
    <w:rsid w:val="00BD5418"/>
    <w:rsid w:val="00BE072E"/>
    <w:rsid w:val="00BE0DCE"/>
    <w:rsid w:val="00BE121F"/>
    <w:rsid w:val="00BE3632"/>
    <w:rsid w:val="00BE3C4A"/>
    <w:rsid w:val="00BF04CD"/>
    <w:rsid w:val="00BF0C73"/>
    <w:rsid w:val="00BF7367"/>
    <w:rsid w:val="00C00C28"/>
    <w:rsid w:val="00C012B8"/>
    <w:rsid w:val="00C15895"/>
    <w:rsid w:val="00C203D9"/>
    <w:rsid w:val="00C207D4"/>
    <w:rsid w:val="00C24104"/>
    <w:rsid w:val="00C26F43"/>
    <w:rsid w:val="00C369BC"/>
    <w:rsid w:val="00C373F9"/>
    <w:rsid w:val="00C40E85"/>
    <w:rsid w:val="00C441BB"/>
    <w:rsid w:val="00C44906"/>
    <w:rsid w:val="00C4682F"/>
    <w:rsid w:val="00C520CE"/>
    <w:rsid w:val="00C52CC4"/>
    <w:rsid w:val="00C53407"/>
    <w:rsid w:val="00C53B86"/>
    <w:rsid w:val="00C53CF2"/>
    <w:rsid w:val="00C57EB2"/>
    <w:rsid w:val="00C60DFD"/>
    <w:rsid w:val="00C73B0D"/>
    <w:rsid w:val="00C75DDC"/>
    <w:rsid w:val="00C816A0"/>
    <w:rsid w:val="00C824B4"/>
    <w:rsid w:val="00C84BB2"/>
    <w:rsid w:val="00C879AC"/>
    <w:rsid w:val="00C91887"/>
    <w:rsid w:val="00C918FE"/>
    <w:rsid w:val="00C966B5"/>
    <w:rsid w:val="00CA295F"/>
    <w:rsid w:val="00CA2A2C"/>
    <w:rsid w:val="00CA2F8B"/>
    <w:rsid w:val="00CA3890"/>
    <w:rsid w:val="00CA4E1D"/>
    <w:rsid w:val="00CB0581"/>
    <w:rsid w:val="00CB0A0C"/>
    <w:rsid w:val="00CB3E32"/>
    <w:rsid w:val="00CB3E73"/>
    <w:rsid w:val="00CB7185"/>
    <w:rsid w:val="00CC3A11"/>
    <w:rsid w:val="00CC625A"/>
    <w:rsid w:val="00CD0388"/>
    <w:rsid w:val="00CD341F"/>
    <w:rsid w:val="00CD495F"/>
    <w:rsid w:val="00CD4AD1"/>
    <w:rsid w:val="00CD5531"/>
    <w:rsid w:val="00CD634B"/>
    <w:rsid w:val="00CD758B"/>
    <w:rsid w:val="00CE2186"/>
    <w:rsid w:val="00CE4E07"/>
    <w:rsid w:val="00CE7232"/>
    <w:rsid w:val="00CF2792"/>
    <w:rsid w:val="00D03C6E"/>
    <w:rsid w:val="00D05102"/>
    <w:rsid w:val="00D055BB"/>
    <w:rsid w:val="00D1116A"/>
    <w:rsid w:val="00D116F5"/>
    <w:rsid w:val="00D17675"/>
    <w:rsid w:val="00D176B3"/>
    <w:rsid w:val="00D2257E"/>
    <w:rsid w:val="00D2391F"/>
    <w:rsid w:val="00D27F34"/>
    <w:rsid w:val="00D322AB"/>
    <w:rsid w:val="00D3544B"/>
    <w:rsid w:val="00D441F6"/>
    <w:rsid w:val="00D44317"/>
    <w:rsid w:val="00D477D5"/>
    <w:rsid w:val="00D4795A"/>
    <w:rsid w:val="00D617FD"/>
    <w:rsid w:val="00D6289B"/>
    <w:rsid w:val="00D62D38"/>
    <w:rsid w:val="00D63D2F"/>
    <w:rsid w:val="00D73C69"/>
    <w:rsid w:val="00D763E2"/>
    <w:rsid w:val="00D80235"/>
    <w:rsid w:val="00D80C5D"/>
    <w:rsid w:val="00D9161C"/>
    <w:rsid w:val="00D96DBF"/>
    <w:rsid w:val="00DA06B7"/>
    <w:rsid w:val="00DA0B3D"/>
    <w:rsid w:val="00DA3E10"/>
    <w:rsid w:val="00DA50E5"/>
    <w:rsid w:val="00DB29CE"/>
    <w:rsid w:val="00DC61CF"/>
    <w:rsid w:val="00DD0705"/>
    <w:rsid w:val="00DD3D50"/>
    <w:rsid w:val="00DD714B"/>
    <w:rsid w:val="00DE741B"/>
    <w:rsid w:val="00DF10F0"/>
    <w:rsid w:val="00DF223E"/>
    <w:rsid w:val="00DF3270"/>
    <w:rsid w:val="00DF5225"/>
    <w:rsid w:val="00DF5EFA"/>
    <w:rsid w:val="00DF6450"/>
    <w:rsid w:val="00E0022F"/>
    <w:rsid w:val="00E003EE"/>
    <w:rsid w:val="00E032DD"/>
    <w:rsid w:val="00E03792"/>
    <w:rsid w:val="00E05487"/>
    <w:rsid w:val="00E11A82"/>
    <w:rsid w:val="00E12EF1"/>
    <w:rsid w:val="00E258F7"/>
    <w:rsid w:val="00E30D71"/>
    <w:rsid w:val="00E3135B"/>
    <w:rsid w:val="00E37290"/>
    <w:rsid w:val="00E373ED"/>
    <w:rsid w:val="00E3770F"/>
    <w:rsid w:val="00E412D5"/>
    <w:rsid w:val="00E437EA"/>
    <w:rsid w:val="00E508B3"/>
    <w:rsid w:val="00E5199C"/>
    <w:rsid w:val="00E54116"/>
    <w:rsid w:val="00E5736F"/>
    <w:rsid w:val="00E604E2"/>
    <w:rsid w:val="00E64FEE"/>
    <w:rsid w:val="00E67BF1"/>
    <w:rsid w:val="00E71A95"/>
    <w:rsid w:val="00E72BA3"/>
    <w:rsid w:val="00E7492A"/>
    <w:rsid w:val="00E7614F"/>
    <w:rsid w:val="00E76C53"/>
    <w:rsid w:val="00E82A8E"/>
    <w:rsid w:val="00E84545"/>
    <w:rsid w:val="00E86746"/>
    <w:rsid w:val="00E87292"/>
    <w:rsid w:val="00E87950"/>
    <w:rsid w:val="00E9047B"/>
    <w:rsid w:val="00E93433"/>
    <w:rsid w:val="00E944C6"/>
    <w:rsid w:val="00EB673C"/>
    <w:rsid w:val="00EB7E3D"/>
    <w:rsid w:val="00EC5CB6"/>
    <w:rsid w:val="00ED01C4"/>
    <w:rsid w:val="00ED1F61"/>
    <w:rsid w:val="00ED2059"/>
    <w:rsid w:val="00ED3B9C"/>
    <w:rsid w:val="00ED4C0C"/>
    <w:rsid w:val="00EE2FBF"/>
    <w:rsid w:val="00EE3C29"/>
    <w:rsid w:val="00EE52D6"/>
    <w:rsid w:val="00EF0129"/>
    <w:rsid w:val="00EF128E"/>
    <w:rsid w:val="00EF1E63"/>
    <w:rsid w:val="00EF7BC3"/>
    <w:rsid w:val="00EF7BC6"/>
    <w:rsid w:val="00F0468B"/>
    <w:rsid w:val="00F1437A"/>
    <w:rsid w:val="00F164D0"/>
    <w:rsid w:val="00F2205F"/>
    <w:rsid w:val="00F23A9F"/>
    <w:rsid w:val="00F277E8"/>
    <w:rsid w:val="00F30157"/>
    <w:rsid w:val="00F31ABC"/>
    <w:rsid w:val="00F47EEF"/>
    <w:rsid w:val="00F54696"/>
    <w:rsid w:val="00F5523D"/>
    <w:rsid w:val="00F605FA"/>
    <w:rsid w:val="00F64F32"/>
    <w:rsid w:val="00F671CE"/>
    <w:rsid w:val="00F70E1C"/>
    <w:rsid w:val="00F72275"/>
    <w:rsid w:val="00F72957"/>
    <w:rsid w:val="00F767E5"/>
    <w:rsid w:val="00F768DA"/>
    <w:rsid w:val="00F80D6B"/>
    <w:rsid w:val="00F82564"/>
    <w:rsid w:val="00F85AFF"/>
    <w:rsid w:val="00F8657A"/>
    <w:rsid w:val="00F966E6"/>
    <w:rsid w:val="00F969B1"/>
    <w:rsid w:val="00F96C3F"/>
    <w:rsid w:val="00F97FD6"/>
    <w:rsid w:val="00FA1CD1"/>
    <w:rsid w:val="00FA4342"/>
    <w:rsid w:val="00FA5FF9"/>
    <w:rsid w:val="00FA7179"/>
    <w:rsid w:val="00FB002C"/>
    <w:rsid w:val="00FB1C11"/>
    <w:rsid w:val="00FB3D9E"/>
    <w:rsid w:val="00FB54D5"/>
    <w:rsid w:val="00FB6FFC"/>
    <w:rsid w:val="00FC3B24"/>
    <w:rsid w:val="00FC5D0F"/>
    <w:rsid w:val="00FC63D8"/>
    <w:rsid w:val="00FD0247"/>
    <w:rsid w:val="00FD4E91"/>
    <w:rsid w:val="00FD5425"/>
    <w:rsid w:val="00FE1EDB"/>
    <w:rsid w:val="00FE24C2"/>
    <w:rsid w:val="00FE7D4B"/>
    <w:rsid w:val="00FF6CA0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BCE73"/>
  <w15:chartTrackingRefBased/>
  <w15:docId w15:val="{F4473AF9-883E-4F16-992C-643A3C0B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0A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8E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8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8E3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41B6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41B6"/>
    <w:rPr>
      <w:rFonts w:ascii="Times New Roman" w:eastAsia="仿宋_GB2312" w:hAnsi="Times New Roman" w:cs="Times New Roman"/>
      <w:sz w:val="18"/>
      <w:szCs w:val="18"/>
    </w:rPr>
  </w:style>
  <w:style w:type="character" w:customStyle="1" w:styleId="dt-editorword">
    <w:name w:val="dt-editor__word"/>
    <w:basedOn w:val="a0"/>
    <w:rsid w:val="00ED3B9C"/>
  </w:style>
  <w:style w:type="paragraph" w:customStyle="1" w:styleId="Default">
    <w:name w:val="Default"/>
    <w:rsid w:val="00BD387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剑</dc:creator>
  <cp:keywords/>
  <dc:description/>
  <cp:lastModifiedBy>李学峰</cp:lastModifiedBy>
  <cp:revision>20</cp:revision>
  <cp:lastPrinted>2023-03-17T10:15:00Z</cp:lastPrinted>
  <dcterms:created xsi:type="dcterms:W3CDTF">2024-03-05T00:43:00Z</dcterms:created>
  <dcterms:modified xsi:type="dcterms:W3CDTF">2024-03-08T02:52:00Z</dcterms:modified>
</cp:coreProperties>
</file>