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ascii="宋体" w:hAnsi="宋体"/>
          <w:b/>
          <w:bCs/>
          <w:iCs/>
          <w:color w:val="000000"/>
        </w:rPr>
      </w:pPr>
      <w:r>
        <w:rPr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>688141</w:t>
      </w:r>
      <w:r>
        <w:rPr>
          <w:bCs/>
          <w:iCs/>
          <w:color w:val="000000"/>
        </w:rPr>
        <w:t xml:space="preserve">                          </w:t>
      </w:r>
      <w:r>
        <w:rPr>
          <w:rFonts w:hint="eastAsia"/>
          <w:bCs/>
          <w:iCs/>
          <w:color w:val="000000"/>
        </w:rPr>
        <w:t xml:space="preserve">           </w:t>
      </w:r>
      <w:r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杰华特</w:t>
      </w:r>
    </w:p>
    <w:p>
      <w:pPr>
        <w:spacing w:before="156" w:beforeLines="50" w:after="156" w:afterLines="50"/>
        <w:ind w:firstLine="56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杰华特微电子股份有限公司投资者关系活动记录表</w:t>
      </w:r>
    </w:p>
    <w:p>
      <w:pPr>
        <w:spacing w:line="400" w:lineRule="exact"/>
        <w:ind w:firstLine="480"/>
        <w:rPr>
          <w:rFonts w:ascii="宋体" w:hAnsi="宋体"/>
          <w:bCs/>
          <w:iCs/>
          <w:color w:val="000000"/>
        </w:rPr>
      </w:pPr>
      <w:r>
        <w:rPr>
          <w:rFonts w:hint="eastAsia" w:ascii="宋体" w:hAnsi="宋体"/>
          <w:bCs/>
          <w:iCs/>
          <w:color w:val="000000"/>
        </w:rPr>
        <w:t xml:space="preserve">                                                    编号：2024-001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color w:val="000000"/>
              </w:rPr>
              <w:sym w:font="Wingdings 2" w:char="0052"/>
            </w:r>
            <w:r>
              <w:rPr>
                <w:rFonts w:hint="eastAsia" w:ascii="宋体" w:hAnsi="宋体" w:cs="宋体"/>
              </w:rPr>
              <w:t>分析师会议</w:t>
            </w:r>
          </w:p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iCs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业绩说明会</w:t>
            </w:r>
          </w:p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 xml:space="preserve">新闻发布会          </w:t>
            </w:r>
            <w:r>
              <w:rPr>
                <w:rFonts w:hint="eastAsia" w:ascii="宋体" w:hAnsi="宋体" w:cs="宋体"/>
                <w:bCs/>
                <w:i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现场参观</w:t>
            </w:r>
            <w:r>
              <w:rPr>
                <w:rFonts w:hint="eastAsia" w:ascii="宋体" w:hAnsi="宋体" w:cs="宋体"/>
                <w:bCs/>
                <w:iCs/>
                <w:color w:val="000000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其他 （</w:t>
            </w:r>
            <w:r>
              <w:rPr>
                <w:rFonts w:hint="eastAsia" w:ascii="宋体" w:hAnsi="宋体" w:cs="宋体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/>
              </w:rPr>
              <w:t>嘉实基金、博时基金、大成基金、鹏华基金、国泰基金、银华基金、汇添富基金、景顺长城基金、易方达基金、富国基金、广发基金、混沌投资、东方资管、宝盈基金、兴证全球基金、建信基金、汇丰晋信、睿远基金、创金合信基金、华美国际、聚鸣投资、百年保险资管、太平洋保险、融通基金、银河基金、中银基金</w:t>
            </w:r>
            <w:r>
              <w:rPr>
                <w:rFonts w:hint="eastAsia" w:ascii="宋体" w:hAnsi="宋体" w:cs="宋体"/>
                <w:bCs/>
                <w:iCs/>
                <w:color w:val="000000"/>
              </w:rPr>
              <w:t>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2024年3月7日-8日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现场会议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jc w:val="left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总经理、董事会秘书：马问问</w:t>
            </w:r>
          </w:p>
          <w:p>
            <w:pPr>
              <w:spacing w:line="480" w:lineRule="atLeast"/>
              <w:ind w:firstLine="0" w:firstLineChars="0"/>
              <w:jc w:val="left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市场和系统总监：李正兴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介绍公司业绩快报、业绩预告情况：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根据公司《2023年年度业绩快报公告》，报告期内，公司实现营业总收入</w:t>
            </w:r>
            <w:r>
              <w:rPr>
                <w:kern w:val="0"/>
              </w:rPr>
              <w:t>133,141.06</w:t>
            </w:r>
            <w:r>
              <w:rPr>
                <w:rFonts w:hint="eastAsia"/>
                <w:kern w:val="0"/>
              </w:rPr>
              <w:t>万元，同比下降</w:t>
            </w:r>
            <w:r>
              <w:rPr>
                <w:kern w:val="0"/>
              </w:rPr>
              <w:t>8.03</w:t>
            </w:r>
            <w:r>
              <w:rPr>
                <w:rFonts w:hint="eastAsia"/>
                <w:kern w:val="0"/>
              </w:rPr>
              <w:t>%；实现归属于母公司所有者的净利润</w:t>
            </w:r>
            <w:r>
              <w:rPr>
                <w:kern w:val="0"/>
              </w:rPr>
              <w:t>-53,528.11</w:t>
            </w:r>
            <w:r>
              <w:rPr>
                <w:rFonts w:hint="eastAsia"/>
                <w:kern w:val="0"/>
              </w:rPr>
              <w:t>万元，同比下降4</w:t>
            </w:r>
            <w:r>
              <w:rPr>
                <w:kern w:val="0"/>
              </w:rPr>
              <w:t>90.26</w:t>
            </w:r>
            <w:r>
              <w:rPr>
                <w:rFonts w:hint="eastAsia"/>
                <w:kern w:val="0"/>
              </w:rPr>
              <w:t>%，实现归属于母公司所有者的扣除非经常性损益的净利润</w:t>
            </w:r>
            <w:r>
              <w:rPr>
                <w:kern w:val="0"/>
              </w:rPr>
              <w:t>-55</w:t>
            </w:r>
            <w:r>
              <w:rPr>
                <w:rFonts w:hint="eastAsia"/>
                <w:kern w:val="0"/>
              </w:rPr>
              <w:t>,</w:t>
            </w:r>
            <w:r>
              <w:rPr>
                <w:kern w:val="0"/>
              </w:rPr>
              <w:t>857.51</w:t>
            </w:r>
            <w:r>
              <w:rPr>
                <w:rFonts w:hint="eastAsia"/>
                <w:kern w:val="0"/>
              </w:rPr>
              <w:t>万元，同比下降</w:t>
            </w:r>
            <w:r>
              <w:rPr>
                <w:kern w:val="0"/>
              </w:rPr>
              <w:t>682.43</w:t>
            </w:r>
            <w:r>
              <w:rPr>
                <w:rFonts w:hint="eastAsia"/>
                <w:kern w:val="0"/>
              </w:rPr>
              <w:t>%。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报告期末，公司总资产420,507.13万元，较年初下降3.56%；归属于母公司的所有者权益266,262.79万元，较年初下降15.27%；归属于母公司所有者的每股净资产5.96元，较年初下降15.22%。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600" w:lineRule="exact"/>
              <w:ind w:firstLine="48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以上财务数据为初步核算数据，具体以公司</w:t>
            </w:r>
            <w:r>
              <w:rPr>
                <w:b w:val="0"/>
                <w:bCs/>
              </w:rPr>
              <w:t>2023</w:t>
            </w:r>
            <w:r>
              <w:rPr>
                <w:rFonts w:hint="eastAsia"/>
                <w:b w:val="0"/>
                <w:bCs/>
              </w:rPr>
              <w:t>年年度报告中披露数字为准。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投资者交流问答环节</w:t>
            </w:r>
          </w:p>
          <w:p>
            <w:pPr>
              <w:pStyle w:val="14"/>
              <w:numPr>
                <w:ilvl w:val="255"/>
                <w:numId w:val="0"/>
              </w:numPr>
              <w:ind w:firstLine="480" w:firstLineChars="20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公司主要就以下方面内容与投资者进行了沟通：</w:t>
            </w:r>
          </w:p>
          <w:p>
            <w:pPr>
              <w:pStyle w:val="6"/>
              <w:numPr>
                <w:ilvl w:val="255"/>
                <w:numId w:val="0"/>
              </w:numPr>
              <w:spacing w:before="0" w:beforeAutospacing="0" w:after="0" w:afterAutospacing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问题一：根据公司发布的业绩预告，公司净利润预亏4-5亿元，请问主要是哪些方面导致的？</w:t>
            </w:r>
          </w:p>
          <w:p>
            <w:pPr>
              <w:pStyle w:val="14"/>
              <w:numPr>
                <w:ilvl w:val="255"/>
                <w:numId w:val="0"/>
              </w:numPr>
              <w:ind w:firstLine="480" w:firstLineChars="20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影响经营业绩的主要因素有四个方面：</w:t>
            </w:r>
          </w:p>
          <w:p>
            <w:pPr>
              <w:pStyle w:val="14"/>
              <w:ind w:firstLine="48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/>
                <w:kern w:val="0"/>
              </w:rPr>
              <w:t>1、公司积极提升市场份额，芯片产品销量较上年同期增长较多，但产品价格受到一定承压导致毛利率有所下降，是当期净利润下降的主要原因之一；</w:t>
            </w:r>
          </w:p>
          <w:p>
            <w:pPr>
              <w:pStyle w:val="14"/>
              <w:ind w:firstLine="48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/>
                <w:kern w:val="0"/>
              </w:rPr>
              <w:t>2、为持续丰富产品品类和优化产品结构，2023年公司研发投入较大，研发人员数量较上年同期增长较多，研发人力成本、材料及测试开发费投入增加，使得研发费用较上年同期增长较多；</w:t>
            </w:r>
          </w:p>
          <w:p>
            <w:pPr>
              <w:pStyle w:val="14"/>
              <w:ind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3、对公司2023年度存在减值迹象的存货计提资产减值准备，本期计提资产减值损失较上年同期增长较多；</w:t>
            </w:r>
          </w:p>
          <w:p>
            <w:pPr>
              <w:pStyle w:val="14"/>
              <w:ind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4、另外，2023年6月公司实行限制性股票激励计划，使得本期股份支付费用较上年同期增长较多，进一步使得归属于上市公司股东的净利润下降。</w:t>
            </w:r>
          </w:p>
          <w:p>
            <w:pPr>
              <w:pStyle w:val="14"/>
              <w:ind w:firstLine="0" w:firstLineChars="0"/>
              <w:rPr>
                <w:kern w:val="0"/>
              </w:rPr>
            </w:pPr>
          </w:p>
          <w:p>
            <w:pPr>
              <w:pStyle w:val="6"/>
              <w:numPr>
                <w:ilvl w:val="255"/>
                <w:numId w:val="0"/>
              </w:numPr>
              <w:spacing w:before="0" w:beforeAutospacing="0" w:after="0" w:afterAutospacing="0"/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问题二：请问在现在产能不紧张的情况下，公司成本端是否有所改善，是否能从毛利率中有所体现？</w:t>
            </w:r>
          </w:p>
          <w:p>
            <w:pPr>
              <w:widowControl/>
              <w:ind w:firstLine="4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目前，上游合作伙伴都给予了有力支持，为公司提供了有竞争力的降价幅度，但是体现在毛利率上还需要一定的周期，因为客户端的降价是即时的。另外，公司基于自身的技术优势，通过产品设计和制程上的优化以及持续推出新产品，进一步提升成本竞争力，后续产品结构的不断优化也有望对毛利率产生正向影响。</w:t>
            </w:r>
          </w:p>
          <w:p>
            <w:pPr>
              <w:pStyle w:val="14"/>
              <w:numPr>
                <w:ilvl w:val="255"/>
                <w:numId w:val="0"/>
              </w:numPr>
            </w:pPr>
          </w:p>
          <w:p>
            <w:pPr>
              <w:pStyle w:val="6"/>
              <w:numPr>
                <w:ilvl w:val="255"/>
                <w:numId w:val="0"/>
              </w:numPr>
              <w:spacing w:before="0" w:beforeAutospacing="0" w:after="0" w:afterAutospacing="0"/>
              <w:rPr>
                <w:rFonts w:ascii="宋体" w:hAnsi="宋体" w:cs="宋体"/>
                <w:b/>
                <w:iCs/>
                <w:color w:val="00000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问题三：能否帮忙更新下公司优势产品DrMOS和多相研发的进展？</w:t>
            </w:r>
          </w:p>
          <w:p>
            <w:pPr>
              <w:pStyle w:val="14"/>
              <w:ind w:firstLine="480"/>
            </w:pPr>
            <w:r>
              <w:rPr>
                <w:rFonts w:hint="eastAsia"/>
              </w:rPr>
              <w:t>公司DrMOS和多相业务推进整体符合预期，去年在产品系列的完整性和市场认可度方面均有进展，其30A~90A DrMOS及6相、8相等多相控制器均已实现量产，其中90A的DrMOS为2023年重点推出产品，今年还将推出12相等多款产品。目前，在PC-服务器-AI-自动驾驶等应用领域已形成完整的DRMOS+多相的产品矩阵。</w:t>
            </w:r>
          </w:p>
          <w:p>
            <w:pPr>
              <w:pStyle w:val="14"/>
              <w:ind w:firstLine="480"/>
            </w:pPr>
          </w:p>
          <w:p>
            <w:pPr>
              <w:pStyle w:val="6"/>
              <w:numPr>
                <w:ilvl w:val="255"/>
                <w:numId w:val="0"/>
              </w:numPr>
              <w:spacing w:before="0" w:beforeAutospacing="0" w:after="0" w:afterAutospacing="0"/>
              <w:rPr>
                <w:rFonts w:ascii="宋体" w:hAnsi="宋体" w:cs="宋体"/>
                <w:b/>
                <w:iCs/>
                <w:color w:val="00000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问题四：能否介绍下公司信号链产品的情况？</w:t>
            </w:r>
          </w:p>
          <w:p>
            <w:pPr>
              <w:pStyle w:val="14"/>
              <w:ind w:firstLine="480"/>
            </w:pPr>
            <w:r>
              <w:rPr>
                <w:rFonts w:hint="eastAsia"/>
              </w:rPr>
              <w:t>相比电源管理芯片，公司信号链产品布局相对较晚，目前营收占比较少，产品方面在积极地全面布局，主要包含比较器、运放、模拟开关、电流检测、高精度ADC等产品。</w:t>
            </w:r>
          </w:p>
          <w:p>
            <w:pPr>
              <w:pStyle w:val="14"/>
              <w:ind w:firstLine="480"/>
            </w:pPr>
            <w:r>
              <w:rPr>
                <w:rFonts w:hint="eastAsia"/>
              </w:rPr>
              <w:t>目前公司已量产了数款时钟和运放芯片，主要用于无线基础设施、OTN设备、服务器计算领域和测试测量设备等。后续公司将会加速输出信号链新品，努力提升信号链营收占比。</w:t>
            </w:r>
          </w:p>
          <w:p>
            <w:pPr>
              <w:pStyle w:val="14"/>
              <w:ind w:firstLine="480"/>
            </w:pPr>
          </w:p>
          <w:p>
            <w:pPr>
              <w:pStyle w:val="6"/>
              <w:numPr>
                <w:ilvl w:val="255"/>
                <w:numId w:val="0"/>
              </w:numPr>
              <w:spacing w:before="0" w:beforeAutospacing="0" w:after="0" w:afterAutospacing="0"/>
              <w:rPr>
                <w:rFonts w:ascii="宋体" w:hAnsi="宋体" w:cs="宋体"/>
                <w:b/>
                <w:iCs/>
                <w:color w:val="00000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</w:rPr>
              <w:t>问题五：请问公司是否有收购的打算？</w:t>
            </w:r>
          </w:p>
          <w:p>
            <w:pPr>
              <w:widowControl/>
              <w:ind w:firstLine="4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公司一直在积极关注市场上并购和整合的机会，以补充产品线的形式不断拓宽产品品类，进一步构建产品和市场能力。</w:t>
            </w:r>
          </w:p>
          <w:p>
            <w:pPr>
              <w:pStyle w:val="14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6" w:lineRule="auto"/>
              <w:ind w:firstLine="0" w:firstLineChars="0"/>
              <w:jc w:val="left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关于本次活动是否涉及应当披露重大信息的说明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本次活动不涉及应当披露重大信息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ind w:firstLine="0" w:firstLineChars="0"/>
              <w:rPr>
                <w:rFonts w:ascii="宋体" w:hAnsi="宋体" w:cs="宋体"/>
                <w:bCs/>
                <w:iCs/>
                <w:color w:val="00000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</w:rPr>
              <w:t>2024年3月12日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383" w:left="18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D46AA"/>
    <w:multiLevelType w:val="singleLevel"/>
    <w:tmpl w:val="27ED46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NzM1NzhiZjBiODVhODQwMjE3ZWQwMTJkMGNhMGMifQ=="/>
    <w:docVar w:name="KSO_WPS_MARK_KEY" w:val="785e6d2a-2da7-4874-817b-b6491f0f0f52"/>
  </w:docVars>
  <w:rsids>
    <w:rsidRoot w:val="01240E24"/>
    <w:rsid w:val="00084A51"/>
    <w:rsid w:val="000A09E8"/>
    <w:rsid w:val="000A0BB2"/>
    <w:rsid w:val="000A17D5"/>
    <w:rsid w:val="00110C20"/>
    <w:rsid w:val="001235C0"/>
    <w:rsid w:val="00131423"/>
    <w:rsid w:val="00162A9A"/>
    <w:rsid w:val="00181099"/>
    <w:rsid w:val="001C3164"/>
    <w:rsid w:val="001E263C"/>
    <w:rsid w:val="002432CD"/>
    <w:rsid w:val="00254FDD"/>
    <w:rsid w:val="002662BA"/>
    <w:rsid w:val="002D3168"/>
    <w:rsid w:val="003020A9"/>
    <w:rsid w:val="00326DB7"/>
    <w:rsid w:val="003E4A77"/>
    <w:rsid w:val="00425D6A"/>
    <w:rsid w:val="00427313"/>
    <w:rsid w:val="00452A6C"/>
    <w:rsid w:val="004819C7"/>
    <w:rsid w:val="0049382B"/>
    <w:rsid w:val="004B3104"/>
    <w:rsid w:val="004D7AFD"/>
    <w:rsid w:val="00546DE6"/>
    <w:rsid w:val="00566829"/>
    <w:rsid w:val="005C1B51"/>
    <w:rsid w:val="00601349"/>
    <w:rsid w:val="006708B3"/>
    <w:rsid w:val="00673994"/>
    <w:rsid w:val="00675CEF"/>
    <w:rsid w:val="006D1C41"/>
    <w:rsid w:val="00702660"/>
    <w:rsid w:val="007866AD"/>
    <w:rsid w:val="008161D8"/>
    <w:rsid w:val="00862B39"/>
    <w:rsid w:val="0090051E"/>
    <w:rsid w:val="00906878"/>
    <w:rsid w:val="00927AEA"/>
    <w:rsid w:val="009406B3"/>
    <w:rsid w:val="009E79FC"/>
    <w:rsid w:val="00A34CAC"/>
    <w:rsid w:val="00A61B2A"/>
    <w:rsid w:val="00A84673"/>
    <w:rsid w:val="00A86818"/>
    <w:rsid w:val="00A968CE"/>
    <w:rsid w:val="00AC676A"/>
    <w:rsid w:val="00AF6240"/>
    <w:rsid w:val="00B5039F"/>
    <w:rsid w:val="00BD4B1B"/>
    <w:rsid w:val="00C13015"/>
    <w:rsid w:val="00C37AC9"/>
    <w:rsid w:val="00C61FB8"/>
    <w:rsid w:val="00C85A29"/>
    <w:rsid w:val="00C86DBD"/>
    <w:rsid w:val="00CB05A4"/>
    <w:rsid w:val="00D23393"/>
    <w:rsid w:val="00D549AF"/>
    <w:rsid w:val="00D60B38"/>
    <w:rsid w:val="00DA1AEF"/>
    <w:rsid w:val="00DA6255"/>
    <w:rsid w:val="00DF683D"/>
    <w:rsid w:val="00E02B59"/>
    <w:rsid w:val="00E10368"/>
    <w:rsid w:val="00E865C2"/>
    <w:rsid w:val="00EA24D2"/>
    <w:rsid w:val="00EA77AF"/>
    <w:rsid w:val="00EE56B3"/>
    <w:rsid w:val="00EF1FB4"/>
    <w:rsid w:val="00F06453"/>
    <w:rsid w:val="00FC7EE7"/>
    <w:rsid w:val="00FD239B"/>
    <w:rsid w:val="00FD465A"/>
    <w:rsid w:val="00FE5D63"/>
    <w:rsid w:val="01240E24"/>
    <w:rsid w:val="014F1C07"/>
    <w:rsid w:val="01A033E5"/>
    <w:rsid w:val="01B32CF1"/>
    <w:rsid w:val="02883D22"/>
    <w:rsid w:val="02DF2D1A"/>
    <w:rsid w:val="02FF4A1E"/>
    <w:rsid w:val="036865E7"/>
    <w:rsid w:val="036A7570"/>
    <w:rsid w:val="03A31381"/>
    <w:rsid w:val="0408042D"/>
    <w:rsid w:val="05AD600A"/>
    <w:rsid w:val="063A6AEA"/>
    <w:rsid w:val="06451DC1"/>
    <w:rsid w:val="06E67100"/>
    <w:rsid w:val="07091040"/>
    <w:rsid w:val="071A2658"/>
    <w:rsid w:val="07A1396F"/>
    <w:rsid w:val="07F43D7A"/>
    <w:rsid w:val="0806084F"/>
    <w:rsid w:val="087505D3"/>
    <w:rsid w:val="08FB0B0D"/>
    <w:rsid w:val="092B3ADE"/>
    <w:rsid w:val="09D242DF"/>
    <w:rsid w:val="09E565A4"/>
    <w:rsid w:val="0A4707FD"/>
    <w:rsid w:val="0A8C1156"/>
    <w:rsid w:val="0AB06252"/>
    <w:rsid w:val="0AB61C8E"/>
    <w:rsid w:val="0AEE54BD"/>
    <w:rsid w:val="0AF571CA"/>
    <w:rsid w:val="0B2344EB"/>
    <w:rsid w:val="0B2430CC"/>
    <w:rsid w:val="0BD91ED5"/>
    <w:rsid w:val="0C245F70"/>
    <w:rsid w:val="0C2E36E7"/>
    <w:rsid w:val="0C624E12"/>
    <w:rsid w:val="0CF2563E"/>
    <w:rsid w:val="0D8145D3"/>
    <w:rsid w:val="0DBA4172"/>
    <w:rsid w:val="0DD12CFE"/>
    <w:rsid w:val="0DD808B2"/>
    <w:rsid w:val="0DFA563E"/>
    <w:rsid w:val="0E1E032B"/>
    <w:rsid w:val="0EB43137"/>
    <w:rsid w:val="0EDC68C9"/>
    <w:rsid w:val="0F1E568F"/>
    <w:rsid w:val="0F340A6C"/>
    <w:rsid w:val="0F624E0E"/>
    <w:rsid w:val="0FFD54BA"/>
    <w:rsid w:val="10150EFB"/>
    <w:rsid w:val="10541406"/>
    <w:rsid w:val="10AE5048"/>
    <w:rsid w:val="11AB0CE5"/>
    <w:rsid w:val="11B61059"/>
    <w:rsid w:val="11DB7E54"/>
    <w:rsid w:val="12601E38"/>
    <w:rsid w:val="129870C2"/>
    <w:rsid w:val="12ED041A"/>
    <w:rsid w:val="12FF4B4A"/>
    <w:rsid w:val="136F348D"/>
    <w:rsid w:val="13DB52AB"/>
    <w:rsid w:val="13FE2369"/>
    <w:rsid w:val="14074537"/>
    <w:rsid w:val="14226EFE"/>
    <w:rsid w:val="14227173"/>
    <w:rsid w:val="145558C5"/>
    <w:rsid w:val="147D21EB"/>
    <w:rsid w:val="147F6DDB"/>
    <w:rsid w:val="15192653"/>
    <w:rsid w:val="15634011"/>
    <w:rsid w:val="158136ED"/>
    <w:rsid w:val="161F517F"/>
    <w:rsid w:val="16253F41"/>
    <w:rsid w:val="164C0CE6"/>
    <w:rsid w:val="16AE77D8"/>
    <w:rsid w:val="178030D2"/>
    <w:rsid w:val="17A67E3B"/>
    <w:rsid w:val="18975082"/>
    <w:rsid w:val="189B7EBD"/>
    <w:rsid w:val="18F6459F"/>
    <w:rsid w:val="191E4CEF"/>
    <w:rsid w:val="196012FD"/>
    <w:rsid w:val="19805345"/>
    <w:rsid w:val="19A64C4A"/>
    <w:rsid w:val="19B14317"/>
    <w:rsid w:val="19C14DEA"/>
    <w:rsid w:val="19F84390"/>
    <w:rsid w:val="1AB86344"/>
    <w:rsid w:val="1B0342CC"/>
    <w:rsid w:val="1B4415AC"/>
    <w:rsid w:val="1BFE2CE6"/>
    <w:rsid w:val="1BFF3D4A"/>
    <w:rsid w:val="1C36040C"/>
    <w:rsid w:val="1C5623A7"/>
    <w:rsid w:val="1C765C9F"/>
    <w:rsid w:val="1C7B48DB"/>
    <w:rsid w:val="1DD86BC6"/>
    <w:rsid w:val="1E387F4F"/>
    <w:rsid w:val="1E3F0428"/>
    <w:rsid w:val="1E4865D3"/>
    <w:rsid w:val="1ECB4250"/>
    <w:rsid w:val="1ECE7A3A"/>
    <w:rsid w:val="1EE74EA2"/>
    <w:rsid w:val="1EFE49C3"/>
    <w:rsid w:val="1F144E16"/>
    <w:rsid w:val="1F712605"/>
    <w:rsid w:val="1FFC63A2"/>
    <w:rsid w:val="202B0BCD"/>
    <w:rsid w:val="204C08C7"/>
    <w:rsid w:val="20B1352E"/>
    <w:rsid w:val="20F21EF0"/>
    <w:rsid w:val="21090163"/>
    <w:rsid w:val="212C5B31"/>
    <w:rsid w:val="219A700D"/>
    <w:rsid w:val="21AD712E"/>
    <w:rsid w:val="21FD2B83"/>
    <w:rsid w:val="22456F79"/>
    <w:rsid w:val="23325696"/>
    <w:rsid w:val="233D3EEB"/>
    <w:rsid w:val="236C06DC"/>
    <w:rsid w:val="2406030B"/>
    <w:rsid w:val="24813CEA"/>
    <w:rsid w:val="25001742"/>
    <w:rsid w:val="25535CDF"/>
    <w:rsid w:val="259C0313"/>
    <w:rsid w:val="25B60C44"/>
    <w:rsid w:val="25C54480"/>
    <w:rsid w:val="264102C0"/>
    <w:rsid w:val="267442D0"/>
    <w:rsid w:val="26975D4A"/>
    <w:rsid w:val="26E255D2"/>
    <w:rsid w:val="26F4190E"/>
    <w:rsid w:val="27216CC0"/>
    <w:rsid w:val="273E51DB"/>
    <w:rsid w:val="274D6465"/>
    <w:rsid w:val="27DD3C77"/>
    <w:rsid w:val="27E234BC"/>
    <w:rsid w:val="283A284D"/>
    <w:rsid w:val="28D7456D"/>
    <w:rsid w:val="29260A4B"/>
    <w:rsid w:val="29E975B1"/>
    <w:rsid w:val="2A8F1450"/>
    <w:rsid w:val="2B1C0A93"/>
    <w:rsid w:val="2BA86521"/>
    <w:rsid w:val="2C1A42D7"/>
    <w:rsid w:val="2C204EF6"/>
    <w:rsid w:val="2C6776D3"/>
    <w:rsid w:val="2CE305B8"/>
    <w:rsid w:val="2D11082E"/>
    <w:rsid w:val="2D8F19F0"/>
    <w:rsid w:val="2D921AE6"/>
    <w:rsid w:val="2DE81A12"/>
    <w:rsid w:val="2DEB3FCE"/>
    <w:rsid w:val="2E90180C"/>
    <w:rsid w:val="2E924873"/>
    <w:rsid w:val="2EB207D8"/>
    <w:rsid w:val="2F3A14D5"/>
    <w:rsid w:val="2FFC7729"/>
    <w:rsid w:val="30274B7B"/>
    <w:rsid w:val="304F7A3C"/>
    <w:rsid w:val="30EB33E1"/>
    <w:rsid w:val="31042E81"/>
    <w:rsid w:val="31592E75"/>
    <w:rsid w:val="31665DB4"/>
    <w:rsid w:val="31D245A1"/>
    <w:rsid w:val="31F35FA9"/>
    <w:rsid w:val="324314C5"/>
    <w:rsid w:val="32E21903"/>
    <w:rsid w:val="33182487"/>
    <w:rsid w:val="3361798A"/>
    <w:rsid w:val="337F2D3E"/>
    <w:rsid w:val="33AF51D3"/>
    <w:rsid w:val="33BB7F85"/>
    <w:rsid w:val="33E32C9F"/>
    <w:rsid w:val="34125F30"/>
    <w:rsid w:val="34BD5468"/>
    <w:rsid w:val="34DE5F74"/>
    <w:rsid w:val="35125AF4"/>
    <w:rsid w:val="35816F67"/>
    <w:rsid w:val="360C68AB"/>
    <w:rsid w:val="361274BE"/>
    <w:rsid w:val="36156A75"/>
    <w:rsid w:val="363D74CA"/>
    <w:rsid w:val="364E2639"/>
    <w:rsid w:val="3750359A"/>
    <w:rsid w:val="384C3F28"/>
    <w:rsid w:val="38A82642"/>
    <w:rsid w:val="38BF6609"/>
    <w:rsid w:val="38EB0C6A"/>
    <w:rsid w:val="3939378F"/>
    <w:rsid w:val="399369C7"/>
    <w:rsid w:val="39D90DF0"/>
    <w:rsid w:val="3A557B1D"/>
    <w:rsid w:val="3A6F777A"/>
    <w:rsid w:val="3AC81E6D"/>
    <w:rsid w:val="3B1B2B15"/>
    <w:rsid w:val="3B497682"/>
    <w:rsid w:val="3B764E97"/>
    <w:rsid w:val="3B8620A7"/>
    <w:rsid w:val="3BB17758"/>
    <w:rsid w:val="3BEA7AAD"/>
    <w:rsid w:val="3BF5322F"/>
    <w:rsid w:val="3C3844A9"/>
    <w:rsid w:val="3C3F1E1E"/>
    <w:rsid w:val="3C6E298B"/>
    <w:rsid w:val="3CC60A72"/>
    <w:rsid w:val="3CFF349B"/>
    <w:rsid w:val="3D6A79A5"/>
    <w:rsid w:val="3DAB2D72"/>
    <w:rsid w:val="3DAE725F"/>
    <w:rsid w:val="3DBF1B72"/>
    <w:rsid w:val="3EF61210"/>
    <w:rsid w:val="3F185735"/>
    <w:rsid w:val="3F1A7797"/>
    <w:rsid w:val="3F8C58CC"/>
    <w:rsid w:val="3FBA797F"/>
    <w:rsid w:val="3FE87743"/>
    <w:rsid w:val="4023346D"/>
    <w:rsid w:val="40471E5C"/>
    <w:rsid w:val="4048415B"/>
    <w:rsid w:val="4080798B"/>
    <w:rsid w:val="40AC0798"/>
    <w:rsid w:val="4145632C"/>
    <w:rsid w:val="41FD6B3E"/>
    <w:rsid w:val="42071629"/>
    <w:rsid w:val="427009D4"/>
    <w:rsid w:val="429C0180"/>
    <w:rsid w:val="43687983"/>
    <w:rsid w:val="43C318BF"/>
    <w:rsid w:val="44803354"/>
    <w:rsid w:val="45375AF0"/>
    <w:rsid w:val="453B4458"/>
    <w:rsid w:val="457252C8"/>
    <w:rsid w:val="460A6390"/>
    <w:rsid w:val="46C66183"/>
    <w:rsid w:val="47817AA9"/>
    <w:rsid w:val="478D25DE"/>
    <w:rsid w:val="47D06A35"/>
    <w:rsid w:val="47E837E0"/>
    <w:rsid w:val="48941BAD"/>
    <w:rsid w:val="48B3438D"/>
    <w:rsid w:val="48EA07D2"/>
    <w:rsid w:val="49805F8A"/>
    <w:rsid w:val="49F25E29"/>
    <w:rsid w:val="4A4E5DB9"/>
    <w:rsid w:val="4AC07E41"/>
    <w:rsid w:val="4ACF5359"/>
    <w:rsid w:val="4B105822"/>
    <w:rsid w:val="4B296806"/>
    <w:rsid w:val="4B4F7484"/>
    <w:rsid w:val="4B653091"/>
    <w:rsid w:val="4C01421D"/>
    <w:rsid w:val="4C1669E5"/>
    <w:rsid w:val="4C724F91"/>
    <w:rsid w:val="4C7A5831"/>
    <w:rsid w:val="4C994F4D"/>
    <w:rsid w:val="4CF65190"/>
    <w:rsid w:val="4D552885"/>
    <w:rsid w:val="4F1F09CE"/>
    <w:rsid w:val="4FF366F6"/>
    <w:rsid w:val="501B05AF"/>
    <w:rsid w:val="503F4198"/>
    <w:rsid w:val="50702246"/>
    <w:rsid w:val="50786C9F"/>
    <w:rsid w:val="5092601B"/>
    <w:rsid w:val="50DB37CF"/>
    <w:rsid w:val="50DD0A03"/>
    <w:rsid w:val="51244113"/>
    <w:rsid w:val="51EB3E64"/>
    <w:rsid w:val="51EB6AC3"/>
    <w:rsid w:val="52D44478"/>
    <w:rsid w:val="52F146ED"/>
    <w:rsid w:val="53002F11"/>
    <w:rsid w:val="53A566CC"/>
    <w:rsid w:val="548D5849"/>
    <w:rsid w:val="5490452D"/>
    <w:rsid w:val="54C7720C"/>
    <w:rsid w:val="5550431E"/>
    <w:rsid w:val="55A57BE0"/>
    <w:rsid w:val="55E647CB"/>
    <w:rsid w:val="56353858"/>
    <w:rsid w:val="56BC7FA7"/>
    <w:rsid w:val="572D79D3"/>
    <w:rsid w:val="57917036"/>
    <w:rsid w:val="57E642F4"/>
    <w:rsid w:val="583F4064"/>
    <w:rsid w:val="585A4825"/>
    <w:rsid w:val="589941A0"/>
    <w:rsid w:val="59222295"/>
    <w:rsid w:val="5A137381"/>
    <w:rsid w:val="5A293317"/>
    <w:rsid w:val="5A3F1501"/>
    <w:rsid w:val="5A407A4A"/>
    <w:rsid w:val="5AA55EDD"/>
    <w:rsid w:val="5AF25B68"/>
    <w:rsid w:val="5BB3231F"/>
    <w:rsid w:val="5BEA1A96"/>
    <w:rsid w:val="5C475CF4"/>
    <w:rsid w:val="5CFC1903"/>
    <w:rsid w:val="5D296F8C"/>
    <w:rsid w:val="5D34336C"/>
    <w:rsid w:val="5D4F6A60"/>
    <w:rsid w:val="5D5A6B0F"/>
    <w:rsid w:val="5D8B0B7A"/>
    <w:rsid w:val="5DCE6D88"/>
    <w:rsid w:val="5E1B0EEF"/>
    <w:rsid w:val="5E2A220B"/>
    <w:rsid w:val="5EB572BE"/>
    <w:rsid w:val="5F7B127C"/>
    <w:rsid w:val="5F924E9F"/>
    <w:rsid w:val="5FE314AF"/>
    <w:rsid w:val="603A5836"/>
    <w:rsid w:val="603F20D7"/>
    <w:rsid w:val="6114070F"/>
    <w:rsid w:val="61256705"/>
    <w:rsid w:val="612F2AEE"/>
    <w:rsid w:val="617D0C3C"/>
    <w:rsid w:val="619C670B"/>
    <w:rsid w:val="61B6195A"/>
    <w:rsid w:val="624E361E"/>
    <w:rsid w:val="626C6E79"/>
    <w:rsid w:val="629365EA"/>
    <w:rsid w:val="62AA55E3"/>
    <w:rsid w:val="62F42106"/>
    <w:rsid w:val="632A29AF"/>
    <w:rsid w:val="63381369"/>
    <w:rsid w:val="633F4429"/>
    <w:rsid w:val="634804FF"/>
    <w:rsid w:val="6366109A"/>
    <w:rsid w:val="63D052AB"/>
    <w:rsid w:val="63F71D74"/>
    <w:rsid w:val="643248A8"/>
    <w:rsid w:val="64333572"/>
    <w:rsid w:val="643D48DE"/>
    <w:rsid w:val="647E14DB"/>
    <w:rsid w:val="647E7AED"/>
    <w:rsid w:val="64E554A6"/>
    <w:rsid w:val="64E8140A"/>
    <w:rsid w:val="650007FC"/>
    <w:rsid w:val="654145AA"/>
    <w:rsid w:val="65AA5325"/>
    <w:rsid w:val="65B764EB"/>
    <w:rsid w:val="66597B3A"/>
    <w:rsid w:val="673B4EB6"/>
    <w:rsid w:val="675114E9"/>
    <w:rsid w:val="67966BAB"/>
    <w:rsid w:val="67E4166A"/>
    <w:rsid w:val="682102AF"/>
    <w:rsid w:val="684A68ED"/>
    <w:rsid w:val="684E2DD5"/>
    <w:rsid w:val="68846D7F"/>
    <w:rsid w:val="688D02FE"/>
    <w:rsid w:val="689D535F"/>
    <w:rsid w:val="690E5E74"/>
    <w:rsid w:val="69B13992"/>
    <w:rsid w:val="69EA4C26"/>
    <w:rsid w:val="6A21367E"/>
    <w:rsid w:val="6A386141"/>
    <w:rsid w:val="6A9C7228"/>
    <w:rsid w:val="6AED37D0"/>
    <w:rsid w:val="6BD6275D"/>
    <w:rsid w:val="6BDF5191"/>
    <w:rsid w:val="6C9C6F6C"/>
    <w:rsid w:val="6D20564A"/>
    <w:rsid w:val="6DAF6F69"/>
    <w:rsid w:val="6E0A5F70"/>
    <w:rsid w:val="6E2D0C79"/>
    <w:rsid w:val="6E377877"/>
    <w:rsid w:val="6E574D4C"/>
    <w:rsid w:val="6E645FA5"/>
    <w:rsid w:val="6E656C82"/>
    <w:rsid w:val="6E916026"/>
    <w:rsid w:val="6EFA543A"/>
    <w:rsid w:val="6F9E2AEE"/>
    <w:rsid w:val="6FD921C2"/>
    <w:rsid w:val="714E1D82"/>
    <w:rsid w:val="71756B81"/>
    <w:rsid w:val="71B06F59"/>
    <w:rsid w:val="71CD3F2E"/>
    <w:rsid w:val="72011E0A"/>
    <w:rsid w:val="724F1F27"/>
    <w:rsid w:val="72C1362E"/>
    <w:rsid w:val="72C5230E"/>
    <w:rsid w:val="72D434F7"/>
    <w:rsid w:val="72E35DA1"/>
    <w:rsid w:val="72E6707A"/>
    <w:rsid w:val="73153396"/>
    <w:rsid w:val="73525ED3"/>
    <w:rsid w:val="735437D4"/>
    <w:rsid w:val="73F52B62"/>
    <w:rsid w:val="743B5D21"/>
    <w:rsid w:val="744918F6"/>
    <w:rsid w:val="7463506E"/>
    <w:rsid w:val="749D2202"/>
    <w:rsid w:val="752F4586"/>
    <w:rsid w:val="75510759"/>
    <w:rsid w:val="755B0891"/>
    <w:rsid w:val="75834072"/>
    <w:rsid w:val="7583547A"/>
    <w:rsid w:val="75C27E53"/>
    <w:rsid w:val="75D237F5"/>
    <w:rsid w:val="762A16A0"/>
    <w:rsid w:val="7650072C"/>
    <w:rsid w:val="76F854DD"/>
    <w:rsid w:val="77183DD1"/>
    <w:rsid w:val="77697C2B"/>
    <w:rsid w:val="779C4BA0"/>
    <w:rsid w:val="77D976E6"/>
    <w:rsid w:val="78124286"/>
    <w:rsid w:val="78704D38"/>
    <w:rsid w:val="78AD02C6"/>
    <w:rsid w:val="78C2334A"/>
    <w:rsid w:val="793E3D2A"/>
    <w:rsid w:val="79D76B31"/>
    <w:rsid w:val="79F3642F"/>
    <w:rsid w:val="7A1624D9"/>
    <w:rsid w:val="7A770D79"/>
    <w:rsid w:val="7B48416D"/>
    <w:rsid w:val="7B9C513D"/>
    <w:rsid w:val="7C6E3522"/>
    <w:rsid w:val="7CEE6545"/>
    <w:rsid w:val="7D065993"/>
    <w:rsid w:val="7D69770E"/>
    <w:rsid w:val="7DFA7FA2"/>
    <w:rsid w:val="7ED95BF4"/>
    <w:rsid w:val="7F180273"/>
    <w:rsid w:val="7F8A63B2"/>
    <w:rsid w:val="7FA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批注文字 Char"/>
    <w:basedOn w:val="9"/>
    <w:link w:val="2"/>
    <w:qFormat/>
    <w:uiPriority w:val="0"/>
    <w:rPr>
      <w:kern w:val="2"/>
      <w:sz w:val="24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b/>
      <w:bCs/>
      <w:kern w:val="2"/>
      <w:sz w:val="24"/>
      <w:szCs w:val="24"/>
    </w:rPr>
  </w:style>
  <w:style w:type="character" w:customStyle="1" w:styleId="17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8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infaith</Company>
  <Pages>4</Pages>
  <Words>279</Words>
  <Characters>1593</Characters>
  <Lines>13</Lines>
  <Paragraphs>3</Paragraphs>
  <TotalTime>3</TotalTime>
  <ScaleCrop>false</ScaleCrop>
  <LinksUpToDate>false</LinksUpToDate>
  <CharactersWithSpaces>1869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2024-03-12T03:13:00Z</dcterms:created>
  <dc:creator>张航瑜</dc:creator>
  <cp:lastModifiedBy>lujingjing</cp:lastModifiedBy>
  <dcterms:modified xsi:type="dcterms:W3CDTF">2024-03-12T05:47:47Z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76973BE47BAF48BAB7BE2F791F2DE8C7</vt:lpwstr>
  </property>
</Properties>
</file>