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D0" w:rsidRPr="00285087" w:rsidRDefault="00DD57C5" w:rsidP="00DD57C5">
      <w:pPr>
        <w:adjustRightInd w:val="0"/>
        <w:snapToGrid w:val="0"/>
        <w:spacing w:line="560" w:lineRule="exact"/>
        <w:ind w:firstLineChars="400" w:firstLine="960"/>
        <w:rPr>
          <w:rFonts w:ascii="Times New Roman" w:hAnsi="Times New Roman" w:cs="Times New Roman"/>
          <w:sz w:val="24"/>
          <w:szCs w:val="24"/>
          <w:lang w:eastAsia="zh-CN"/>
        </w:rPr>
      </w:pPr>
      <w:r w:rsidRPr="00285087">
        <w:rPr>
          <w:rFonts w:ascii="Times New Roman" w:hAnsi="Times New Roman" w:cs="Times New Roman"/>
          <w:sz w:val="24"/>
          <w:szCs w:val="24"/>
          <w:lang w:eastAsia="zh-CN"/>
        </w:rPr>
        <w:t>证券代码：</w:t>
      </w:r>
      <w:r w:rsidRPr="00285087">
        <w:rPr>
          <w:rFonts w:ascii="Times New Roman" w:hAnsi="Times New Roman" w:cs="Times New Roman"/>
          <w:sz w:val="24"/>
          <w:szCs w:val="24"/>
          <w:lang w:eastAsia="zh-CN"/>
        </w:rPr>
        <w:t xml:space="preserve">603221                                   </w:t>
      </w:r>
      <w:r w:rsidRPr="00285087">
        <w:rPr>
          <w:rFonts w:ascii="Times New Roman" w:hAnsi="Times New Roman" w:cs="Times New Roman"/>
          <w:sz w:val="24"/>
          <w:szCs w:val="24"/>
          <w:lang w:eastAsia="zh-CN"/>
        </w:rPr>
        <w:t>证券简称：爱丽家居</w:t>
      </w:r>
    </w:p>
    <w:p w:rsidR="00DD57C5" w:rsidRPr="00285087" w:rsidRDefault="00DD57C5" w:rsidP="00DD57C5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color w:val="FF0000"/>
          <w:sz w:val="32"/>
          <w:szCs w:val="32"/>
          <w:lang w:eastAsia="zh-CN"/>
        </w:rPr>
      </w:pPr>
      <w:r w:rsidRPr="00285087">
        <w:rPr>
          <w:rFonts w:ascii="Times New Roman" w:eastAsia="黑体" w:hAnsi="Times New Roman" w:cs="Times New Roman"/>
          <w:b/>
          <w:color w:val="FF0000"/>
          <w:sz w:val="32"/>
          <w:szCs w:val="32"/>
          <w:lang w:eastAsia="zh-CN"/>
        </w:rPr>
        <w:t>爱丽家居科技股份有限公司</w:t>
      </w:r>
    </w:p>
    <w:p w:rsidR="00DE0FD0" w:rsidRPr="00285087" w:rsidRDefault="00DE0FD0" w:rsidP="00B92631">
      <w:pPr>
        <w:pStyle w:val="1"/>
        <w:ind w:right="2728"/>
        <w:rPr>
          <w:rFonts w:ascii="Times New Roman" w:eastAsia="黑体" w:hAnsi="Times New Roman" w:cs="Times New Roman"/>
          <w:color w:val="FF0000"/>
          <w:sz w:val="32"/>
          <w:szCs w:val="32"/>
          <w:lang w:eastAsia="zh-CN"/>
        </w:rPr>
      </w:pPr>
      <w:r w:rsidRPr="00285087">
        <w:rPr>
          <w:rFonts w:ascii="Times New Roman" w:eastAsia="黑体" w:hAnsi="Times New Roman" w:cs="Times New Roman"/>
          <w:color w:val="FF0000"/>
          <w:sz w:val="32"/>
          <w:szCs w:val="32"/>
          <w:lang w:eastAsia="zh-CN"/>
        </w:rPr>
        <w:t>投资者关系活动记录表</w:t>
      </w:r>
    </w:p>
    <w:p w:rsidR="00C0589C" w:rsidRPr="00285087" w:rsidRDefault="00DE0FD0" w:rsidP="00C0589C">
      <w:pPr>
        <w:pStyle w:val="a3"/>
        <w:tabs>
          <w:tab w:val="left" w:pos="4351"/>
          <w:tab w:val="left" w:pos="7618"/>
          <w:tab w:val="left" w:pos="9713"/>
        </w:tabs>
        <w:spacing w:before="74"/>
        <w:ind w:left="307" w:right="228"/>
        <w:jc w:val="right"/>
        <w:rPr>
          <w:rFonts w:ascii="Times New Roman" w:hAnsi="Times New Roman" w:cs="Times New Roman"/>
          <w:spacing w:val="-6"/>
          <w:lang w:eastAsia="zh-CN"/>
        </w:rPr>
      </w:pPr>
      <w:r w:rsidRPr="00285087">
        <w:rPr>
          <w:rFonts w:ascii="Times New Roman" w:hAnsi="Times New Roman" w:cs="Times New Roman"/>
          <w:spacing w:val="4"/>
          <w:lang w:eastAsia="zh-CN"/>
        </w:rPr>
        <w:t>编号：</w:t>
      </w:r>
      <w:r w:rsidR="00DD57C5" w:rsidRPr="00285087">
        <w:rPr>
          <w:rFonts w:ascii="Times New Roman" w:hAnsi="Times New Roman" w:cs="Times New Roman"/>
          <w:spacing w:val="-6"/>
          <w:lang w:eastAsia="zh-CN"/>
        </w:rPr>
        <w:t>20</w:t>
      </w:r>
      <w:r w:rsidR="00C42519" w:rsidRPr="00285087">
        <w:rPr>
          <w:rFonts w:ascii="Times New Roman" w:hAnsi="Times New Roman" w:cs="Times New Roman"/>
          <w:spacing w:val="-6"/>
          <w:lang w:eastAsia="zh-CN"/>
        </w:rPr>
        <w:t>2</w:t>
      </w:r>
      <w:r w:rsidR="00343112" w:rsidRPr="00285087">
        <w:rPr>
          <w:rFonts w:ascii="Times New Roman" w:hAnsi="Times New Roman" w:cs="Times New Roman"/>
          <w:spacing w:val="-6"/>
          <w:lang w:eastAsia="zh-CN"/>
        </w:rPr>
        <w:t>4</w:t>
      </w:r>
      <w:r w:rsidR="00DD57C5" w:rsidRPr="00285087">
        <w:rPr>
          <w:rFonts w:ascii="Times New Roman" w:hAnsi="Times New Roman" w:cs="Times New Roman"/>
          <w:spacing w:val="-6"/>
          <w:lang w:eastAsia="zh-CN"/>
        </w:rPr>
        <w:t>-0</w:t>
      </w:r>
      <w:r w:rsidR="00210912" w:rsidRPr="00285087">
        <w:rPr>
          <w:rFonts w:ascii="Times New Roman" w:hAnsi="Times New Roman" w:cs="Times New Roman"/>
          <w:spacing w:val="-6"/>
          <w:lang w:eastAsia="zh-CN"/>
        </w:rPr>
        <w:t>2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9071"/>
      </w:tblGrid>
      <w:tr w:rsidR="00C0589C" w:rsidRPr="00285087" w:rsidTr="00954408">
        <w:trPr>
          <w:trHeight w:val="1542"/>
          <w:jc w:val="center"/>
        </w:trPr>
        <w:tc>
          <w:tcPr>
            <w:tcW w:w="1985" w:type="dxa"/>
            <w:vAlign w:val="center"/>
          </w:tcPr>
          <w:p w:rsidR="00C0589C" w:rsidRPr="00285087" w:rsidRDefault="00C0589C" w:rsidP="00C0589C">
            <w:pPr>
              <w:pStyle w:val="a3"/>
              <w:tabs>
                <w:tab w:val="left" w:pos="4351"/>
                <w:tab w:val="left" w:pos="7618"/>
                <w:tab w:val="left" w:pos="9713"/>
              </w:tabs>
              <w:spacing w:before="74"/>
              <w:ind w:right="228"/>
              <w:jc w:val="center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投资者关系活动类别</w:t>
            </w:r>
          </w:p>
        </w:tc>
        <w:tc>
          <w:tcPr>
            <w:tcW w:w="8505" w:type="dxa"/>
          </w:tcPr>
          <w:p w:rsidR="00C0589C" w:rsidRPr="00285087" w:rsidRDefault="00343112" w:rsidP="00343112">
            <w:pPr>
              <w:pStyle w:val="TableParagraph"/>
              <w:tabs>
                <w:tab w:val="left" w:pos="321"/>
                <w:tab w:val="left" w:pos="2385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√ </w:t>
            </w:r>
            <w:r w:rsidR="00C0589C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特定对象调研</w:t>
            </w:r>
            <w:r w:rsidR="00C0589C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</w:r>
            <w:r w:rsidR="00C42519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□</w:t>
            </w:r>
            <w:r w:rsidR="00C0589C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分析师会议</w:t>
            </w:r>
          </w:p>
          <w:p w:rsidR="00C0589C" w:rsidRPr="00285087" w:rsidRDefault="00C0589C" w:rsidP="00343112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385"/>
              </w:tabs>
              <w:snapToGrid w:val="0"/>
              <w:spacing w:before="16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媒体采访</w:t>
            </w: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285087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□</w:t>
            </w: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业绩说明会</w:t>
            </w:r>
          </w:p>
          <w:p w:rsidR="00C0589C" w:rsidRPr="00285087" w:rsidRDefault="00C0589C" w:rsidP="00C0589C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  <w:tab w:val="left" w:pos="2385"/>
              </w:tabs>
              <w:snapToGrid w:val="0"/>
              <w:spacing w:before="160"/>
              <w:ind w:hanging="21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新闻发布会</w:t>
            </w: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  <w:t>□</w:t>
            </w: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路演活动</w:t>
            </w:r>
          </w:p>
          <w:p w:rsidR="00C0589C" w:rsidRPr="00285087" w:rsidRDefault="00C0589C" w:rsidP="00C0589C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61"/>
              <w:ind w:hanging="21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现场参观</w:t>
            </w: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□</w:t>
            </w: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其他（请文字说明其他活动内容）</w:t>
            </w:r>
          </w:p>
        </w:tc>
      </w:tr>
      <w:tr w:rsidR="00C0589C" w:rsidRPr="00285087" w:rsidTr="00954408">
        <w:trPr>
          <w:jc w:val="center"/>
        </w:trPr>
        <w:tc>
          <w:tcPr>
            <w:tcW w:w="1985" w:type="dxa"/>
            <w:vAlign w:val="center"/>
          </w:tcPr>
          <w:p w:rsidR="00C0589C" w:rsidRPr="00285087" w:rsidRDefault="00C0589C" w:rsidP="00C0589C">
            <w:pPr>
              <w:pStyle w:val="a3"/>
              <w:tabs>
                <w:tab w:val="left" w:pos="4351"/>
                <w:tab w:val="left" w:pos="7618"/>
                <w:tab w:val="left" w:pos="9713"/>
              </w:tabs>
              <w:spacing w:before="74"/>
              <w:ind w:right="228"/>
              <w:jc w:val="center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参与单位名称及人员</w:t>
            </w:r>
            <w:r w:rsidR="00746B38" w:rsidRPr="00285087">
              <w:rPr>
                <w:rFonts w:ascii="Times New Roman" w:hAnsi="Times New Roman" w:cs="Times New Roman"/>
                <w:spacing w:val="-6"/>
                <w:lang w:eastAsia="zh-CN"/>
              </w:rPr>
              <w:t>姓名</w:t>
            </w:r>
          </w:p>
        </w:tc>
        <w:tc>
          <w:tcPr>
            <w:tcW w:w="0" w:type="auto"/>
            <w:vAlign w:val="center"/>
          </w:tcPr>
          <w:p w:rsidR="00343112" w:rsidRPr="00285087" w:rsidRDefault="00210912" w:rsidP="004E0A55">
            <w:pPr>
              <w:pStyle w:val="a3"/>
              <w:tabs>
                <w:tab w:val="left" w:pos="4351"/>
                <w:tab w:val="left" w:pos="7618"/>
                <w:tab w:val="left" w:pos="9713"/>
              </w:tabs>
              <w:spacing w:before="74"/>
              <w:ind w:right="1188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天弘基金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谢雨阳、博时基金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蔡滨</w:t>
            </w:r>
            <w:r w:rsidR="0051596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515965" w:rsidRPr="00285087">
              <w:rPr>
                <w:rFonts w:ascii="Times New Roman" w:hAnsi="Times New Roman" w:cs="Times New Roman"/>
                <w:spacing w:val="-6"/>
                <w:lang w:eastAsia="zh-CN"/>
              </w:rPr>
              <w:t>陈曦</w:t>
            </w:r>
            <w:r w:rsidR="0051596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002D5E" w:rsidRPr="00285087">
              <w:rPr>
                <w:rFonts w:ascii="Times New Roman" w:hAnsi="Times New Roman" w:cs="Times New Roman"/>
                <w:spacing w:val="-6"/>
                <w:lang w:eastAsia="zh-CN"/>
              </w:rPr>
              <w:t>万丽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、东北证券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陶昕媛、进门财经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王继昌、光大保德信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李心宇、</w:t>
            </w:r>
            <w:r w:rsidR="005D7D6B" w:rsidRPr="00285087">
              <w:rPr>
                <w:rFonts w:ascii="Times New Roman" w:hAnsi="Times New Roman" w:cs="Times New Roman"/>
                <w:spacing w:val="-6"/>
                <w:lang w:eastAsia="zh-CN"/>
              </w:rPr>
              <w:t>西南证券</w:t>
            </w:r>
            <w:r w:rsidR="005D7D6B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5D7D6B" w:rsidRPr="00285087">
              <w:rPr>
                <w:rFonts w:ascii="Times New Roman" w:hAnsi="Times New Roman" w:cs="Times New Roman"/>
                <w:spacing w:val="-6"/>
                <w:lang w:eastAsia="zh-CN"/>
              </w:rPr>
              <w:t>蔡欣、交银施罗德</w:t>
            </w:r>
            <w:r w:rsidR="005D7D6B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5D7D6B" w:rsidRPr="00285087">
              <w:rPr>
                <w:rFonts w:ascii="Times New Roman" w:hAnsi="Times New Roman" w:cs="Times New Roman"/>
                <w:spacing w:val="-6"/>
                <w:lang w:eastAsia="zh-CN"/>
              </w:rPr>
              <w:t>张晨、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金泊投资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陈佳琦、中航基金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曾文传、君翼博星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汤仙君、瑞华投资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李一佳、申万宏源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梁飚、方物私募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汪自兵、云杉投资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李晟、智子投资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李莹莹、尚诚资产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杜新正、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HI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资产管理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朴盛求、平安银行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刘颖飞、中信建投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刘岚、粤开证券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钟秋、度势投资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顾宝成、金源期货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范文泉、太平基金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田发祥、上海人寿保险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方军平、寻常（上海）投资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515965" w:rsidRPr="00285087">
              <w:rPr>
                <w:rFonts w:ascii="Times New Roman" w:hAnsi="Times New Roman" w:cs="Times New Roman"/>
                <w:spacing w:val="-6"/>
                <w:lang w:eastAsia="zh-CN"/>
              </w:rPr>
              <w:t>姜荷泽、中天汇富基金</w:t>
            </w:r>
            <w:r w:rsidR="0051596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515965" w:rsidRPr="00285087">
              <w:rPr>
                <w:rFonts w:ascii="Times New Roman" w:hAnsi="Times New Roman" w:cs="Times New Roman"/>
                <w:spacing w:val="-6"/>
                <w:lang w:eastAsia="zh-CN"/>
              </w:rPr>
              <w:t>许高飞、牛乎资产</w:t>
            </w:r>
            <w:r w:rsidR="0051596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515965" w:rsidRPr="00285087">
              <w:rPr>
                <w:rFonts w:ascii="Times New Roman" w:hAnsi="Times New Roman" w:cs="Times New Roman"/>
                <w:spacing w:val="-6"/>
                <w:lang w:eastAsia="zh-CN"/>
              </w:rPr>
              <w:t>赵欣、湘财证券</w:t>
            </w:r>
            <w:r w:rsidR="0051596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515965" w:rsidRPr="00285087">
              <w:rPr>
                <w:rFonts w:ascii="Times New Roman" w:hAnsi="Times New Roman" w:cs="Times New Roman"/>
                <w:spacing w:val="-6"/>
                <w:lang w:eastAsia="zh-CN"/>
              </w:rPr>
              <w:t>戴佳敏、民生加银基金</w:t>
            </w:r>
            <w:r w:rsidR="0051596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515965" w:rsidRPr="00285087">
              <w:rPr>
                <w:rFonts w:ascii="Times New Roman" w:hAnsi="Times New Roman" w:cs="Times New Roman"/>
                <w:spacing w:val="-6"/>
                <w:lang w:eastAsia="zh-CN"/>
              </w:rPr>
              <w:t>顾义河、</w:t>
            </w:r>
            <w:r w:rsidR="00537A5E" w:rsidRPr="00285087">
              <w:rPr>
                <w:rFonts w:ascii="Times New Roman" w:hAnsi="Times New Roman" w:cs="Times New Roman"/>
                <w:spacing w:val="-6"/>
                <w:lang w:eastAsia="zh-CN"/>
              </w:rPr>
              <w:t>中国人保资产</w:t>
            </w:r>
            <w:r w:rsidR="00537A5E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537A5E" w:rsidRPr="00285087">
              <w:rPr>
                <w:rFonts w:ascii="Times New Roman" w:hAnsi="Times New Roman" w:cs="Times New Roman"/>
                <w:spacing w:val="-6"/>
                <w:lang w:eastAsia="zh-CN"/>
              </w:rPr>
              <w:t>王忠波、</w:t>
            </w:r>
            <w:r w:rsidR="00002D5E" w:rsidRPr="00285087">
              <w:rPr>
                <w:rFonts w:ascii="Times New Roman" w:hAnsi="Times New Roman" w:cs="Times New Roman"/>
                <w:spacing w:val="-6"/>
                <w:lang w:eastAsia="zh-CN"/>
              </w:rPr>
              <w:t>同犇投资</w:t>
            </w:r>
            <w:r w:rsidR="00002D5E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002D5E" w:rsidRPr="00285087">
              <w:rPr>
                <w:rFonts w:ascii="Times New Roman" w:hAnsi="Times New Roman" w:cs="Times New Roman"/>
                <w:spacing w:val="-6"/>
                <w:lang w:eastAsia="zh-CN"/>
              </w:rPr>
              <w:t>董智薇、尚诚资产黄向前、鸿运私募</w:t>
            </w:r>
            <w:r w:rsidR="00002D5E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002D5E" w:rsidRPr="00285087">
              <w:rPr>
                <w:rFonts w:ascii="Times New Roman" w:hAnsi="Times New Roman" w:cs="Times New Roman"/>
                <w:spacing w:val="-6"/>
                <w:lang w:eastAsia="zh-CN"/>
              </w:rPr>
              <w:t>张永波、海宸投资</w:t>
            </w:r>
            <w:r w:rsidR="00002D5E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002D5E" w:rsidRPr="00285087">
              <w:rPr>
                <w:rFonts w:ascii="Times New Roman" w:hAnsi="Times New Roman" w:cs="Times New Roman"/>
                <w:spacing w:val="-6"/>
                <w:lang w:eastAsia="zh-CN"/>
              </w:rPr>
              <w:t>杨洋、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>方正人寿保险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>付丹婷、永赢基金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>秦秀娟、西部利得基金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>林静、盟洋投资祝天骄、橡果资产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>魏鑫、正圆私募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>张萍、天猊投资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>曹国军、嘉实基金王维、上银基金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>卢扬、新疆前海联合基金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>魏甜、普华投资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 xml:space="preserve"> </w:t>
            </w:r>
            <w:r w:rsidR="004E0A55" w:rsidRPr="00285087">
              <w:rPr>
                <w:rFonts w:ascii="Times New Roman" w:hAnsi="Times New Roman" w:cs="Times New Roman"/>
                <w:spacing w:val="-6"/>
                <w:lang w:eastAsia="zh-CN"/>
              </w:rPr>
              <w:t>雷云蕾</w:t>
            </w:r>
          </w:p>
        </w:tc>
      </w:tr>
      <w:tr w:rsidR="00C0589C" w:rsidRPr="00285087" w:rsidTr="00954408">
        <w:trPr>
          <w:jc w:val="center"/>
        </w:trPr>
        <w:tc>
          <w:tcPr>
            <w:tcW w:w="1985" w:type="dxa"/>
            <w:vAlign w:val="center"/>
          </w:tcPr>
          <w:p w:rsidR="00C0589C" w:rsidRPr="00285087" w:rsidRDefault="00C0589C" w:rsidP="00C0589C">
            <w:pPr>
              <w:pStyle w:val="a3"/>
              <w:tabs>
                <w:tab w:val="left" w:pos="4351"/>
                <w:tab w:val="left" w:pos="7618"/>
                <w:tab w:val="left" w:pos="9713"/>
              </w:tabs>
              <w:spacing w:before="74"/>
              <w:ind w:right="228"/>
              <w:jc w:val="center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时间</w:t>
            </w:r>
          </w:p>
        </w:tc>
        <w:tc>
          <w:tcPr>
            <w:tcW w:w="0" w:type="auto"/>
            <w:vAlign w:val="center"/>
          </w:tcPr>
          <w:p w:rsidR="00C0589C" w:rsidRPr="00285087" w:rsidRDefault="00C0589C" w:rsidP="004E0A55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0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3112" w:rsidRPr="00285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年</w:t>
            </w:r>
            <w:r w:rsidR="004E0A55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月</w:t>
            </w:r>
            <w:r w:rsidR="004E0A55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日</w:t>
            </w:r>
            <w:r w:rsidR="00343112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-2024</w:t>
            </w:r>
            <w:r w:rsidR="00343112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年</w:t>
            </w:r>
            <w:r w:rsidR="004E0A55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43112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月</w:t>
            </w:r>
            <w:r w:rsidR="004E0A55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343112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日</w:t>
            </w:r>
          </w:p>
        </w:tc>
      </w:tr>
      <w:tr w:rsidR="00C0589C" w:rsidRPr="00285087" w:rsidTr="00954408">
        <w:trPr>
          <w:jc w:val="center"/>
        </w:trPr>
        <w:tc>
          <w:tcPr>
            <w:tcW w:w="1985" w:type="dxa"/>
            <w:vAlign w:val="center"/>
          </w:tcPr>
          <w:p w:rsidR="00C0589C" w:rsidRPr="00285087" w:rsidRDefault="00C0589C" w:rsidP="00C0589C">
            <w:pPr>
              <w:pStyle w:val="a3"/>
              <w:tabs>
                <w:tab w:val="left" w:pos="4351"/>
                <w:tab w:val="left" w:pos="7618"/>
                <w:tab w:val="left" w:pos="9713"/>
              </w:tabs>
              <w:spacing w:before="74"/>
              <w:ind w:right="228"/>
              <w:jc w:val="center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地点</w:t>
            </w:r>
          </w:p>
        </w:tc>
        <w:tc>
          <w:tcPr>
            <w:tcW w:w="0" w:type="auto"/>
            <w:vAlign w:val="center"/>
          </w:tcPr>
          <w:p w:rsidR="00C0589C" w:rsidRPr="00285087" w:rsidRDefault="00343112" w:rsidP="00C0589C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线上</w:t>
            </w:r>
            <w:r w:rsidR="00D52A62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调研</w:t>
            </w:r>
            <w:r w:rsidR="004E0A55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、公司现场调研</w:t>
            </w:r>
          </w:p>
        </w:tc>
      </w:tr>
      <w:tr w:rsidR="00C0589C" w:rsidRPr="00285087" w:rsidTr="00954408">
        <w:trPr>
          <w:jc w:val="center"/>
        </w:trPr>
        <w:tc>
          <w:tcPr>
            <w:tcW w:w="1985" w:type="dxa"/>
            <w:vAlign w:val="center"/>
          </w:tcPr>
          <w:p w:rsidR="00C0589C" w:rsidRPr="00285087" w:rsidRDefault="00C0589C" w:rsidP="00C0589C">
            <w:pPr>
              <w:pStyle w:val="a3"/>
              <w:tabs>
                <w:tab w:val="left" w:pos="4351"/>
                <w:tab w:val="left" w:pos="7618"/>
                <w:tab w:val="left" w:pos="9713"/>
              </w:tabs>
              <w:spacing w:before="74"/>
              <w:ind w:right="228"/>
              <w:jc w:val="center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公司</w:t>
            </w:r>
            <w:r w:rsidR="00934781" w:rsidRPr="00285087">
              <w:rPr>
                <w:rFonts w:ascii="Times New Roman" w:hAnsi="Times New Roman" w:cs="Times New Roman"/>
                <w:spacing w:val="-6"/>
                <w:lang w:eastAsia="zh-CN"/>
              </w:rPr>
              <w:t>接待人员</w:t>
            </w:r>
          </w:p>
        </w:tc>
        <w:tc>
          <w:tcPr>
            <w:tcW w:w="0" w:type="auto"/>
            <w:vAlign w:val="center"/>
          </w:tcPr>
          <w:p w:rsidR="00343112" w:rsidRPr="00285087" w:rsidRDefault="00343112" w:rsidP="00C0589C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董事、副总经理兼财务总监朱晓燕女士</w:t>
            </w:r>
          </w:p>
          <w:p w:rsidR="00343112" w:rsidRPr="00285087" w:rsidRDefault="00343112" w:rsidP="00C0589C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董事兼董事会秘书李虹先生</w:t>
            </w:r>
          </w:p>
          <w:p w:rsidR="00C0589C" w:rsidRPr="00285087" w:rsidRDefault="00C0589C" w:rsidP="00C0589C">
            <w:pPr>
              <w:pStyle w:val="TableParagraph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证券事务代表</w:t>
            </w:r>
            <w:r w:rsidR="00343112"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孙海燕</w:t>
            </w:r>
            <w:r w:rsidRPr="0028508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女士</w:t>
            </w:r>
          </w:p>
        </w:tc>
      </w:tr>
      <w:tr w:rsidR="00C0589C" w:rsidRPr="00285087" w:rsidTr="00954408">
        <w:trPr>
          <w:jc w:val="center"/>
        </w:trPr>
        <w:tc>
          <w:tcPr>
            <w:tcW w:w="1985" w:type="dxa"/>
            <w:vAlign w:val="center"/>
          </w:tcPr>
          <w:p w:rsidR="00C0589C" w:rsidRPr="00285087" w:rsidRDefault="00C0589C" w:rsidP="00C0589C">
            <w:pPr>
              <w:pStyle w:val="a3"/>
              <w:tabs>
                <w:tab w:val="left" w:pos="4351"/>
                <w:tab w:val="left" w:pos="7618"/>
                <w:tab w:val="left" w:pos="9713"/>
              </w:tabs>
              <w:spacing w:before="74"/>
              <w:ind w:right="228"/>
              <w:jc w:val="center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投资者关系活动主要内容介绍</w:t>
            </w:r>
          </w:p>
        </w:tc>
        <w:tc>
          <w:tcPr>
            <w:tcW w:w="0" w:type="auto"/>
            <w:vAlign w:val="center"/>
          </w:tcPr>
          <w:p w:rsidR="00C42519" w:rsidRPr="00285087" w:rsidRDefault="00192C05" w:rsidP="00C42519">
            <w:pPr>
              <w:adjustRightInd w:val="0"/>
              <w:snapToGrid w:val="0"/>
              <w:spacing w:line="360" w:lineRule="auto"/>
              <w:ind w:firstLineChars="200" w:firstLine="4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问题一：请</w:t>
            </w:r>
            <w:r w:rsidR="008B0476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介绍一下</w:t>
            </w:r>
            <w:r w:rsidR="008B0476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PVC</w:t>
            </w:r>
            <w:r w:rsidR="008B0476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地板的市场占有率</w:t>
            </w:r>
            <w:bookmarkStart w:id="0" w:name="_GoBack"/>
            <w:bookmarkEnd w:id="0"/>
            <w:r w:rsidR="00AD7FF0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情况</w:t>
            </w:r>
            <w:r w:rsidR="00C42519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。</w:t>
            </w:r>
          </w:p>
          <w:p w:rsidR="00484AEE" w:rsidRPr="00285087" w:rsidRDefault="00AD7FF0" w:rsidP="00C42519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答：根据全球知名地板品牌商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Tarkett</w:t>
            </w:r>
            <w:r w:rsidR="00380E5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所作分析</w:t>
            </w:r>
            <w:r w:rsidR="00380E5F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，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2022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年度全球地面装饰材料销售总量约为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126.82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亿平方米，其中陶瓷地板占据主导地位</w:t>
            </w:r>
            <w:r w:rsidR="00380E5F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，</w:t>
            </w:r>
            <w:r w:rsidR="00380E5F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022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年度市场份额约为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58%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，而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PVC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地板占比为约为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12%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；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PVC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地板在欧美等发达地区的发展较早，早在上世纪三十年代美国已经开始生产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PVC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地板，已获得了市场的高度认可，是全球最大的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PVC </w:t>
            </w:r>
            <w:r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地板消费市场。</w:t>
            </w:r>
          </w:p>
          <w:p w:rsidR="00AD7FF0" w:rsidRPr="00285087" w:rsidRDefault="00AD7FF0" w:rsidP="00C42519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C42519" w:rsidRPr="00285087" w:rsidRDefault="00C42519" w:rsidP="00C42519">
            <w:pPr>
              <w:adjustRightInd w:val="0"/>
              <w:snapToGrid w:val="0"/>
              <w:spacing w:line="360" w:lineRule="auto"/>
              <w:ind w:firstLineChars="200" w:firstLine="48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问题二：</w:t>
            </w:r>
            <w:r w:rsidR="00A8533F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请问公司订单如何，一季度效益如何，与</w:t>
            </w:r>
            <w:r w:rsidR="00A8533F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2023</w:t>
            </w:r>
            <w:r w:rsidR="00A8533F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年同期相比如何</w:t>
            </w:r>
            <w:r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？</w:t>
            </w:r>
          </w:p>
          <w:p w:rsidR="00C42519" w:rsidRPr="00285087" w:rsidRDefault="00192C05" w:rsidP="00A8533F">
            <w:pPr>
              <w:adjustRightInd w:val="0"/>
              <w:snapToGrid w:val="0"/>
              <w:spacing w:line="360" w:lineRule="auto"/>
              <w:ind w:firstLineChars="200" w:firstLine="4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答：</w:t>
            </w:r>
            <w:r w:rsidR="00A8533F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公司国内工厂正常生产，</w:t>
            </w:r>
            <w:r w:rsidR="00E62DB2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除春节放假外，</w:t>
            </w:r>
            <w:r w:rsidR="00A8533F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公司订单持续充足，美国工厂于去</w:t>
            </w:r>
            <w:r w:rsidR="00A8533F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lastRenderedPageBreak/>
              <w:t>年</w:t>
            </w:r>
            <w:r w:rsidR="00A8533F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  <w:r w:rsidR="00A8533F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月获得生产经营许可证，产能利用率相对不高，目前进入产能爬坡阶段。具体的业绩数据等，请关注公司的一季报等公告。</w:t>
            </w:r>
          </w:p>
          <w:p w:rsidR="00484AEE" w:rsidRPr="00285087" w:rsidRDefault="00484AEE" w:rsidP="00C42519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C42519" w:rsidRPr="00285087" w:rsidRDefault="00C42519" w:rsidP="00C42519">
            <w:pPr>
              <w:adjustRightInd w:val="0"/>
              <w:snapToGrid w:val="0"/>
              <w:spacing w:line="360" w:lineRule="auto"/>
              <w:ind w:firstLineChars="200" w:firstLine="48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问题三：</w:t>
            </w:r>
            <w:r w:rsidR="008E3699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请</w:t>
            </w:r>
            <w:r w:rsidR="00E62DB2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海外（</w:t>
            </w:r>
            <w:r w:rsidR="009D4D58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  <w:lang w:eastAsia="zh-CN"/>
              </w:rPr>
              <w:t>北美</w:t>
            </w:r>
            <w:r w:rsidR="00E62DB2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）产能是国内产能的替代关系吗</w:t>
            </w:r>
            <w:r w:rsidR="008E3699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？</w:t>
            </w:r>
            <w:r w:rsidR="008E3699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42519" w:rsidRPr="00285087" w:rsidRDefault="008E3699" w:rsidP="00C42519">
            <w:pPr>
              <w:adjustRightInd w:val="0"/>
              <w:snapToGrid w:val="0"/>
              <w:spacing w:line="360" w:lineRule="auto"/>
              <w:ind w:firstLineChars="200" w:firstLine="4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答：</w:t>
            </w:r>
            <w:r w:rsidR="00E62DB2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不是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。</w:t>
            </w:r>
            <w:r w:rsidR="00B71F7E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因为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供应链安全</w:t>
            </w:r>
            <w:r w:rsidR="00B71F7E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因素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在采购管理</w:t>
            </w:r>
            <w:r w:rsidR="00B71F7E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决策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中的权重越来越大</w:t>
            </w:r>
            <w:r w:rsidR="0063066A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（特别是美国大选带来的不确定性）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，</w:t>
            </w:r>
            <w:r w:rsidR="00B71F7E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而且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北美产能的建设</w:t>
            </w:r>
            <w:r w:rsidR="00F12D47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周期长、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运营难度大，相对稀缺，</w:t>
            </w:r>
            <w:r w:rsidR="00B71F7E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所以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公司北美</w:t>
            </w:r>
            <w:r w:rsidR="00E62DB2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产能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的建成，</w:t>
            </w:r>
            <w:r w:rsidR="00B71F7E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能够有效满足</w:t>
            </w:r>
            <w:r w:rsidR="006C1EA8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海外</w:t>
            </w:r>
            <w:r w:rsidR="00B71F7E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客户对于供应链多元化的需要，</w:t>
            </w:r>
            <w:r w:rsidR="00503242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切实</w:t>
            </w:r>
            <w:r w:rsidR="006C1EA8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化解供应链安全风险，</w:t>
            </w:r>
            <w:r w:rsidR="00B71F7E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从而</w:t>
            </w:r>
            <w:r w:rsidR="00E62DB2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有利于保障国内订单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的稳定</w:t>
            </w:r>
            <w:r w:rsidR="006C1EA8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；</w:t>
            </w:r>
            <w:r w:rsidR="00B71F7E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在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中国产能和北美产能</w:t>
            </w:r>
            <w:r w:rsidR="00B71F7E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之间，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将</w:t>
            </w:r>
            <w:r w:rsidR="00B71F7E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形成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相辅相成的互补关系</w:t>
            </w:r>
            <w:r w:rsidR="00944B6A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。</w:t>
            </w:r>
          </w:p>
          <w:p w:rsidR="00A95004" w:rsidRPr="00285087" w:rsidRDefault="00A95004" w:rsidP="00C42519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  <w:p w:rsidR="00484AEE" w:rsidRPr="00285087" w:rsidRDefault="00484AEE" w:rsidP="00484AEE">
            <w:pPr>
              <w:adjustRightInd w:val="0"/>
              <w:snapToGrid w:val="0"/>
              <w:spacing w:line="360" w:lineRule="auto"/>
              <w:ind w:firstLineChars="200" w:firstLine="482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问题四：</w:t>
            </w:r>
            <w:r w:rsidR="00A8533F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请问公司</w:t>
            </w:r>
            <w:r w:rsidR="00A8533F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2023</w:t>
            </w:r>
            <w:r w:rsidR="00A8533F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年度</w:t>
            </w:r>
            <w:r w:rsidR="00A8533F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2-3</w:t>
            </w:r>
            <w:r w:rsidR="00A8533F"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季度业绩提升是什么原因</w:t>
            </w:r>
            <w:r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？</w:t>
            </w:r>
            <w:r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A76145" w:rsidRPr="00285087" w:rsidRDefault="00484AEE" w:rsidP="00A76145">
            <w:pPr>
              <w:adjustRightInd w:val="0"/>
              <w:snapToGrid w:val="0"/>
              <w:spacing w:line="360" w:lineRule="auto"/>
              <w:ind w:firstLineChars="200" w:firstLine="4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2850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答：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主要</w:t>
            </w:r>
            <w:r w:rsidR="00C45DDD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是由于市场需求提升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所致。</w:t>
            </w:r>
            <w:r w:rsidR="00C45DDD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公司主要产品</w:t>
            </w:r>
            <w:r w:rsidR="00C45DDD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WPC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定位于家装和工装的中高端市场，</w:t>
            </w:r>
            <w:r w:rsidR="005F0913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在美国市场积累了良好的口碑，具有较好的美誉度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；此外，原材料成本、物流成本均处于</w:t>
            </w:r>
            <w:r w:rsidR="00796623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低</w:t>
            </w:r>
            <w:r w:rsidR="005D7D6B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位，人民币汇率较为友好，也有助于业绩提升。</w:t>
            </w:r>
            <w:r w:rsidR="005F0913" w:rsidRPr="00285087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0589C" w:rsidRPr="00285087" w:rsidRDefault="00C0589C" w:rsidP="00A76145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0589C" w:rsidRPr="00285087" w:rsidTr="00954408">
        <w:trPr>
          <w:jc w:val="center"/>
        </w:trPr>
        <w:tc>
          <w:tcPr>
            <w:tcW w:w="1985" w:type="dxa"/>
            <w:vAlign w:val="center"/>
          </w:tcPr>
          <w:p w:rsidR="00C0589C" w:rsidRPr="00285087" w:rsidRDefault="00934781" w:rsidP="00C0589C">
            <w:pPr>
              <w:pStyle w:val="a3"/>
              <w:tabs>
                <w:tab w:val="left" w:pos="4351"/>
                <w:tab w:val="left" w:pos="7618"/>
                <w:tab w:val="left" w:pos="9713"/>
              </w:tabs>
              <w:spacing w:before="74"/>
              <w:ind w:right="228"/>
              <w:jc w:val="center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lastRenderedPageBreak/>
              <w:t>附件清单</w:t>
            </w:r>
          </w:p>
        </w:tc>
        <w:tc>
          <w:tcPr>
            <w:tcW w:w="0" w:type="auto"/>
            <w:vAlign w:val="center"/>
          </w:tcPr>
          <w:p w:rsidR="00C0589C" w:rsidRPr="00285087" w:rsidRDefault="00C0589C" w:rsidP="00C0589C">
            <w:pPr>
              <w:pStyle w:val="a3"/>
              <w:tabs>
                <w:tab w:val="left" w:pos="4351"/>
                <w:tab w:val="left" w:pos="7618"/>
                <w:tab w:val="left" w:pos="9713"/>
              </w:tabs>
              <w:spacing w:before="74"/>
              <w:ind w:right="228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无</w:t>
            </w:r>
          </w:p>
        </w:tc>
      </w:tr>
      <w:tr w:rsidR="00C0589C" w:rsidRPr="00285087" w:rsidTr="00954408">
        <w:trPr>
          <w:jc w:val="center"/>
        </w:trPr>
        <w:tc>
          <w:tcPr>
            <w:tcW w:w="1985" w:type="dxa"/>
            <w:vAlign w:val="center"/>
          </w:tcPr>
          <w:p w:rsidR="00C0589C" w:rsidRPr="00285087" w:rsidRDefault="00C0589C" w:rsidP="00C0589C">
            <w:pPr>
              <w:pStyle w:val="a3"/>
              <w:tabs>
                <w:tab w:val="left" w:pos="4351"/>
                <w:tab w:val="left" w:pos="7618"/>
                <w:tab w:val="left" w:pos="9713"/>
              </w:tabs>
              <w:spacing w:before="74"/>
              <w:ind w:right="228"/>
              <w:jc w:val="center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日期</w:t>
            </w:r>
          </w:p>
        </w:tc>
        <w:tc>
          <w:tcPr>
            <w:tcW w:w="0" w:type="auto"/>
            <w:vAlign w:val="center"/>
          </w:tcPr>
          <w:p w:rsidR="00C0589C" w:rsidRPr="00285087" w:rsidRDefault="00C0589C" w:rsidP="00954408">
            <w:pPr>
              <w:pStyle w:val="a3"/>
              <w:tabs>
                <w:tab w:val="left" w:pos="4351"/>
                <w:tab w:val="left" w:pos="7618"/>
                <w:tab w:val="left" w:pos="9713"/>
              </w:tabs>
              <w:spacing w:before="74"/>
              <w:ind w:right="228"/>
              <w:jc w:val="both"/>
              <w:rPr>
                <w:rFonts w:ascii="Times New Roman" w:hAnsi="Times New Roman" w:cs="Times New Roman"/>
                <w:spacing w:val="-6"/>
                <w:lang w:eastAsia="zh-CN"/>
              </w:rPr>
            </w:pP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202</w:t>
            </w:r>
            <w:r w:rsidR="00343112" w:rsidRPr="00285087">
              <w:rPr>
                <w:rFonts w:ascii="Times New Roman" w:hAnsi="Times New Roman" w:cs="Times New Roman"/>
                <w:spacing w:val="-6"/>
                <w:lang w:eastAsia="zh-CN"/>
              </w:rPr>
              <w:t>4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年</w:t>
            </w:r>
            <w:r w:rsidR="005F0913" w:rsidRPr="00285087">
              <w:rPr>
                <w:rFonts w:ascii="Times New Roman" w:hAnsi="Times New Roman" w:cs="Times New Roman"/>
                <w:spacing w:val="-6"/>
                <w:lang w:eastAsia="zh-CN"/>
              </w:rPr>
              <w:t>3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月</w:t>
            </w:r>
            <w:r w:rsidR="005F0913" w:rsidRPr="00285087">
              <w:rPr>
                <w:rFonts w:ascii="Times New Roman" w:hAnsi="Times New Roman" w:cs="Times New Roman"/>
                <w:spacing w:val="-6"/>
                <w:lang w:eastAsia="zh-CN"/>
              </w:rPr>
              <w:t>1</w:t>
            </w:r>
            <w:r w:rsidR="00954408">
              <w:rPr>
                <w:rFonts w:ascii="Times New Roman" w:hAnsi="Times New Roman" w:cs="Times New Roman"/>
                <w:spacing w:val="-6"/>
                <w:lang w:eastAsia="zh-CN"/>
              </w:rPr>
              <w:t>9</w:t>
            </w:r>
            <w:r w:rsidRPr="00285087">
              <w:rPr>
                <w:rFonts w:ascii="Times New Roman" w:hAnsi="Times New Roman" w:cs="Times New Roman"/>
                <w:spacing w:val="-6"/>
                <w:lang w:eastAsia="zh-CN"/>
              </w:rPr>
              <w:t>日</w:t>
            </w:r>
          </w:p>
        </w:tc>
      </w:tr>
    </w:tbl>
    <w:p w:rsidR="00C0589C" w:rsidRPr="00285087" w:rsidRDefault="00C0589C" w:rsidP="00314774">
      <w:pPr>
        <w:widowControl/>
        <w:autoSpaceDE/>
        <w:autoSpaceDN/>
        <w:rPr>
          <w:rFonts w:ascii="Times New Roman" w:hAnsi="Times New Roman" w:cs="Times New Roman"/>
          <w:spacing w:val="-6"/>
          <w:sz w:val="24"/>
          <w:szCs w:val="24"/>
          <w:lang w:eastAsia="zh-CN"/>
        </w:rPr>
      </w:pPr>
    </w:p>
    <w:sectPr w:rsidR="00C0589C" w:rsidRPr="00285087">
      <w:pgSz w:w="11910" w:h="16850"/>
      <w:pgMar w:top="1480" w:right="900" w:bottom="1540" w:left="940" w:header="880" w:footer="1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ED" w:rsidRDefault="007373ED" w:rsidP="00B33AE1">
      <w:r>
        <w:separator/>
      </w:r>
    </w:p>
  </w:endnote>
  <w:endnote w:type="continuationSeparator" w:id="0">
    <w:p w:rsidR="007373ED" w:rsidRDefault="007373ED" w:rsidP="00B3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ED" w:rsidRDefault="007373ED" w:rsidP="00B33AE1">
      <w:r>
        <w:separator/>
      </w:r>
    </w:p>
  </w:footnote>
  <w:footnote w:type="continuationSeparator" w:id="0">
    <w:p w:rsidR="007373ED" w:rsidRDefault="007373ED" w:rsidP="00B3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625"/>
    <w:multiLevelType w:val="hybridMultilevel"/>
    <w:tmpl w:val="2DB61FF6"/>
    <w:lvl w:ilvl="0" w:tplc="73807AE6">
      <w:start w:val="360"/>
      <w:numFmt w:val="bullet"/>
      <w:lvlText w:val="□"/>
      <w:lvlJc w:val="left"/>
      <w:pPr>
        <w:ind w:left="464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20"/>
      </w:pPr>
      <w:rPr>
        <w:rFonts w:ascii="Wingdings" w:hAnsi="Wingdings" w:hint="default"/>
      </w:rPr>
    </w:lvl>
  </w:abstractNum>
  <w:abstractNum w:abstractNumId="1" w15:restartNumberingAfterBreak="0">
    <w:nsid w:val="25BA0B6F"/>
    <w:multiLevelType w:val="hybridMultilevel"/>
    <w:tmpl w:val="8C0AFEE6"/>
    <w:lvl w:ilvl="0" w:tplc="442E1924">
      <w:numFmt w:val="bullet"/>
      <w:lvlText w:val=""/>
      <w:lvlJc w:val="left"/>
      <w:pPr>
        <w:ind w:left="32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</w:rPr>
    </w:lvl>
    <w:lvl w:ilvl="1" w:tplc="C206EA0C">
      <w:numFmt w:val="bullet"/>
      <w:lvlText w:val="•"/>
      <w:lvlJc w:val="left"/>
      <w:pPr>
        <w:ind w:left="774" w:hanging="215"/>
      </w:pPr>
      <w:rPr>
        <w:rFonts w:hint="default"/>
      </w:rPr>
    </w:lvl>
    <w:lvl w:ilvl="2" w:tplc="5EFEC8C6">
      <w:numFmt w:val="bullet"/>
      <w:lvlText w:val="•"/>
      <w:lvlJc w:val="left"/>
      <w:pPr>
        <w:ind w:left="1228" w:hanging="215"/>
      </w:pPr>
      <w:rPr>
        <w:rFonts w:hint="default"/>
      </w:rPr>
    </w:lvl>
    <w:lvl w:ilvl="3" w:tplc="DC8A160E">
      <w:numFmt w:val="bullet"/>
      <w:lvlText w:val="•"/>
      <w:lvlJc w:val="left"/>
      <w:pPr>
        <w:ind w:left="1682" w:hanging="215"/>
      </w:pPr>
      <w:rPr>
        <w:rFonts w:hint="default"/>
      </w:rPr>
    </w:lvl>
    <w:lvl w:ilvl="4" w:tplc="9494776A">
      <w:numFmt w:val="bullet"/>
      <w:lvlText w:val="•"/>
      <w:lvlJc w:val="left"/>
      <w:pPr>
        <w:ind w:left="2136" w:hanging="215"/>
      </w:pPr>
      <w:rPr>
        <w:rFonts w:hint="default"/>
      </w:rPr>
    </w:lvl>
    <w:lvl w:ilvl="5" w:tplc="C12A0CC0">
      <w:numFmt w:val="bullet"/>
      <w:lvlText w:val="•"/>
      <w:lvlJc w:val="left"/>
      <w:pPr>
        <w:ind w:left="2590" w:hanging="215"/>
      </w:pPr>
      <w:rPr>
        <w:rFonts w:hint="default"/>
      </w:rPr>
    </w:lvl>
    <w:lvl w:ilvl="6" w:tplc="A45A7CBC">
      <w:numFmt w:val="bullet"/>
      <w:lvlText w:val="•"/>
      <w:lvlJc w:val="left"/>
      <w:pPr>
        <w:ind w:left="3044" w:hanging="215"/>
      </w:pPr>
      <w:rPr>
        <w:rFonts w:hint="default"/>
      </w:rPr>
    </w:lvl>
    <w:lvl w:ilvl="7" w:tplc="A45A93B2">
      <w:numFmt w:val="bullet"/>
      <w:lvlText w:val="•"/>
      <w:lvlJc w:val="left"/>
      <w:pPr>
        <w:ind w:left="3498" w:hanging="215"/>
      </w:pPr>
      <w:rPr>
        <w:rFonts w:hint="default"/>
      </w:rPr>
    </w:lvl>
    <w:lvl w:ilvl="8" w:tplc="A2B21DD8">
      <w:numFmt w:val="bullet"/>
      <w:lvlText w:val="•"/>
      <w:lvlJc w:val="left"/>
      <w:pPr>
        <w:ind w:left="3952" w:hanging="2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D0"/>
    <w:rsid w:val="00002D5E"/>
    <w:rsid w:val="00062A43"/>
    <w:rsid w:val="00075134"/>
    <w:rsid w:val="000A3CFA"/>
    <w:rsid w:val="0011176F"/>
    <w:rsid w:val="0015049B"/>
    <w:rsid w:val="00157E45"/>
    <w:rsid w:val="00162118"/>
    <w:rsid w:val="00180C4F"/>
    <w:rsid w:val="00187873"/>
    <w:rsid w:val="00192C05"/>
    <w:rsid w:val="001B105C"/>
    <w:rsid w:val="001E3BF5"/>
    <w:rsid w:val="002033DC"/>
    <w:rsid w:val="00210912"/>
    <w:rsid w:val="00220B7E"/>
    <w:rsid w:val="00285087"/>
    <w:rsid w:val="002C6139"/>
    <w:rsid w:val="003023D4"/>
    <w:rsid w:val="00314774"/>
    <w:rsid w:val="00335101"/>
    <w:rsid w:val="00343112"/>
    <w:rsid w:val="003510D8"/>
    <w:rsid w:val="00380E5F"/>
    <w:rsid w:val="00385F9F"/>
    <w:rsid w:val="003A1E68"/>
    <w:rsid w:val="003C5E5A"/>
    <w:rsid w:val="003E39AD"/>
    <w:rsid w:val="003F24CB"/>
    <w:rsid w:val="0046203B"/>
    <w:rsid w:val="00481920"/>
    <w:rsid w:val="00484AEE"/>
    <w:rsid w:val="004E0A55"/>
    <w:rsid w:val="00503242"/>
    <w:rsid w:val="00506FB7"/>
    <w:rsid w:val="00515965"/>
    <w:rsid w:val="00515AF8"/>
    <w:rsid w:val="00537A5E"/>
    <w:rsid w:val="00545CD7"/>
    <w:rsid w:val="00550D1A"/>
    <w:rsid w:val="00577DA2"/>
    <w:rsid w:val="00591B12"/>
    <w:rsid w:val="005B76D1"/>
    <w:rsid w:val="005D7B80"/>
    <w:rsid w:val="005D7D6B"/>
    <w:rsid w:val="005D7F63"/>
    <w:rsid w:val="005F0913"/>
    <w:rsid w:val="005F0A3B"/>
    <w:rsid w:val="00625270"/>
    <w:rsid w:val="0063066A"/>
    <w:rsid w:val="00646A9E"/>
    <w:rsid w:val="006A7E04"/>
    <w:rsid w:val="006B634C"/>
    <w:rsid w:val="006C1EA8"/>
    <w:rsid w:val="007145CA"/>
    <w:rsid w:val="00720159"/>
    <w:rsid w:val="00725306"/>
    <w:rsid w:val="007373ED"/>
    <w:rsid w:val="00746B38"/>
    <w:rsid w:val="00762FE7"/>
    <w:rsid w:val="00791A8B"/>
    <w:rsid w:val="00796623"/>
    <w:rsid w:val="007C2AD0"/>
    <w:rsid w:val="007D0B18"/>
    <w:rsid w:val="007D1339"/>
    <w:rsid w:val="00855FFD"/>
    <w:rsid w:val="0088078C"/>
    <w:rsid w:val="008B0476"/>
    <w:rsid w:val="008E3699"/>
    <w:rsid w:val="00934781"/>
    <w:rsid w:val="00944B6A"/>
    <w:rsid w:val="00954408"/>
    <w:rsid w:val="00971D61"/>
    <w:rsid w:val="009D4D58"/>
    <w:rsid w:val="009F6580"/>
    <w:rsid w:val="00A1447D"/>
    <w:rsid w:val="00A20A7C"/>
    <w:rsid w:val="00A301F5"/>
    <w:rsid w:val="00A76145"/>
    <w:rsid w:val="00A8533F"/>
    <w:rsid w:val="00A94277"/>
    <w:rsid w:val="00A95004"/>
    <w:rsid w:val="00AB0137"/>
    <w:rsid w:val="00AB093A"/>
    <w:rsid w:val="00AD59EF"/>
    <w:rsid w:val="00AD7FF0"/>
    <w:rsid w:val="00B33AE1"/>
    <w:rsid w:val="00B40DE1"/>
    <w:rsid w:val="00B71F7E"/>
    <w:rsid w:val="00B92631"/>
    <w:rsid w:val="00BE5C26"/>
    <w:rsid w:val="00C0589C"/>
    <w:rsid w:val="00C16561"/>
    <w:rsid w:val="00C32D90"/>
    <w:rsid w:val="00C42519"/>
    <w:rsid w:val="00C45DDD"/>
    <w:rsid w:val="00CF7CA4"/>
    <w:rsid w:val="00D01209"/>
    <w:rsid w:val="00D05B43"/>
    <w:rsid w:val="00D212B0"/>
    <w:rsid w:val="00D43F34"/>
    <w:rsid w:val="00D52A62"/>
    <w:rsid w:val="00DA206E"/>
    <w:rsid w:val="00DD57C5"/>
    <w:rsid w:val="00DE0FD0"/>
    <w:rsid w:val="00E3185C"/>
    <w:rsid w:val="00E62DB2"/>
    <w:rsid w:val="00E9148E"/>
    <w:rsid w:val="00EA2FBB"/>
    <w:rsid w:val="00EE68C9"/>
    <w:rsid w:val="00F12D47"/>
    <w:rsid w:val="00F525AF"/>
    <w:rsid w:val="00F6043F"/>
    <w:rsid w:val="00F720BF"/>
    <w:rsid w:val="00F81DAD"/>
    <w:rsid w:val="00F91CED"/>
    <w:rsid w:val="00F927F2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9F818"/>
  <w15:chartTrackingRefBased/>
  <w15:docId w15:val="{B9A1A388-18E5-4388-BB3D-108A98B4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0FD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DE0FD0"/>
    <w:pPr>
      <w:spacing w:before="214"/>
      <w:ind w:left="2803" w:right="272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DE0FD0"/>
    <w:rPr>
      <w:rFonts w:ascii="宋体" w:eastAsia="宋体" w:hAnsi="宋体" w:cs="宋体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0FD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0FD0"/>
    <w:rPr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DE0FD0"/>
    <w:rPr>
      <w:rFonts w:ascii="宋体" w:eastAsia="宋体" w:hAnsi="宋体" w:cs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E0FD0"/>
  </w:style>
  <w:style w:type="table" w:styleId="a5">
    <w:name w:val="Table Grid"/>
    <w:basedOn w:val="a1"/>
    <w:uiPriority w:val="39"/>
    <w:rsid w:val="00C0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68C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E68C9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B33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33AE1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B33A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33AE1"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fontstyle01">
    <w:name w:val="fontstyle01"/>
    <w:basedOn w:val="a0"/>
    <w:rsid w:val="008B0476"/>
    <w:rPr>
      <w:rFonts w:ascii="华文楷体" w:eastAsia="华文楷体" w:hAnsi="华文楷体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Haiyan Sun</cp:lastModifiedBy>
  <cp:revision>12</cp:revision>
  <dcterms:created xsi:type="dcterms:W3CDTF">2024-03-18T06:55:00Z</dcterms:created>
  <dcterms:modified xsi:type="dcterms:W3CDTF">2024-03-19T00:30:00Z</dcterms:modified>
</cp:coreProperties>
</file>