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bCs/>
          <w:iCs/>
          <w:color w:val="000000"/>
          <w:sz w:val="24"/>
        </w:rPr>
      </w:pPr>
      <w:r>
        <w:rPr>
          <w:rFonts w:hAnsi="宋体"/>
          <w:bCs/>
          <w:iCs/>
          <w:color w:val="000000"/>
          <w:sz w:val="24"/>
        </w:rPr>
        <w:t>证券代码：</w:t>
      </w:r>
      <w:r>
        <w:rPr>
          <w:rFonts w:hint="eastAsia" w:hAnsi="宋体"/>
          <w:bCs/>
          <w:iCs/>
          <w:color w:val="000000"/>
          <w:sz w:val="24"/>
        </w:rPr>
        <w:t>6</w:t>
      </w:r>
      <w:r>
        <w:rPr>
          <w:rFonts w:hAnsi="宋体"/>
          <w:bCs/>
          <w:iCs/>
          <w:color w:val="000000"/>
          <w:sz w:val="24"/>
        </w:rPr>
        <w:t>88793</w:t>
      </w:r>
      <w:r>
        <w:rPr>
          <w:bCs/>
          <w:iCs/>
          <w:color w:val="000000"/>
          <w:sz w:val="24"/>
        </w:rPr>
        <w:t xml:space="preserve">                    </w:t>
      </w:r>
      <w:r>
        <w:rPr>
          <w:rFonts w:hint="eastAsia"/>
          <w:bCs/>
          <w:iCs/>
          <w:color w:val="000000"/>
          <w:sz w:val="24"/>
        </w:rPr>
        <w:t xml:space="preserve">  </w:t>
      </w:r>
      <w:r>
        <w:rPr>
          <w:rFonts w:hAnsi="宋体"/>
          <w:bCs/>
          <w:iCs/>
          <w:color w:val="000000"/>
          <w:sz w:val="24"/>
        </w:rPr>
        <w:t>证券简称：</w:t>
      </w:r>
      <w:r>
        <w:rPr>
          <w:rFonts w:hint="eastAsia" w:hAnsi="宋体"/>
          <w:bCs/>
          <w:iCs/>
          <w:color w:val="000000"/>
          <w:sz w:val="24"/>
        </w:rPr>
        <w:t>倍轻松</w:t>
      </w:r>
    </w:p>
    <w:p>
      <w:pPr>
        <w:spacing w:before="156" w:beforeLines="50" w:after="156" w:afterLines="50" w:line="400" w:lineRule="exact"/>
        <w:ind w:firstLine="720" w:firstLineChars="300"/>
        <w:rPr>
          <w:bCs/>
          <w:iCs/>
          <w:color w:val="000000"/>
          <w:sz w:val="24"/>
        </w:rPr>
      </w:pPr>
    </w:p>
    <w:p>
      <w:pPr>
        <w:spacing w:before="156" w:beforeLines="50" w:after="156" w:afterLines="50" w:line="400" w:lineRule="exact"/>
        <w:jc w:val="center"/>
        <w:rPr>
          <w:rFonts w:hAnsi="宋体"/>
          <w:b/>
          <w:bCs/>
          <w:iCs/>
          <w:color w:val="000000"/>
          <w:sz w:val="32"/>
          <w:szCs w:val="32"/>
        </w:rPr>
      </w:pPr>
      <w:r>
        <w:rPr>
          <w:rFonts w:hint="eastAsia" w:hAnsi="宋体"/>
          <w:b/>
          <w:bCs/>
          <w:iCs/>
          <w:color w:val="000000"/>
          <w:sz w:val="32"/>
          <w:szCs w:val="32"/>
        </w:rPr>
        <w:t>深圳市倍轻松科技股份有限公司</w:t>
      </w:r>
    </w:p>
    <w:p>
      <w:pPr>
        <w:spacing w:before="156" w:beforeLines="50" w:after="156" w:afterLines="50" w:line="400" w:lineRule="exact"/>
        <w:jc w:val="center"/>
        <w:rPr>
          <w:b/>
          <w:bCs/>
          <w:iCs/>
          <w:color w:val="000000"/>
          <w:sz w:val="32"/>
          <w:szCs w:val="32"/>
        </w:rPr>
      </w:pPr>
      <w:r>
        <w:rPr>
          <w:rFonts w:hAnsi="宋体"/>
          <w:b/>
          <w:bCs/>
          <w:iCs/>
          <w:color w:val="000000"/>
          <w:sz w:val="32"/>
          <w:szCs w:val="32"/>
        </w:rPr>
        <w:t>投资者关系活动记录表</w:t>
      </w:r>
    </w:p>
    <w:p>
      <w:pPr>
        <w:spacing w:line="400" w:lineRule="exact"/>
        <w:rPr>
          <w:bCs/>
          <w:iCs/>
          <w:color w:val="000000"/>
          <w:sz w:val="24"/>
        </w:rPr>
      </w:pPr>
      <w:r>
        <w:rPr>
          <w:bCs/>
          <w:iCs/>
          <w:color w:val="000000"/>
          <w:sz w:val="24"/>
        </w:rPr>
        <w:t xml:space="preserve">                                                     </w:t>
      </w:r>
      <w:r>
        <w:rPr>
          <w:rFonts w:hAnsi="宋体"/>
          <w:bCs/>
          <w:iCs/>
          <w:color w:val="000000"/>
          <w:sz w:val="24"/>
        </w:rPr>
        <w:t>编号：</w:t>
      </w:r>
      <w:r>
        <w:rPr>
          <w:rFonts w:hint="eastAsia" w:hAnsi="宋体"/>
          <w:bCs/>
          <w:iCs/>
          <w:color w:val="000000"/>
          <w:sz w:val="24"/>
        </w:rPr>
        <w:t>2024-0</w:t>
      </w:r>
      <w:r>
        <w:rPr>
          <w:rFonts w:hAnsi="宋体"/>
          <w:bCs/>
          <w:iCs/>
          <w:color w:val="000000"/>
          <w:sz w:val="24"/>
        </w:rPr>
        <w:t>0</w:t>
      </w:r>
      <w:r>
        <w:rPr>
          <w:rFonts w:hint="eastAsia" w:hAnsi="宋体"/>
          <w:bCs/>
          <w:iCs/>
          <w:color w:val="000000"/>
          <w:sz w:val="24"/>
        </w:rPr>
        <w:t>1</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atLeast"/>
              <w:jc w:val="center"/>
              <w:rPr>
                <w:b/>
                <w:bCs/>
                <w:iCs/>
                <w:color w:val="000000"/>
                <w:sz w:val="24"/>
              </w:rPr>
            </w:pPr>
            <w:r>
              <w:rPr>
                <w:rFonts w:hAnsi="宋体"/>
                <w:b/>
                <w:bCs/>
                <w:iCs/>
                <w:color w:val="000000"/>
                <w:sz w:val="24"/>
              </w:rPr>
              <w:t>投资者关系活动类别</w:t>
            </w:r>
          </w:p>
        </w:tc>
        <w:tc>
          <w:tcPr>
            <w:tcW w:w="7087" w:type="dxa"/>
          </w:tcPr>
          <w:p>
            <w:pPr>
              <w:rPr>
                <w:bCs/>
                <w:iCs/>
                <w:color w:val="000000"/>
                <w:sz w:val="24"/>
              </w:rPr>
            </w:pPr>
            <w:r>
              <w:rPr>
                <w:bCs/>
                <w:iCs/>
                <w:color w:val="000000"/>
                <w:sz w:val="24"/>
                <w:highlight w:val="black"/>
              </w:rPr>
              <w:t>□</w:t>
            </w:r>
            <w:r>
              <w:rPr>
                <w:rFonts w:hAnsi="宋体"/>
                <w:bCs/>
                <w:iCs/>
                <w:color w:val="000000"/>
                <w:sz w:val="24"/>
              </w:rPr>
              <w:t>特定对象调研</w:t>
            </w:r>
            <w:r>
              <w:rPr>
                <w:bCs/>
                <w:iCs/>
                <w:color w:val="000000"/>
                <w:sz w:val="24"/>
              </w:rPr>
              <w:t xml:space="preserve">        </w:t>
            </w:r>
            <w:r>
              <w:rPr>
                <w:bCs/>
                <w:iCs/>
                <w:color w:val="000000"/>
                <w:sz w:val="24"/>
                <w:highlight w:val="black"/>
              </w:rPr>
              <w:t>□</w:t>
            </w:r>
            <w:r>
              <w:rPr>
                <w:rFonts w:hAnsi="宋体"/>
                <w:bCs/>
                <w:iCs/>
                <w:color w:val="000000"/>
                <w:sz w:val="24"/>
              </w:rPr>
              <w:t>分析师会议</w:t>
            </w:r>
          </w:p>
          <w:p>
            <w:pPr>
              <w:rPr>
                <w:bCs/>
                <w:iCs/>
                <w:color w:val="000000"/>
                <w:sz w:val="24"/>
              </w:rPr>
            </w:pPr>
            <w:r>
              <w:rPr>
                <w:bCs/>
                <w:iCs/>
                <w:color w:val="000000"/>
                <w:sz w:val="24"/>
              </w:rPr>
              <w:t>□</w:t>
            </w:r>
            <w:r>
              <w:rPr>
                <w:rFonts w:hAnsi="宋体"/>
                <w:bCs/>
                <w:iCs/>
                <w:color w:val="000000"/>
                <w:sz w:val="24"/>
              </w:rPr>
              <w:t>媒体采访</w:t>
            </w:r>
            <w:r>
              <w:rPr>
                <w:bCs/>
                <w:iCs/>
                <w:color w:val="000000"/>
                <w:sz w:val="24"/>
              </w:rPr>
              <w:t xml:space="preserve">            □</w:t>
            </w:r>
            <w:r>
              <w:rPr>
                <w:rFonts w:hAnsi="宋体"/>
                <w:bCs/>
                <w:iCs/>
                <w:color w:val="000000"/>
                <w:sz w:val="24"/>
              </w:rPr>
              <w:t>业绩说明会</w:t>
            </w:r>
          </w:p>
          <w:p>
            <w:pPr>
              <w:rPr>
                <w:bCs/>
                <w:iCs/>
                <w:color w:val="000000"/>
                <w:sz w:val="24"/>
              </w:rPr>
            </w:pPr>
            <w:r>
              <w:rPr>
                <w:bCs/>
                <w:iCs/>
                <w:color w:val="000000"/>
                <w:sz w:val="24"/>
              </w:rPr>
              <w:t>□</w:t>
            </w:r>
            <w:r>
              <w:rPr>
                <w:rFonts w:hAnsi="宋体"/>
                <w:bCs/>
                <w:iCs/>
                <w:color w:val="000000"/>
                <w:sz w:val="24"/>
              </w:rPr>
              <w:t>新闻发布会</w:t>
            </w:r>
            <w:r>
              <w:rPr>
                <w:bCs/>
                <w:iCs/>
                <w:color w:val="000000"/>
                <w:sz w:val="24"/>
              </w:rPr>
              <w:t xml:space="preserve">          □</w:t>
            </w:r>
            <w:r>
              <w:rPr>
                <w:rFonts w:hAnsi="宋体"/>
                <w:bCs/>
                <w:iCs/>
                <w:color w:val="000000"/>
                <w:sz w:val="24"/>
              </w:rPr>
              <w:t>路演活动</w:t>
            </w:r>
          </w:p>
          <w:p>
            <w:pPr>
              <w:rPr>
                <w:bCs/>
                <w:iCs/>
                <w:color w:val="000000"/>
                <w:sz w:val="24"/>
              </w:rPr>
            </w:pPr>
            <w:r>
              <w:rPr>
                <w:bCs/>
                <w:iCs/>
                <w:color w:val="000000"/>
                <w:sz w:val="24"/>
              </w:rPr>
              <w:t>□</w:t>
            </w:r>
            <w:r>
              <w:rPr>
                <w:rFonts w:hAnsi="宋体"/>
                <w:bCs/>
                <w:iCs/>
                <w:color w:val="000000"/>
                <w:sz w:val="24"/>
              </w:rPr>
              <w:t>现场参观</w:t>
            </w:r>
          </w:p>
          <w:p>
            <w:pPr>
              <w:rPr>
                <w:bCs/>
                <w:iCs/>
                <w:color w:val="000000"/>
                <w:sz w:val="24"/>
                <w:szCs w:val="24"/>
              </w:rPr>
            </w:pPr>
            <w:r>
              <w:rPr>
                <w:bCs/>
                <w:iCs/>
                <w:color w:val="000000"/>
                <w:sz w:val="24"/>
              </w:rPr>
              <w:t>□</w:t>
            </w:r>
            <w:r>
              <w:rPr>
                <w:rFonts w:hAnsi="宋体"/>
                <w:bCs/>
                <w:iCs/>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526" w:type="dxa"/>
            <w:vAlign w:val="center"/>
          </w:tcPr>
          <w:p>
            <w:pPr>
              <w:spacing w:line="480" w:lineRule="atLeast"/>
              <w:jc w:val="center"/>
              <w:rPr>
                <w:rFonts w:hAnsi="宋体"/>
                <w:b/>
                <w:bCs/>
                <w:iCs/>
                <w:color w:val="000000"/>
                <w:sz w:val="24"/>
              </w:rPr>
            </w:pPr>
            <w:r>
              <w:rPr>
                <w:rFonts w:hAnsi="宋体"/>
                <w:b/>
                <w:bCs/>
                <w:iCs/>
                <w:color w:val="000000"/>
                <w:sz w:val="24"/>
              </w:rPr>
              <w:t>参与单位</w:t>
            </w:r>
          </w:p>
          <w:p>
            <w:pPr>
              <w:spacing w:line="480" w:lineRule="atLeast"/>
              <w:jc w:val="center"/>
              <w:rPr>
                <w:b/>
                <w:bCs/>
                <w:iCs/>
                <w:color w:val="000000"/>
                <w:sz w:val="24"/>
              </w:rPr>
            </w:pPr>
            <w:r>
              <w:rPr>
                <w:rFonts w:hAnsi="宋体"/>
                <w:b/>
                <w:bCs/>
                <w:iCs/>
                <w:color w:val="000000"/>
                <w:sz w:val="24"/>
              </w:rPr>
              <w:t>名称</w:t>
            </w:r>
          </w:p>
        </w:tc>
        <w:tc>
          <w:tcPr>
            <w:tcW w:w="7087" w:type="dxa"/>
            <w:vAlign w:val="center"/>
          </w:tcPr>
          <w:p>
            <w:pPr>
              <w:spacing w:line="480" w:lineRule="atLeast"/>
            </w:pPr>
            <w:r>
              <w:rPr>
                <w:rFonts w:hint="eastAsia"/>
                <w:bCs/>
                <w:iCs/>
                <w:color w:val="000000"/>
                <w:sz w:val="24"/>
              </w:rPr>
              <w:t>银华基金、大成基金、博时基金、睿德银通投资、中承皓富私募基金、方正证券、前海联合基金、中金公司、厦门汉云投资、东方合盈私募基金、东莞伍文资本、西点资本、瀚鑫资本、深圳红钧资本、国投证券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atLeast"/>
              <w:jc w:val="center"/>
              <w:rPr>
                <w:b/>
                <w:bCs/>
                <w:iCs/>
                <w:color w:val="000000"/>
                <w:sz w:val="24"/>
              </w:rPr>
            </w:pPr>
            <w:r>
              <w:rPr>
                <w:rFonts w:hAnsi="宋体"/>
                <w:b/>
                <w:bCs/>
                <w:iCs/>
                <w:color w:val="000000"/>
                <w:sz w:val="24"/>
              </w:rPr>
              <w:t>时</w:t>
            </w:r>
            <w:r>
              <w:rPr>
                <w:b/>
                <w:bCs/>
                <w:iCs/>
                <w:color w:val="000000"/>
                <w:sz w:val="24"/>
              </w:rPr>
              <w:t xml:space="preserve">  </w:t>
            </w:r>
            <w:r>
              <w:rPr>
                <w:rFonts w:hAnsi="宋体"/>
                <w:b/>
                <w:bCs/>
                <w:iCs/>
                <w:color w:val="000000"/>
                <w:sz w:val="24"/>
              </w:rPr>
              <w:t>间</w:t>
            </w:r>
          </w:p>
        </w:tc>
        <w:tc>
          <w:tcPr>
            <w:tcW w:w="7087" w:type="dxa"/>
          </w:tcPr>
          <w:p>
            <w:pPr>
              <w:spacing w:line="480" w:lineRule="atLeast"/>
              <w:rPr>
                <w:bCs/>
                <w:iCs/>
                <w:color w:val="000000"/>
                <w:sz w:val="24"/>
              </w:rPr>
            </w:pPr>
            <w:r>
              <w:rPr>
                <w:rFonts w:hint="eastAsia"/>
                <w:bCs/>
                <w:iCs/>
                <w:color w:val="000000"/>
                <w:sz w:val="24"/>
              </w:rPr>
              <w:t>20</w:t>
            </w:r>
            <w:r>
              <w:rPr>
                <w:bCs/>
                <w:iCs/>
                <w:color w:val="000000"/>
                <w:sz w:val="24"/>
              </w:rPr>
              <w:t>2</w:t>
            </w:r>
            <w:r>
              <w:rPr>
                <w:rFonts w:hint="eastAsia"/>
                <w:bCs/>
                <w:iCs/>
                <w:color w:val="000000"/>
                <w:sz w:val="24"/>
              </w:rPr>
              <w:t>4年03月19日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atLeast"/>
              <w:jc w:val="center"/>
              <w:rPr>
                <w:b/>
                <w:bCs/>
                <w:iCs/>
                <w:color w:val="000000"/>
                <w:sz w:val="24"/>
              </w:rPr>
            </w:pPr>
            <w:r>
              <w:rPr>
                <w:rFonts w:hAnsi="宋体"/>
                <w:b/>
                <w:bCs/>
                <w:iCs/>
                <w:color w:val="000000"/>
                <w:sz w:val="24"/>
              </w:rPr>
              <w:t>地</w:t>
            </w:r>
            <w:r>
              <w:rPr>
                <w:b/>
                <w:bCs/>
                <w:iCs/>
                <w:color w:val="000000"/>
                <w:sz w:val="24"/>
              </w:rPr>
              <w:t xml:space="preserve">  </w:t>
            </w:r>
            <w:r>
              <w:rPr>
                <w:rFonts w:hAnsi="宋体"/>
                <w:b/>
                <w:bCs/>
                <w:iCs/>
                <w:color w:val="000000"/>
                <w:sz w:val="24"/>
              </w:rPr>
              <w:t>点</w:t>
            </w:r>
          </w:p>
        </w:tc>
        <w:tc>
          <w:tcPr>
            <w:tcW w:w="7087" w:type="dxa"/>
          </w:tcPr>
          <w:p>
            <w:pPr>
              <w:spacing w:line="480" w:lineRule="atLeast"/>
              <w:rPr>
                <w:bCs/>
                <w:iCs/>
                <w:color w:val="000000"/>
                <w:sz w:val="24"/>
              </w:rPr>
            </w:pPr>
            <w:r>
              <w:rPr>
                <w:rFonts w:hint="eastAsia"/>
                <w:bCs/>
                <w:iCs/>
                <w:color w:val="000000"/>
                <w:sz w:val="24"/>
              </w:rPr>
              <w:t>线下交流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526" w:type="dxa"/>
            <w:vAlign w:val="center"/>
          </w:tcPr>
          <w:p>
            <w:pPr>
              <w:spacing w:line="480" w:lineRule="atLeast"/>
              <w:jc w:val="center"/>
              <w:rPr>
                <w:b/>
                <w:bCs/>
                <w:iCs/>
                <w:color w:val="000000"/>
                <w:sz w:val="24"/>
              </w:rPr>
            </w:pPr>
            <w:r>
              <w:rPr>
                <w:rFonts w:hAnsi="宋体"/>
                <w:b/>
                <w:bCs/>
                <w:iCs/>
                <w:color w:val="000000"/>
                <w:sz w:val="24"/>
              </w:rPr>
              <w:t>上市公司接待人员姓名</w:t>
            </w:r>
          </w:p>
        </w:tc>
        <w:tc>
          <w:tcPr>
            <w:tcW w:w="7087" w:type="dxa"/>
          </w:tcPr>
          <w:p>
            <w:pPr>
              <w:spacing w:line="480" w:lineRule="atLeast"/>
              <w:rPr>
                <w:bCs/>
                <w:iCs/>
                <w:color w:val="000000"/>
                <w:sz w:val="24"/>
              </w:rPr>
            </w:pPr>
            <w:r>
              <w:rPr>
                <w:rFonts w:hint="eastAsia"/>
                <w:bCs/>
                <w:iCs/>
                <w:color w:val="000000"/>
                <w:sz w:val="24"/>
                <w:lang w:eastAsia="zh-Hans"/>
              </w:rPr>
              <w:t>董事长兼总经理</w:t>
            </w:r>
            <w:r>
              <w:rPr>
                <w:rFonts w:hint="eastAsia"/>
                <w:bCs/>
                <w:iCs/>
                <w:color w:val="000000"/>
                <w:sz w:val="24"/>
              </w:rPr>
              <w:t>：马学军</w:t>
            </w:r>
          </w:p>
          <w:p>
            <w:pPr>
              <w:spacing w:line="480" w:lineRule="atLeast"/>
              <w:rPr>
                <w:bCs/>
                <w:iCs/>
                <w:color w:val="000000"/>
                <w:sz w:val="24"/>
              </w:rPr>
            </w:pPr>
            <w:r>
              <w:rPr>
                <w:rFonts w:hint="eastAsia"/>
                <w:bCs/>
                <w:iCs/>
                <w:color w:val="000000"/>
                <w:sz w:val="24"/>
              </w:rPr>
              <w:t>董事会秘书：刘林</w:t>
            </w:r>
          </w:p>
          <w:p>
            <w:pPr>
              <w:spacing w:line="480" w:lineRule="atLeast"/>
              <w:rPr>
                <w:bCs/>
                <w:iCs/>
                <w:color w:val="000000"/>
                <w:sz w:val="24"/>
              </w:rPr>
            </w:pPr>
            <w:r>
              <w:rPr>
                <w:rFonts w:hint="eastAsia"/>
                <w:bCs/>
                <w:iCs/>
                <w:color w:val="000000"/>
                <w:sz w:val="24"/>
              </w:rPr>
              <w:t>财务总监：赵红云</w:t>
            </w:r>
          </w:p>
          <w:p>
            <w:pPr>
              <w:spacing w:line="480" w:lineRule="atLeast"/>
              <w:rPr>
                <w:bCs/>
                <w:iCs/>
                <w:color w:val="000000"/>
                <w:sz w:val="24"/>
              </w:rPr>
            </w:pPr>
            <w:r>
              <w:rPr>
                <w:rFonts w:hint="eastAsia"/>
                <w:bCs/>
                <w:iCs/>
                <w:color w:val="000000"/>
                <w:sz w:val="24"/>
              </w:rPr>
              <w:t>研发总监：毛占伟</w:t>
            </w:r>
          </w:p>
          <w:p>
            <w:pPr>
              <w:spacing w:line="480" w:lineRule="atLeast"/>
              <w:rPr>
                <w:bCs/>
                <w:iCs/>
                <w:color w:val="000000"/>
                <w:sz w:val="24"/>
              </w:rPr>
            </w:pPr>
            <w:r>
              <w:rPr>
                <w:rFonts w:hint="eastAsia"/>
                <w:bCs/>
                <w:iCs/>
                <w:color w:val="000000"/>
                <w:sz w:val="24"/>
              </w:rPr>
              <w:t>证券事务代表：林夏婷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26" w:type="dxa"/>
            <w:vAlign w:val="center"/>
          </w:tcPr>
          <w:p>
            <w:pPr>
              <w:spacing w:line="480" w:lineRule="atLeast"/>
              <w:rPr>
                <w:b/>
                <w:bCs/>
                <w:iCs/>
                <w:color w:val="000000"/>
                <w:sz w:val="24"/>
              </w:rPr>
            </w:pPr>
            <w:r>
              <w:rPr>
                <w:rFonts w:hAnsi="宋体"/>
                <w:b/>
                <w:bCs/>
                <w:iCs/>
                <w:color w:val="000000"/>
                <w:sz w:val="24"/>
              </w:rPr>
              <w:t>投资者关系活动主要内容介绍</w:t>
            </w:r>
          </w:p>
        </w:tc>
        <w:tc>
          <w:tcPr>
            <w:tcW w:w="7087" w:type="dxa"/>
          </w:tcPr>
          <w:p>
            <w:pPr>
              <w:snapToGrid w:val="0"/>
              <w:spacing w:line="360" w:lineRule="auto"/>
              <w:ind w:firstLine="482" w:firstLineChars="200"/>
              <w:rPr>
                <w:rFonts w:asciiTheme="majorEastAsia" w:hAnsiTheme="majorEastAsia" w:eastAsiaTheme="majorEastAsia"/>
                <w:b/>
                <w:iCs/>
                <w:color w:val="000000"/>
                <w:sz w:val="24"/>
                <w:szCs w:val="24"/>
                <w:lang w:eastAsia="zh-Hans"/>
              </w:rPr>
            </w:pPr>
            <w:r>
              <w:rPr>
                <w:rFonts w:hint="eastAsia" w:asciiTheme="majorEastAsia" w:hAnsiTheme="majorEastAsia" w:eastAsiaTheme="majorEastAsia"/>
                <w:b/>
                <w:iCs/>
                <w:color w:val="000000"/>
                <w:sz w:val="24"/>
                <w:szCs w:val="24"/>
                <w:lang w:eastAsia="zh-Hans"/>
              </w:rPr>
              <w:t>Q</w:t>
            </w:r>
            <w:r>
              <w:rPr>
                <w:rFonts w:asciiTheme="majorEastAsia" w:hAnsiTheme="majorEastAsia" w:eastAsiaTheme="majorEastAsia"/>
                <w:b/>
                <w:iCs/>
                <w:color w:val="000000"/>
                <w:sz w:val="24"/>
                <w:szCs w:val="24"/>
                <w:lang w:eastAsia="zh-Hans"/>
              </w:rPr>
              <w:t>1</w:t>
            </w:r>
            <w:r>
              <w:rPr>
                <w:rFonts w:hint="eastAsia" w:asciiTheme="majorEastAsia" w:hAnsiTheme="majorEastAsia" w:eastAsiaTheme="majorEastAsia"/>
                <w:b/>
                <w:iCs/>
                <w:color w:val="000000"/>
                <w:sz w:val="24"/>
                <w:szCs w:val="24"/>
                <w:lang w:eastAsia="zh-Hans"/>
              </w:rPr>
              <w:t>：公司</w:t>
            </w:r>
            <w:r>
              <w:rPr>
                <w:rFonts w:hint="eastAsia" w:asciiTheme="majorEastAsia" w:hAnsiTheme="majorEastAsia" w:eastAsiaTheme="majorEastAsia"/>
                <w:b/>
                <w:iCs/>
                <w:color w:val="000000"/>
                <w:sz w:val="24"/>
                <w:szCs w:val="24"/>
              </w:rPr>
              <w:t>基本</w:t>
            </w:r>
            <w:r>
              <w:rPr>
                <w:rFonts w:hint="eastAsia" w:asciiTheme="majorEastAsia" w:hAnsiTheme="majorEastAsia" w:eastAsiaTheme="majorEastAsia"/>
                <w:b/>
                <w:iCs/>
                <w:color w:val="000000"/>
                <w:sz w:val="24"/>
                <w:szCs w:val="24"/>
                <w:lang w:eastAsia="zh-Hans"/>
              </w:rPr>
              <w:t>情况</w:t>
            </w:r>
            <w:r>
              <w:rPr>
                <w:rFonts w:hint="eastAsia" w:asciiTheme="majorEastAsia" w:hAnsiTheme="majorEastAsia" w:eastAsiaTheme="majorEastAsia"/>
                <w:b/>
                <w:iCs/>
                <w:color w:val="000000"/>
                <w:sz w:val="24"/>
                <w:szCs w:val="24"/>
              </w:rPr>
              <w:t>介绍</w:t>
            </w:r>
            <w:r>
              <w:rPr>
                <w:rFonts w:hint="eastAsia" w:asciiTheme="majorEastAsia" w:hAnsiTheme="majorEastAsia" w:eastAsiaTheme="majorEastAsia"/>
                <w:b/>
                <w:iCs/>
                <w:color w:val="000000"/>
                <w:sz w:val="24"/>
                <w:szCs w:val="24"/>
                <w:lang w:eastAsia="zh-Hans"/>
              </w:rPr>
              <w:t>？</w:t>
            </w:r>
          </w:p>
          <w:p>
            <w:pPr>
              <w:spacing w:line="360" w:lineRule="auto"/>
              <w:ind w:firstLine="480"/>
              <w:rPr>
                <w:rFonts w:asciiTheme="majorEastAsia" w:hAnsiTheme="majorEastAsia" w:eastAsiaTheme="majorEastAsia"/>
                <w:bCs/>
                <w:iCs/>
                <w:color w:val="000000"/>
                <w:sz w:val="22"/>
                <w:szCs w:val="22"/>
              </w:rPr>
            </w:pPr>
            <w:r>
              <w:rPr>
                <w:rFonts w:hint="eastAsia"/>
                <w:b/>
                <w:bCs/>
                <w:szCs w:val="24"/>
              </w:rPr>
              <w:t>A：</w:t>
            </w:r>
            <w:r>
              <w:rPr>
                <w:rFonts w:hint="eastAsia" w:asciiTheme="majorEastAsia" w:hAnsiTheme="majorEastAsia" w:eastAsiaTheme="majorEastAsia"/>
                <w:bCs/>
                <w:iCs/>
                <w:color w:val="000000"/>
                <w:sz w:val="22"/>
                <w:szCs w:val="22"/>
                <w:lang w:eastAsia="zh-Hans"/>
              </w:rPr>
              <w:t>自2000年创立以来，</w:t>
            </w:r>
            <w:r>
              <w:rPr>
                <w:rFonts w:hint="eastAsia" w:asciiTheme="majorEastAsia" w:hAnsiTheme="majorEastAsia" w:eastAsiaTheme="majorEastAsia"/>
                <w:bCs/>
                <w:iCs/>
                <w:color w:val="000000"/>
                <w:sz w:val="22"/>
                <w:szCs w:val="22"/>
              </w:rPr>
              <w:t>公司</w:t>
            </w:r>
            <w:r>
              <w:rPr>
                <w:rFonts w:hint="eastAsia" w:asciiTheme="majorEastAsia" w:hAnsiTheme="majorEastAsia" w:eastAsiaTheme="majorEastAsia"/>
                <w:bCs/>
                <w:iCs/>
                <w:color w:val="000000"/>
                <w:sz w:val="22"/>
                <w:szCs w:val="22"/>
                <w:lang w:eastAsia="zh-Hans"/>
              </w:rPr>
              <w:t>一直专注于结合古法中医×现代科技，打造高品质的便携式按摩器产品，致力于带给人们随时随地的身、心、灵平衡放松状态</w:t>
            </w:r>
            <w:r>
              <w:rPr>
                <w:rFonts w:hint="eastAsia" w:asciiTheme="majorEastAsia" w:hAnsiTheme="majorEastAsia" w:eastAsiaTheme="majorEastAsia"/>
                <w:bCs/>
                <w:iCs/>
                <w:color w:val="000000"/>
                <w:sz w:val="22"/>
                <w:szCs w:val="22"/>
              </w:rPr>
              <w:t>。公司专注创新研发，推出以头部、眼部、颈部、头皮、腰背、艾灸等为核心的智能便携按摩器及相关品类。倍轻松围绕仿生人手按摩的思路进行产品研发，通过穴位按摩、拿捏、揉压、热敷等手法，为用户带来更便利、更舒适的按摩体验。</w:t>
            </w:r>
          </w:p>
          <w:p>
            <w:pPr>
              <w:spacing w:line="360" w:lineRule="auto"/>
              <w:ind w:firstLine="480"/>
              <w:rPr>
                <w:rFonts w:asciiTheme="majorEastAsia" w:hAnsiTheme="majorEastAsia" w:eastAsiaTheme="majorEastAsia"/>
                <w:bCs/>
                <w:iCs/>
                <w:color w:val="000000"/>
                <w:sz w:val="22"/>
                <w:szCs w:val="22"/>
              </w:rPr>
            </w:pPr>
          </w:p>
          <w:p>
            <w:pPr>
              <w:snapToGrid w:val="0"/>
              <w:spacing w:line="360" w:lineRule="auto"/>
              <w:ind w:firstLine="482" w:firstLineChars="200"/>
              <w:rPr>
                <w:rFonts w:asciiTheme="majorEastAsia" w:hAnsiTheme="majorEastAsia" w:eastAsiaTheme="majorEastAsia"/>
                <w:b/>
                <w:iCs/>
                <w:color w:val="000000"/>
                <w:sz w:val="24"/>
                <w:szCs w:val="24"/>
                <w:lang w:eastAsia="zh-Hans"/>
              </w:rPr>
            </w:pPr>
            <w:r>
              <w:rPr>
                <w:rFonts w:hint="eastAsia" w:asciiTheme="majorEastAsia" w:hAnsiTheme="majorEastAsia" w:eastAsiaTheme="majorEastAsia"/>
                <w:b/>
                <w:iCs/>
                <w:color w:val="000000"/>
                <w:sz w:val="24"/>
                <w:szCs w:val="24"/>
                <w:lang w:eastAsia="zh-Hans"/>
              </w:rPr>
              <w:t>Q2：</w:t>
            </w:r>
            <w:r>
              <w:rPr>
                <w:rFonts w:hint="eastAsia" w:asciiTheme="majorEastAsia" w:hAnsiTheme="majorEastAsia" w:eastAsiaTheme="majorEastAsia"/>
                <w:b/>
                <w:iCs/>
                <w:color w:val="000000"/>
                <w:sz w:val="24"/>
                <w:szCs w:val="24"/>
              </w:rPr>
              <w:t>公司2024年新品如何</w:t>
            </w:r>
            <w:r>
              <w:rPr>
                <w:rFonts w:hint="eastAsia" w:asciiTheme="majorEastAsia" w:hAnsiTheme="majorEastAsia" w:eastAsiaTheme="majorEastAsia"/>
                <w:b/>
                <w:iCs/>
                <w:color w:val="000000"/>
                <w:sz w:val="24"/>
                <w:szCs w:val="24"/>
                <w:lang w:eastAsia="zh-CN"/>
              </w:rPr>
              <w:t>、</w:t>
            </w:r>
            <w:r>
              <w:rPr>
                <w:rFonts w:hint="eastAsia" w:asciiTheme="majorEastAsia" w:hAnsiTheme="majorEastAsia" w:eastAsiaTheme="majorEastAsia"/>
                <w:b/>
                <w:iCs/>
                <w:color w:val="000000"/>
                <w:sz w:val="24"/>
                <w:szCs w:val="24"/>
              </w:rPr>
              <w:t>未来产品展望</w:t>
            </w:r>
            <w:r>
              <w:rPr>
                <w:rFonts w:hint="eastAsia" w:asciiTheme="majorEastAsia" w:hAnsiTheme="majorEastAsia" w:eastAsiaTheme="majorEastAsia"/>
                <w:b/>
                <w:iCs/>
                <w:color w:val="000000"/>
                <w:sz w:val="24"/>
                <w:szCs w:val="24"/>
                <w:lang w:eastAsia="zh-CN"/>
              </w:rPr>
              <w:t>、</w:t>
            </w:r>
            <w:r>
              <w:rPr>
                <w:rFonts w:hint="eastAsia" w:asciiTheme="majorEastAsia" w:hAnsiTheme="majorEastAsia" w:eastAsiaTheme="majorEastAsia"/>
                <w:b/>
                <w:iCs/>
                <w:color w:val="000000"/>
                <w:sz w:val="24"/>
                <w:szCs w:val="24"/>
                <w:lang w:val="en-US" w:eastAsia="zh-CN"/>
              </w:rPr>
              <w:t>渠道增长情况</w:t>
            </w:r>
            <w:r>
              <w:rPr>
                <w:rFonts w:hint="eastAsia" w:asciiTheme="majorEastAsia" w:hAnsiTheme="majorEastAsia" w:eastAsiaTheme="majorEastAsia"/>
                <w:b/>
                <w:iCs/>
                <w:color w:val="000000"/>
                <w:sz w:val="24"/>
                <w:szCs w:val="24"/>
                <w:lang w:eastAsia="zh-Hans"/>
              </w:rPr>
              <w:t>？</w:t>
            </w:r>
          </w:p>
          <w:p>
            <w:pPr>
              <w:spacing w:line="360" w:lineRule="auto"/>
              <w:ind w:firstLine="422" w:firstLineChars="200"/>
              <w:rPr>
                <w:rFonts w:hint="default" w:asciiTheme="majorEastAsia" w:hAnsiTheme="majorEastAsia" w:eastAsiaTheme="majorEastAsia"/>
                <w:bCs/>
                <w:iCs/>
                <w:color w:val="000000"/>
                <w:sz w:val="22"/>
                <w:szCs w:val="22"/>
                <w:lang w:val="en-US" w:eastAsia="zh-CN"/>
              </w:rPr>
            </w:pPr>
            <w:r>
              <w:rPr>
                <w:rFonts w:hint="eastAsia"/>
                <w:b/>
                <w:bCs/>
                <w:szCs w:val="24"/>
              </w:rPr>
              <w:t>A：</w:t>
            </w:r>
            <w:r>
              <w:rPr>
                <w:rFonts w:hint="eastAsia" w:asciiTheme="majorEastAsia" w:hAnsiTheme="majorEastAsia" w:eastAsiaTheme="majorEastAsia"/>
                <w:bCs/>
                <w:iCs/>
                <w:color w:val="000000"/>
                <w:sz w:val="22"/>
                <w:szCs w:val="22"/>
              </w:rPr>
              <w:t>公司24年的新品较23年来说有所丰富，在各系列均有新品推出。公司一直以来不断的和相关科研院所展开技术合作，本次调研中向参会者介绍了我公司与深圳航天科技创新研究院共同研发的头部脑电波检测仪产品。通过产研联合，不断加强产品的核心技术及竞争力，致力给客户带来更好的产品和更舒适的体验感。</w:t>
            </w:r>
            <w:r>
              <w:rPr>
                <w:rFonts w:hint="eastAsia" w:asciiTheme="majorEastAsia" w:hAnsiTheme="majorEastAsia" w:eastAsiaTheme="majorEastAsia"/>
                <w:bCs/>
                <w:iCs/>
                <w:color w:val="000000"/>
                <w:sz w:val="22"/>
                <w:szCs w:val="22"/>
                <w:lang w:val="en-US" w:eastAsia="zh-CN"/>
              </w:rPr>
              <w:t>同时向参会者解答了关于通过外部数据看到我司线上电商渠道快速增长的情况。</w:t>
            </w:r>
            <w:bookmarkStart w:id="0" w:name="_GoBack"/>
            <w:bookmarkEnd w:id="0"/>
          </w:p>
          <w:p>
            <w:pPr>
              <w:pStyle w:val="5"/>
              <w:spacing w:line="360" w:lineRule="auto"/>
              <w:ind w:firstLine="420" w:firstLineChars="200"/>
              <w:rPr>
                <w:sz w:val="21"/>
              </w:rPr>
            </w:pPr>
          </w:p>
          <w:p>
            <w:pPr>
              <w:snapToGrid w:val="0"/>
              <w:spacing w:line="360" w:lineRule="auto"/>
              <w:ind w:firstLine="482" w:firstLineChars="200"/>
              <w:rPr>
                <w:rFonts w:asciiTheme="majorEastAsia" w:hAnsiTheme="majorEastAsia" w:eastAsiaTheme="majorEastAsia"/>
                <w:b/>
                <w:iCs/>
                <w:color w:val="000000"/>
                <w:sz w:val="24"/>
                <w:szCs w:val="24"/>
              </w:rPr>
            </w:pPr>
            <w:r>
              <w:rPr>
                <w:rFonts w:hint="eastAsia" w:asciiTheme="majorEastAsia" w:hAnsiTheme="majorEastAsia" w:eastAsiaTheme="majorEastAsia"/>
                <w:b/>
                <w:iCs/>
                <w:color w:val="000000"/>
                <w:sz w:val="24"/>
                <w:szCs w:val="24"/>
                <w:lang w:eastAsia="zh-Hans"/>
              </w:rPr>
              <w:t>Q3：</w:t>
            </w:r>
            <w:r>
              <w:rPr>
                <w:rFonts w:hint="eastAsia" w:asciiTheme="majorEastAsia" w:hAnsiTheme="majorEastAsia" w:eastAsiaTheme="majorEastAsia"/>
                <w:b/>
                <w:iCs/>
                <w:color w:val="000000"/>
                <w:sz w:val="24"/>
                <w:szCs w:val="24"/>
              </w:rPr>
              <w:t>公司是否在按摩器领域外拓展其他的赛道？</w:t>
            </w:r>
          </w:p>
          <w:p>
            <w:pPr>
              <w:spacing w:line="360" w:lineRule="auto"/>
              <w:ind w:firstLine="422" w:firstLineChars="200"/>
              <w:rPr>
                <w:rFonts w:asciiTheme="majorEastAsia" w:hAnsiTheme="majorEastAsia" w:eastAsiaTheme="majorEastAsia"/>
                <w:bCs/>
                <w:iCs/>
                <w:color w:val="000000"/>
                <w:sz w:val="22"/>
                <w:szCs w:val="22"/>
              </w:rPr>
            </w:pPr>
            <w:r>
              <w:rPr>
                <w:rFonts w:hint="eastAsia"/>
                <w:b/>
                <w:bCs/>
                <w:szCs w:val="24"/>
              </w:rPr>
              <w:t>A：</w:t>
            </w:r>
            <w:r>
              <w:rPr>
                <w:rFonts w:hint="eastAsia" w:asciiTheme="majorEastAsia" w:hAnsiTheme="majorEastAsia" w:eastAsiaTheme="majorEastAsia"/>
                <w:bCs/>
                <w:iCs/>
                <w:color w:val="000000"/>
                <w:sz w:val="22"/>
                <w:szCs w:val="22"/>
              </w:rPr>
              <w:t>公司经历了2023年战略品牌建设年，已逐步确认公司未来的发展方向及战略布局。公司以“中医x科技”为基底，战略与定位持续升维，从单一的健康按摩小电器，逐步拓展医疗器械领域及个护健康AI，打造“三位一体”的倍轻松产品服务体系，增加客户粘性。</w:t>
            </w:r>
          </w:p>
          <w:p>
            <w:pPr>
              <w:pStyle w:val="5"/>
              <w:spacing w:line="360" w:lineRule="auto"/>
              <w:ind w:firstLine="420" w:firstLineChars="200"/>
              <w:rPr>
                <w:sz w:val="21"/>
              </w:rPr>
            </w:pPr>
          </w:p>
          <w:p>
            <w:pPr>
              <w:snapToGrid w:val="0"/>
              <w:spacing w:line="360" w:lineRule="auto"/>
              <w:ind w:firstLine="420" w:firstLineChars="200"/>
              <w:rPr>
                <w:rFonts w:asciiTheme="majorEastAsia" w:hAnsiTheme="majorEastAsia" w:eastAsiaTheme="majorEastAsia"/>
                <w:b/>
                <w:iCs/>
                <w:color w:val="000000"/>
                <w:sz w:val="24"/>
                <w:szCs w:val="24"/>
                <w:lang w:eastAsia="zh-Hans"/>
              </w:rPr>
            </w:pPr>
            <w:r>
              <w:t xml:space="preserve"> </w:t>
            </w:r>
            <w:r>
              <w:rPr>
                <w:rFonts w:hint="eastAsia" w:asciiTheme="majorEastAsia" w:hAnsiTheme="majorEastAsia" w:eastAsiaTheme="majorEastAsia"/>
                <w:b/>
                <w:iCs/>
                <w:color w:val="000000"/>
                <w:sz w:val="24"/>
                <w:szCs w:val="24"/>
                <w:lang w:eastAsia="zh-Hans"/>
              </w:rPr>
              <w:t>Q</w:t>
            </w:r>
            <w:r>
              <w:rPr>
                <w:rFonts w:hint="eastAsia" w:asciiTheme="majorEastAsia" w:hAnsiTheme="majorEastAsia" w:eastAsiaTheme="majorEastAsia"/>
                <w:b/>
                <w:iCs/>
                <w:color w:val="000000"/>
                <w:sz w:val="24"/>
                <w:szCs w:val="24"/>
              </w:rPr>
              <w:t>4</w:t>
            </w:r>
            <w:r>
              <w:rPr>
                <w:rFonts w:hint="eastAsia" w:asciiTheme="majorEastAsia" w:hAnsiTheme="majorEastAsia" w:eastAsiaTheme="majorEastAsia"/>
                <w:b/>
                <w:iCs/>
                <w:color w:val="000000"/>
                <w:sz w:val="24"/>
                <w:szCs w:val="24"/>
                <w:lang w:eastAsia="zh-Hans"/>
              </w:rPr>
              <w:t>：</w:t>
            </w:r>
            <w:r>
              <w:rPr>
                <w:rFonts w:hint="eastAsia" w:asciiTheme="majorEastAsia" w:hAnsiTheme="majorEastAsia" w:eastAsiaTheme="majorEastAsia"/>
                <w:b/>
                <w:iCs/>
                <w:color w:val="000000"/>
                <w:sz w:val="24"/>
                <w:szCs w:val="24"/>
              </w:rPr>
              <w:t>公司一直以中医为核心，在这个领域上研究了这么多年，是否有形成自己一套的体系或模式</w:t>
            </w:r>
            <w:r>
              <w:rPr>
                <w:rFonts w:hint="eastAsia" w:asciiTheme="majorEastAsia" w:hAnsiTheme="majorEastAsia" w:eastAsiaTheme="majorEastAsia"/>
                <w:b/>
                <w:iCs/>
                <w:color w:val="000000"/>
                <w:sz w:val="24"/>
                <w:szCs w:val="24"/>
                <w:lang w:eastAsia="zh-Hans"/>
              </w:rPr>
              <w:t>？</w:t>
            </w:r>
          </w:p>
          <w:p>
            <w:pPr>
              <w:snapToGrid w:val="0"/>
              <w:spacing w:line="360" w:lineRule="auto"/>
              <w:ind w:firstLine="422" w:firstLineChars="200"/>
              <w:rPr>
                <w:rFonts w:asciiTheme="majorEastAsia" w:hAnsiTheme="majorEastAsia" w:eastAsiaTheme="majorEastAsia"/>
                <w:b/>
                <w:iCs/>
                <w:color w:val="FF0000"/>
                <w:sz w:val="24"/>
                <w:szCs w:val="24"/>
                <w:lang w:eastAsia="zh-Hans"/>
              </w:rPr>
            </w:pPr>
            <w:r>
              <w:rPr>
                <w:rFonts w:hint="eastAsia"/>
                <w:b/>
                <w:bCs/>
              </w:rPr>
              <w:t>A：</w:t>
            </w:r>
            <w:r>
              <w:rPr>
                <w:rFonts w:hint="eastAsia" w:asciiTheme="majorEastAsia" w:hAnsiTheme="majorEastAsia" w:eastAsiaTheme="majorEastAsia"/>
                <w:bCs/>
                <w:iCs/>
                <w:color w:val="000000"/>
                <w:sz w:val="22"/>
                <w:szCs w:val="22"/>
              </w:rPr>
              <w:t>公司一直坚定以中医为核心，做对人类健康有影响力的事。公司历经这些年的发展，逐步形成了自己的中医AI小模型，未来也将逐步探索中医AI大模型。相关产品也基于此有所突破，例如与相关科研院所联合开发的带有脑电波检测仪的头部按摩器等产品就应用到了大数据算法模型。</w:t>
            </w:r>
          </w:p>
          <w:p>
            <w:pPr>
              <w:snapToGrid w:val="0"/>
              <w:spacing w:line="360" w:lineRule="auto"/>
              <w:ind w:firstLine="482" w:firstLineChars="200"/>
              <w:rPr>
                <w:rFonts w:asciiTheme="majorEastAsia" w:hAnsiTheme="majorEastAsia" w:eastAsiaTheme="majorEastAsia"/>
                <w:b/>
                <w:iCs/>
                <w:color w:val="000000"/>
                <w:sz w:val="24"/>
                <w:szCs w:val="24"/>
                <w:lang w:eastAsia="zh-Hans"/>
              </w:rPr>
            </w:pPr>
          </w:p>
          <w:p>
            <w:pPr>
              <w:pStyle w:val="5"/>
              <w:spacing w:line="360" w:lineRule="auto"/>
              <w:ind w:firstLine="420" w:firstLineChars="20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6" w:type="dxa"/>
            <w:vAlign w:val="center"/>
          </w:tcPr>
          <w:p>
            <w:pPr>
              <w:spacing w:line="480" w:lineRule="atLeast"/>
              <w:rPr>
                <w:b/>
                <w:bCs/>
                <w:iCs/>
                <w:color w:val="000000"/>
                <w:sz w:val="24"/>
              </w:rPr>
            </w:pPr>
            <w:r>
              <w:rPr>
                <w:rFonts w:hAnsi="宋体"/>
                <w:b/>
                <w:bCs/>
                <w:iCs/>
                <w:color w:val="000000"/>
                <w:sz w:val="24"/>
              </w:rPr>
              <w:t>附件清单（如有）</w:t>
            </w:r>
          </w:p>
        </w:tc>
        <w:tc>
          <w:tcPr>
            <w:tcW w:w="7087" w:type="dxa"/>
          </w:tcPr>
          <w:p>
            <w:pPr>
              <w:spacing w:line="480" w:lineRule="atLeast"/>
              <w:rPr>
                <w:bCs/>
                <w:iCs/>
                <w:color w:val="000000"/>
                <w:sz w:val="24"/>
              </w:rPr>
            </w:pPr>
          </w:p>
        </w:tc>
      </w:tr>
    </w:tbl>
    <w:p>
      <w:pPr>
        <w:spacing w:line="480" w:lineRule="atLeast"/>
      </w:pP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MDI4M2QxOWM1MjQ0ODBiNzM1MDE0NzRiMmU1MDYifQ=="/>
  </w:docVars>
  <w:rsids>
    <w:rsidRoot w:val="00172A27"/>
    <w:rsid w:val="00000EB7"/>
    <w:rsid w:val="00014E56"/>
    <w:rsid w:val="00075C98"/>
    <w:rsid w:val="000C40C7"/>
    <w:rsid w:val="000D580D"/>
    <w:rsid w:val="00147E51"/>
    <w:rsid w:val="0015081D"/>
    <w:rsid w:val="00172A27"/>
    <w:rsid w:val="001C413B"/>
    <w:rsid w:val="001D5C41"/>
    <w:rsid w:val="001D5D67"/>
    <w:rsid w:val="001E31A9"/>
    <w:rsid w:val="002422BE"/>
    <w:rsid w:val="00254E9F"/>
    <w:rsid w:val="00264E86"/>
    <w:rsid w:val="0028462D"/>
    <w:rsid w:val="00302D08"/>
    <w:rsid w:val="00362EAF"/>
    <w:rsid w:val="003B3132"/>
    <w:rsid w:val="003C6540"/>
    <w:rsid w:val="003E6FB7"/>
    <w:rsid w:val="00441D7E"/>
    <w:rsid w:val="004A51DD"/>
    <w:rsid w:val="004E3F77"/>
    <w:rsid w:val="004F3CED"/>
    <w:rsid w:val="00534FCA"/>
    <w:rsid w:val="005A267D"/>
    <w:rsid w:val="005E30DB"/>
    <w:rsid w:val="00622216"/>
    <w:rsid w:val="006B164F"/>
    <w:rsid w:val="006B71C8"/>
    <w:rsid w:val="007063C7"/>
    <w:rsid w:val="007238C1"/>
    <w:rsid w:val="0076265E"/>
    <w:rsid w:val="00762C4B"/>
    <w:rsid w:val="007C338F"/>
    <w:rsid w:val="007C352D"/>
    <w:rsid w:val="007C3F6C"/>
    <w:rsid w:val="00800036"/>
    <w:rsid w:val="00800DE3"/>
    <w:rsid w:val="008154BB"/>
    <w:rsid w:val="00820223"/>
    <w:rsid w:val="009F473E"/>
    <w:rsid w:val="00A072BB"/>
    <w:rsid w:val="00A315DE"/>
    <w:rsid w:val="00A82E67"/>
    <w:rsid w:val="00A8623C"/>
    <w:rsid w:val="00A902B1"/>
    <w:rsid w:val="00AF1B44"/>
    <w:rsid w:val="00AF6F79"/>
    <w:rsid w:val="00B009C4"/>
    <w:rsid w:val="00B40122"/>
    <w:rsid w:val="00B47BD3"/>
    <w:rsid w:val="00B53723"/>
    <w:rsid w:val="00B81FB7"/>
    <w:rsid w:val="00BA0715"/>
    <w:rsid w:val="00BA7F0A"/>
    <w:rsid w:val="00BE10DE"/>
    <w:rsid w:val="00BF3CF1"/>
    <w:rsid w:val="00C14413"/>
    <w:rsid w:val="00C20449"/>
    <w:rsid w:val="00C60143"/>
    <w:rsid w:val="00C706FD"/>
    <w:rsid w:val="00CC3CFC"/>
    <w:rsid w:val="00CE1329"/>
    <w:rsid w:val="00CE65E1"/>
    <w:rsid w:val="00D35303"/>
    <w:rsid w:val="00D5472F"/>
    <w:rsid w:val="00D77B70"/>
    <w:rsid w:val="00D80A29"/>
    <w:rsid w:val="00D80C8F"/>
    <w:rsid w:val="00D81D93"/>
    <w:rsid w:val="00D92CF7"/>
    <w:rsid w:val="00DF2F52"/>
    <w:rsid w:val="00EB6AF2"/>
    <w:rsid w:val="00EF13AC"/>
    <w:rsid w:val="00EF2697"/>
    <w:rsid w:val="00F03B9C"/>
    <w:rsid w:val="00F119FC"/>
    <w:rsid w:val="00F67CEF"/>
    <w:rsid w:val="00F75CE2"/>
    <w:rsid w:val="00FD0D7C"/>
    <w:rsid w:val="00FD290F"/>
    <w:rsid w:val="00FD5B56"/>
    <w:rsid w:val="00FF4ACE"/>
    <w:rsid w:val="0D5C636E"/>
    <w:rsid w:val="25A504F9"/>
    <w:rsid w:val="33D43F81"/>
    <w:rsid w:val="47B9109D"/>
    <w:rsid w:val="50507457"/>
    <w:rsid w:val="5B1E58A3"/>
    <w:rsid w:val="63F31E28"/>
    <w:rsid w:val="6A8F6D47"/>
    <w:rsid w:val="6C8251EB"/>
    <w:rsid w:val="7367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paragraph" w:styleId="6">
    <w:name w:val="Normal (Web)"/>
    <w:basedOn w:val="1"/>
    <w:uiPriority w:val="0"/>
    <w:pPr>
      <w:widowControl/>
      <w:spacing w:before="100" w:beforeAutospacing="1" w:after="100" w:afterAutospacing="1"/>
      <w:jc w:val="left"/>
    </w:pPr>
    <w:rPr>
      <w:rFonts w:ascii="宋体" w:hAnsi="宋体"/>
      <w:kern w:val="0"/>
      <w:sz w:val="24"/>
    </w:rPr>
  </w:style>
  <w:style w:type="paragraph" w:styleId="7">
    <w:name w:val="annotation subject"/>
    <w:basedOn w:val="2"/>
    <w:next w:val="2"/>
    <w:link w:val="21"/>
    <w:qFormat/>
    <w:uiPriority w:val="0"/>
    <w:rPr>
      <w:b/>
      <w:bCs/>
    </w:rPr>
  </w:style>
  <w:style w:type="character" w:styleId="10">
    <w:name w:val="page number"/>
    <w:basedOn w:val="9"/>
    <w:qFormat/>
    <w:uiPriority w:val="0"/>
  </w:style>
  <w:style w:type="character" w:styleId="11">
    <w:name w:val="Emphasis"/>
    <w:qFormat/>
    <w:uiPriority w:val="20"/>
    <w:rPr>
      <w:color w:val="CC0000"/>
    </w:rPr>
  </w:style>
  <w:style w:type="character" w:styleId="12">
    <w:name w:val="Hyperlink"/>
    <w:unhideWhenUsed/>
    <w:uiPriority w:val="99"/>
    <w:rPr>
      <w:color w:val="0000FF"/>
      <w:u w:val="single"/>
    </w:rPr>
  </w:style>
  <w:style w:type="character" w:styleId="13">
    <w:name w:val="annotation reference"/>
    <w:basedOn w:val="9"/>
    <w:qFormat/>
    <w:uiPriority w:val="0"/>
    <w:rPr>
      <w:sz w:val="21"/>
      <w:szCs w:val="21"/>
    </w:rPr>
  </w:style>
  <w:style w:type="paragraph" w:customStyle="1" w:styleId="14">
    <w:name w:val="p0"/>
    <w:basedOn w:val="1"/>
    <w:qFormat/>
    <w:uiPriority w:val="0"/>
    <w:pPr>
      <w:widowControl/>
    </w:pPr>
    <w:rPr>
      <w:kern w:val="0"/>
      <w:szCs w:val="21"/>
    </w:rPr>
  </w:style>
  <w:style w:type="character" w:customStyle="1" w:styleId="15">
    <w:name w:val="西矿招股书正文 Char"/>
    <w:link w:val="16"/>
    <w:uiPriority w:val="0"/>
    <w:rPr>
      <w:rFonts w:eastAsia="宋体"/>
      <w:kern w:val="2"/>
      <w:sz w:val="24"/>
      <w:szCs w:val="24"/>
      <w:lang w:val="en-US" w:eastAsia="zh-CN" w:bidi="ar-SA"/>
    </w:rPr>
  </w:style>
  <w:style w:type="paragraph" w:customStyle="1" w:styleId="16">
    <w:name w:val="西矿招股书正文"/>
    <w:basedOn w:val="1"/>
    <w:link w:val="15"/>
    <w:qFormat/>
    <w:uiPriority w:val="0"/>
    <w:pPr>
      <w:overflowPunct w:val="0"/>
      <w:autoSpaceDE w:val="0"/>
      <w:autoSpaceDN w:val="0"/>
      <w:adjustRightInd w:val="0"/>
      <w:snapToGrid w:val="0"/>
      <w:spacing w:before="120" w:line="360" w:lineRule="auto"/>
      <w:ind w:firstLine="200" w:firstLineChars="200"/>
      <w:jc w:val="left"/>
    </w:pPr>
    <w:rPr>
      <w:sz w:val="24"/>
      <w:szCs w:val="24"/>
    </w:rPr>
  </w:style>
  <w:style w:type="paragraph" w:customStyle="1" w:styleId="17">
    <w:name w:val="Char"/>
    <w:basedOn w:val="1"/>
    <w:qFormat/>
    <w:uiPriority w:val="0"/>
    <w:pPr>
      <w:tabs>
        <w:tab w:val="left" w:pos="360"/>
      </w:tabs>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列表段落1"/>
    <w:basedOn w:val="1"/>
    <w:qFormat/>
    <w:uiPriority w:val="34"/>
    <w:pPr>
      <w:ind w:firstLine="420" w:firstLineChars="200"/>
    </w:pPr>
    <w:rPr>
      <w:rFonts w:ascii="Calibri" w:hAnsi="Calibri"/>
      <w:szCs w:val="22"/>
    </w:rPr>
  </w:style>
  <w:style w:type="character" w:customStyle="1" w:styleId="20">
    <w:name w:val="批注文字 字符"/>
    <w:basedOn w:val="9"/>
    <w:link w:val="2"/>
    <w:qFormat/>
    <w:uiPriority w:val="0"/>
    <w:rPr>
      <w:kern w:val="2"/>
      <w:sz w:val="21"/>
    </w:rPr>
  </w:style>
  <w:style w:type="character" w:customStyle="1" w:styleId="21">
    <w:name w:val="批注主题 字符"/>
    <w:basedOn w:val="20"/>
    <w:link w:val="7"/>
    <w:qFormat/>
    <w:uiPriority w:val="0"/>
    <w:rPr>
      <w:b/>
      <w:bCs/>
      <w:kern w:val="2"/>
      <w:sz w:val="21"/>
    </w:rPr>
  </w:style>
  <w:style w:type="paragraph" w:customStyle="1" w:styleId="22">
    <w:name w:val="修订1"/>
    <w:hidden/>
    <w:semiHidden/>
    <w:qFormat/>
    <w:uiPriority w:val="99"/>
    <w:rPr>
      <w:rFonts w:ascii="Times New Roman" w:hAnsi="Times New Roman" w:eastAsia="宋体" w:cs="Times New Roman"/>
      <w:kern w:val="2"/>
      <w:sz w:val="21"/>
      <w:lang w:val="en-US" w:eastAsia="zh-CN" w:bidi="ar-SA"/>
    </w:rPr>
  </w:style>
  <w:style w:type="paragraph" w:customStyle="1" w:styleId="23">
    <w:name w:val="修订2"/>
    <w:hidden/>
    <w:semiHidden/>
    <w:qFormat/>
    <w:uiPriority w:val="99"/>
    <w:rPr>
      <w:rFonts w:ascii="Times New Roman" w:hAnsi="Times New Roman" w:eastAsia="宋体" w:cs="Times New Roman"/>
      <w:kern w:val="2"/>
      <w:sz w:val="21"/>
      <w:lang w:val="en-US" w:eastAsia="zh-CN" w:bidi="ar-SA"/>
    </w:rPr>
  </w:style>
  <w:style w:type="paragraph" w:styleId="2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167</Words>
  <Characters>957</Characters>
  <Lines>7</Lines>
  <Paragraphs>2</Paragraphs>
  <TotalTime>4</TotalTime>
  <ScaleCrop>false</ScaleCrop>
  <LinksUpToDate>false</LinksUpToDate>
  <CharactersWithSpaces>1122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2024-03-20T07:36:00Z</dcterms:created>
  <dc:creator>User</dc:creator>
  <cp:lastModifiedBy>Brittany</cp:lastModifiedBy>
  <cp:lastPrinted>2017-11-28T08:20:00Z</cp:lastPrinted>
  <dcterms:modified xsi:type="dcterms:W3CDTF">2024-03-21T00:35:56Z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F020C11FF3294C0A9EF7B6BCA7F268FD_13</vt:lpwstr>
  </property>
</Properties>
</file>