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6AF12" w14:textId="292F661B" w:rsidR="009B1B71" w:rsidRPr="008B6C9D" w:rsidRDefault="003E03A5" w:rsidP="00164590">
      <w:pPr>
        <w:spacing w:line="360" w:lineRule="auto"/>
        <w:rPr>
          <w:rFonts w:ascii="宋体" w:hAnsi="宋体"/>
          <w:b/>
          <w:bCs/>
          <w:iCs/>
          <w:sz w:val="24"/>
        </w:rPr>
      </w:pPr>
      <w:bookmarkStart w:id="0" w:name="_Hlk131061366"/>
      <w:r w:rsidRPr="008B6C9D">
        <w:rPr>
          <w:rFonts w:ascii="宋体" w:hAnsi="宋体" w:hint="eastAsia"/>
          <w:b/>
          <w:bCs/>
          <w:iCs/>
          <w:sz w:val="24"/>
        </w:rPr>
        <w:t>证券代码：</w:t>
      </w:r>
      <w:r w:rsidR="002E2D60">
        <w:rPr>
          <w:rFonts w:ascii="宋体" w:hAnsi="宋体"/>
          <w:b/>
          <w:bCs/>
          <w:iCs/>
          <w:sz w:val="24"/>
        </w:rPr>
        <w:t>603375</w:t>
      </w:r>
      <w:r w:rsidRPr="008B6C9D">
        <w:rPr>
          <w:rFonts w:ascii="宋体" w:hAnsi="宋体" w:hint="eastAsia"/>
          <w:b/>
          <w:bCs/>
          <w:iCs/>
          <w:sz w:val="24"/>
        </w:rPr>
        <w:t xml:space="preserve">        </w:t>
      </w:r>
      <w:r w:rsidR="0019703E" w:rsidRPr="008B6C9D">
        <w:rPr>
          <w:rFonts w:ascii="宋体" w:hAnsi="宋体"/>
          <w:b/>
          <w:bCs/>
          <w:iCs/>
          <w:sz w:val="24"/>
        </w:rPr>
        <w:t xml:space="preserve">      </w:t>
      </w:r>
      <w:r w:rsidRPr="008B6C9D">
        <w:rPr>
          <w:rFonts w:ascii="宋体" w:hAnsi="宋体" w:hint="eastAsia"/>
          <w:b/>
          <w:bCs/>
          <w:iCs/>
          <w:sz w:val="24"/>
        </w:rPr>
        <w:t xml:space="preserve">            </w:t>
      </w:r>
      <w:r w:rsidR="0019703E" w:rsidRPr="008B6C9D">
        <w:rPr>
          <w:rFonts w:ascii="宋体" w:hAnsi="宋体"/>
          <w:b/>
          <w:bCs/>
          <w:iCs/>
          <w:sz w:val="24"/>
        </w:rPr>
        <w:t xml:space="preserve">  </w:t>
      </w:r>
      <w:r w:rsidRPr="008B6C9D">
        <w:rPr>
          <w:rFonts w:ascii="宋体" w:hAnsi="宋体" w:hint="eastAsia"/>
          <w:b/>
          <w:bCs/>
          <w:iCs/>
          <w:sz w:val="24"/>
        </w:rPr>
        <w:t xml:space="preserve">       证券简称：</w:t>
      </w:r>
      <w:r w:rsidR="002E2D60">
        <w:rPr>
          <w:rFonts w:ascii="宋体" w:hAnsi="宋体" w:hint="eastAsia"/>
          <w:b/>
          <w:bCs/>
          <w:iCs/>
          <w:sz w:val="24"/>
        </w:rPr>
        <w:t>盛景微</w:t>
      </w:r>
    </w:p>
    <w:p w14:paraId="3EAFC806" w14:textId="18CB01B6" w:rsidR="0019703E" w:rsidRPr="008B6C9D" w:rsidRDefault="002E2D60" w:rsidP="00164590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无锡盛景微电子</w:t>
      </w:r>
      <w:r w:rsidR="0019703E" w:rsidRPr="008B6C9D">
        <w:rPr>
          <w:rFonts w:ascii="宋体" w:hAnsi="宋体" w:hint="eastAsia"/>
          <w:b/>
          <w:sz w:val="28"/>
          <w:szCs w:val="24"/>
        </w:rPr>
        <w:t>股份有限公司</w:t>
      </w:r>
    </w:p>
    <w:p w14:paraId="153724B3" w14:textId="4BA61CE8" w:rsidR="009B1B71" w:rsidRPr="008B6C9D" w:rsidRDefault="003E03A5" w:rsidP="00164590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 w:rsidRPr="008B6C9D">
        <w:rPr>
          <w:rFonts w:ascii="宋体" w:hAnsi="宋体" w:hint="eastAsia"/>
          <w:b/>
          <w:sz w:val="28"/>
          <w:szCs w:val="24"/>
        </w:rPr>
        <w:t>投资者关系活动记录表</w:t>
      </w:r>
    </w:p>
    <w:p w14:paraId="7F87B4B9" w14:textId="6C125E96" w:rsidR="009B1B71" w:rsidRPr="008B6C9D" w:rsidRDefault="003E03A5" w:rsidP="00164590">
      <w:pPr>
        <w:spacing w:line="360" w:lineRule="auto"/>
        <w:rPr>
          <w:rFonts w:ascii="宋体" w:hAnsi="宋体"/>
          <w:bCs/>
          <w:iCs/>
          <w:sz w:val="24"/>
          <w:szCs w:val="24"/>
        </w:rPr>
      </w:pPr>
      <w:r w:rsidRPr="008B6C9D"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编号：202</w:t>
      </w:r>
      <w:r w:rsidR="002E2D60">
        <w:rPr>
          <w:rFonts w:ascii="宋体" w:hAnsi="宋体"/>
          <w:bCs/>
          <w:iCs/>
          <w:sz w:val="24"/>
          <w:szCs w:val="24"/>
        </w:rPr>
        <w:t>4</w:t>
      </w:r>
      <w:r w:rsidR="000D1B3B">
        <w:rPr>
          <w:rFonts w:ascii="宋体" w:hAnsi="宋体" w:hint="eastAsia"/>
          <w:bCs/>
          <w:iCs/>
          <w:sz w:val="24"/>
          <w:szCs w:val="24"/>
        </w:rPr>
        <w:t>-</w:t>
      </w:r>
      <w:r w:rsidR="008D56A0">
        <w:rPr>
          <w:rFonts w:ascii="宋体" w:hAnsi="宋体"/>
          <w:bCs/>
          <w:iCs/>
          <w:sz w:val="24"/>
          <w:szCs w:val="24"/>
        </w:rPr>
        <w:t>003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711"/>
      </w:tblGrid>
      <w:tr w:rsidR="009B1B71" w:rsidRPr="008B6C9D" w14:paraId="3ADDEC0F" w14:textId="77777777" w:rsidTr="00164590">
        <w:trPr>
          <w:trHeight w:val="2397"/>
          <w:jc w:val="center"/>
        </w:trPr>
        <w:tc>
          <w:tcPr>
            <w:tcW w:w="1931" w:type="dxa"/>
            <w:shd w:val="clear" w:color="auto" w:fill="auto"/>
            <w:vAlign w:val="center"/>
          </w:tcPr>
          <w:bookmarkEnd w:id="0"/>
          <w:p w14:paraId="142D2B46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23E1DEE5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2B30AF17" w14:textId="77777777" w:rsidR="009B1B71" w:rsidRPr="008B6C9D" w:rsidRDefault="009B1B71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14:paraId="05B9CC2B" w14:textId="1690D38D" w:rsidR="009B1B71" w:rsidRPr="008B6C9D" w:rsidRDefault="00AB524F" w:rsidP="0016459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67228B" w:rsidRPr="008B6C9D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67228B"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67228B" w:rsidRPr="008B6C9D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43DA33AF" w14:textId="1AACD48F" w:rsidR="009B1B71" w:rsidRPr="008B6C9D" w:rsidRDefault="003E03A5" w:rsidP="0016459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B6C9D"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="002E2D60"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B6C9D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4FDA4E8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B6C9D"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B6C9D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31AC1413" w14:textId="77777777" w:rsidR="009B1B71" w:rsidRPr="008B6C9D" w:rsidRDefault="003E03A5" w:rsidP="0016459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B6C9D">
              <w:rPr>
                <w:rFonts w:ascii="宋体" w:hAnsi="宋体" w:hint="eastAsia"/>
                <w:sz w:val="24"/>
                <w:szCs w:val="24"/>
              </w:rPr>
              <w:t>现场参观</w:t>
            </w:r>
            <w:r w:rsidRPr="008B6C9D"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318AF4CB" w14:textId="77777777" w:rsidR="009B1B71" w:rsidRPr="008B6C9D" w:rsidRDefault="003E03A5" w:rsidP="00164590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B6C9D">
              <w:rPr>
                <w:rFonts w:ascii="宋体" w:hAnsi="宋体" w:hint="eastAsia"/>
                <w:sz w:val="24"/>
                <w:szCs w:val="24"/>
              </w:rPr>
              <w:t>其他 （</w:t>
            </w:r>
            <w:r w:rsidRPr="008B6C9D">
              <w:rPr>
                <w:rFonts w:ascii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9B1B71" w:rsidRPr="008B6C9D" w14:paraId="60FCDF13" w14:textId="77777777" w:rsidTr="00164590">
        <w:trPr>
          <w:trHeight w:val="84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F82580A" w14:textId="5C6DAE3C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711" w:type="dxa"/>
            <w:shd w:val="clear" w:color="auto" w:fill="auto"/>
          </w:tcPr>
          <w:p w14:paraId="5678525F" w14:textId="76A37CA3" w:rsidR="00A90676" w:rsidRPr="0053701A" w:rsidRDefault="008D56A0" w:rsidP="008D56A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国联证券、</w:t>
            </w:r>
            <w:r w:rsidR="0029183C">
              <w:rPr>
                <w:rFonts w:asciiTheme="minorEastAsia" w:hAnsiTheme="minorEastAsia"/>
                <w:sz w:val="24"/>
                <w:szCs w:val="24"/>
              </w:rPr>
              <w:t>财通证券</w:t>
            </w:r>
            <w:r>
              <w:rPr>
                <w:rFonts w:asciiTheme="minorEastAsia" w:hAnsiTheme="minorEastAsia"/>
                <w:sz w:val="24"/>
                <w:szCs w:val="24"/>
              </w:rPr>
              <w:t>、</w:t>
            </w:r>
            <w:r w:rsidR="00A90676">
              <w:rPr>
                <w:rFonts w:asciiTheme="minorEastAsia" w:hAnsiTheme="minorEastAsia"/>
                <w:sz w:val="24"/>
                <w:szCs w:val="24"/>
              </w:rPr>
              <w:t>西南证券</w:t>
            </w:r>
          </w:p>
        </w:tc>
      </w:tr>
      <w:tr w:rsidR="009B1B71" w:rsidRPr="008B6C9D" w14:paraId="348099E9" w14:textId="77777777" w:rsidTr="00164590">
        <w:trPr>
          <w:trHeight w:val="58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006D090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711" w:type="dxa"/>
            <w:shd w:val="clear" w:color="auto" w:fill="auto"/>
          </w:tcPr>
          <w:p w14:paraId="007C1D67" w14:textId="4D85A925" w:rsidR="009B1B71" w:rsidRPr="008B6C9D" w:rsidRDefault="002E2D60" w:rsidP="008D56A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2024</w:t>
            </w:r>
            <w:r w:rsidR="002F01F7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732D9C">
              <w:rPr>
                <w:rFonts w:asciiTheme="minorEastAsia" w:hAnsiTheme="minorEastAsia"/>
                <w:sz w:val="24"/>
                <w:szCs w:val="24"/>
              </w:rPr>
              <w:t>3</w:t>
            </w:r>
            <w:r w:rsidR="002F01F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D56A0">
              <w:rPr>
                <w:rFonts w:asciiTheme="minorEastAsia" w:hAnsiTheme="minorEastAsia"/>
                <w:sz w:val="24"/>
                <w:szCs w:val="24"/>
              </w:rPr>
              <w:t>12</w:t>
            </w:r>
            <w:r w:rsidR="002F01F7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8D56A0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="008D56A0">
              <w:rPr>
                <w:rFonts w:asciiTheme="minorEastAsia" w:hAnsiTheme="minorEastAsia"/>
                <w:sz w:val="24"/>
                <w:szCs w:val="24"/>
              </w:rPr>
              <w:t>2024</w:t>
            </w:r>
            <w:r w:rsidR="008D56A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D56A0">
              <w:rPr>
                <w:rFonts w:asciiTheme="minorEastAsia" w:hAnsiTheme="minorEastAsia"/>
                <w:sz w:val="24"/>
                <w:szCs w:val="24"/>
              </w:rPr>
              <w:t>3</w:t>
            </w:r>
            <w:r w:rsidR="008D56A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D56A0">
              <w:rPr>
                <w:rFonts w:asciiTheme="minorEastAsia" w:hAnsiTheme="minorEastAsia"/>
                <w:sz w:val="24"/>
                <w:szCs w:val="24"/>
              </w:rPr>
              <w:t>15</w:t>
            </w:r>
            <w:r w:rsidR="008D56A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9B1B71" w:rsidRPr="008B6C9D" w14:paraId="36E88A98" w14:textId="77777777" w:rsidTr="00164590">
        <w:trPr>
          <w:trHeight w:val="52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49D60E7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711" w:type="dxa"/>
            <w:shd w:val="clear" w:color="auto" w:fill="auto"/>
          </w:tcPr>
          <w:p w14:paraId="649B5A6A" w14:textId="173B129D" w:rsidR="009B1B71" w:rsidRPr="008B6C9D" w:rsidRDefault="00AB524F" w:rsidP="00331D0C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公司会议室</w:t>
            </w:r>
          </w:p>
        </w:tc>
      </w:tr>
      <w:tr w:rsidR="009B1B71" w:rsidRPr="008B6C9D" w14:paraId="0AF95E7A" w14:textId="77777777" w:rsidTr="00164590">
        <w:trPr>
          <w:trHeight w:val="702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219CD40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02E3D689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711" w:type="dxa"/>
            <w:shd w:val="clear" w:color="auto" w:fill="auto"/>
          </w:tcPr>
          <w:p w14:paraId="0B762669" w14:textId="1A7086C4" w:rsidR="005F4A80" w:rsidRDefault="00561344" w:rsidP="001645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董事会秘书</w:t>
            </w:r>
            <w:r w:rsidR="00BF3E57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2E2D60">
              <w:rPr>
                <w:rFonts w:asciiTheme="minorEastAsia" w:hAnsiTheme="minorEastAsia" w:hint="eastAsia"/>
                <w:sz w:val="24"/>
                <w:szCs w:val="24"/>
              </w:rPr>
              <w:t>潘叙</w:t>
            </w:r>
          </w:p>
          <w:p w14:paraId="3BF23213" w14:textId="5F7CD46C" w:rsidR="006C48D5" w:rsidRDefault="006C48D5" w:rsidP="001645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证券事务代表：张珊珊</w:t>
            </w:r>
          </w:p>
          <w:p w14:paraId="79AA07C7" w14:textId="20B99080" w:rsidR="006402D2" w:rsidRPr="00675F34" w:rsidRDefault="00BF28A1" w:rsidP="001645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证券事务专员：汪琪</w:t>
            </w:r>
          </w:p>
        </w:tc>
      </w:tr>
      <w:tr w:rsidR="009B1B71" w:rsidRPr="008B6C9D" w14:paraId="260A1F79" w14:textId="77777777" w:rsidTr="001C1068">
        <w:trPr>
          <w:trHeight w:val="1125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BAA1835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676F7155" w14:textId="77777777" w:rsidR="009B1B71" w:rsidRPr="008B6C9D" w:rsidRDefault="009B1B71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14:paraId="79E5F4CA" w14:textId="3286BAAD" w:rsidR="003D03B5" w:rsidRPr="002E5206" w:rsidRDefault="00293145" w:rsidP="003D03B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 w:rsidRPr="00D56834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问题交流：</w:t>
            </w:r>
            <w:r w:rsidR="00794974" w:rsidRPr="00D56834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cr/>
            </w:r>
            <w:r w:rsidR="003D03B5" w:rsidRPr="002E5206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Q1</w:t>
            </w:r>
            <w:r w:rsidR="003D03B5" w:rsidRPr="002E520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 w:rsidR="003D03B5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请问</w:t>
            </w:r>
            <w:r w:rsidR="00D407D2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公司产品的</w:t>
            </w:r>
            <w:r w:rsidR="009B70E1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技术壁垒体现在哪方面</w:t>
            </w:r>
            <w:r w:rsidR="003D03B5" w:rsidRPr="00675F34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</w:t>
            </w:r>
          </w:p>
          <w:p w14:paraId="76C1EF8B" w14:textId="24D33742" w:rsidR="003D03B5" w:rsidRDefault="003D03B5" w:rsidP="0055770F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A：</w:t>
            </w:r>
            <w:r w:rsidR="00BC28D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公司</w:t>
            </w:r>
            <w:r w:rsidR="00BC28D5" w:rsidRPr="00BC28D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的主要产品电子控制模块作为电子雷管起爆系统的关键组成部分，目前主要应用于爆破领域。由于爆破工程的作业环境复杂，可能面临高温、低温、高压或复杂地质环境，爆破过程会产生强烈的过载冲击和电磁干扰，对电子控制模块的安全性、可靠性、</w:t>
            </w:r>
            <w:r w:rsidR="00BC28D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抗冲击与干扰能力都有较高的要求，需</w:t>
            </w:r>
            <w:r w:rsidR="00BC28D5" w:rsidRPr="00BC28D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通过</w:t>
            </w:r>
            <w:r w:rsidR="0055150D" w:rsidRPr="0055150D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出色的技术实力</w:t>
            </w:r>
            <w:r w:rsidR="0055150D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和</w:t>
            </w:r>
            <w:r w:rsidR="00BC28D5" w:rsidRPr="00BC28D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大量</w:t>
            </w:r>
            <w:r w:rsidR="0055150D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的</w:t>
            </w:r>
            <w:r w:rsidR="00BC28D5" w:rsidRPr="00BC28D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工程验证积累才能实现。</w:t>
            </w:r>
            <w:r w:rsidR="0055770F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另一方面</w:t>
            </w:r>
            <w:r w:rsidR="0055770F" w:rsidRPr="0055770F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电子控制模块是以芯片为基础，结合不同场景应用需求开发而形成的专用模块。相关研发与技术人员需要在芯片、模块设计等领域具有丰富的经验，并能准确理解不同场景的应用需求，进行针对性开发设计。</w:t>
            </w:r>
          </w:p>
          <w:p w14:paraId="19F69A26" w14:textId="77777777" w:rsidR="003D03B5" w:rsidRPr="00DC28CE" w:rsidRDefault="003D03B5" w:rsidP="00D56834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</w:p>
          <w:p w14:paraId="13412021" w14:textId="24C230FE" w:rsidR="001579BA" w:rsidRDefault="001579BA" w:rsidP="00D56834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lastRenderedPageBreak/>
              <w:t>Q2</w:t>
            </w:r>
            <w:r w:rsidRPr="002E520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请问公司产品</w:t>
            </w:r>
            <w:r w:rsidR="00FB41F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有什么突出优势</w:t>
            </w:r>
            <w:r w:rsidRPr="00675F34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</w:t>
            </w:r>
          </w:p>
          <w:p w14:paraId="0F57CB19" w14:textId="6292D5BF" w:rsidR="001579BA" w:rsidRDefault="001579BA" w:rsidP="00FB41F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1579BA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</w:t>
            </w:r>
            <w:r w:rsidR="00F20D13" w:rsidRPr="00F20D13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公司依托自研的三代雷管控制芯片，结合应用场景进行专用模块开发，不断根据市场发展趋势与客户需求进行产品升级与迭代。多年的研发，公司形成了高低压超低功耗芯片设计、采用扩展Modbus总线通信的主从级联网络、抗冲击与干扰技术等多项核心技术。凭借出色的技术实力与大量的工程验证，</w:t>
            </w:r>
            <w:r w:rsidR="006F068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公司</w:t>
            </w:r>
            <w:bookmarkStart w:id="1" w:name="_GoBack"/>
            <w:bookmarkEnd w:id="1"/>
            <w:r w:rsidR="00F20D13" w:rsidRPr="00F20D13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的电子控制模块产品在安全性、可靠性、抗冲击与干扰能力、爆破效率等方面形成了竞争优势，可应用于-40℃~+85℃的宽温环境、高过载冲击和电磁干扰环境下的地下小断面金属矿爆破、对可靠性要求较高的大型抛掷爆破、大规模拆除爆破等特殊领域。2022年，公司产品成功应用于一次性电子雷管用量达14,849发的地下矿山爆破工程，是目前已知的国内最大规模的地下矿单次应用电子雷管爆破实例。</w:t>
            </w:r>
          </w:p>
          <w:p w14:paraId="37E4EDF7" w14:textId="77777777" w:rsidR="00115168" w:rsidRDefault="00115168" w:rsidP="00D56834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  <w:p w14:paraId="33F71304" w14:textId="484EE33F" w:rsidR="00115168" w:rsidRPr="00115168" w:rsidRDefault="004933D5" w:rsidP="00115168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Q3</w:t>
            </w:r>
            <w:r w:rsidR="00115168" w:rsidRPr="002E520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 w:rsidR="00115168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请问公司销售模式</w:t>
            </w:r>
            <w:r w:rsidR="00115168" w:rsidRPr="00675F34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</w:t>
            </w:r>
          </w:p>
          <w:p w14:paraId="3FFEFB2F" w14:textId="735B915F" w:rsidR="00115168" w:rsidRDefault="00115168" w:rsidP="004933D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</w:t>
            </w:r>
            <w:r w:rsidR="0055770F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公司主要产品电子控制模块、起爆控制器采用直销模式进行销售，</w:t>
            </w:r>
            <w:r w:rsidR="004933D5" w:rsidRPr="004933D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下游客户主要</w:t>
            </w:r>
            <w:r w:rsidR="004933D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为</w:t>
            </w:r>
            <w:r w:rsidR="004933D5" w:rsidRPr="004933D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国内知名民爆企业，下游呈现集中度较高的市场竞争格局，采用直销模式有利于缩短销售流程、优化服务并及时把握客户需求，并且可以与客户技术部门保持实时沟通，有利于提升技术、产品开发的时效性和准确性。</w:t>
            </w:r>
            <w:r w:rsidR="007877B4" w:rsidRPr="007877B4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公司</w:t>
            </w:r>
            <w:r w:rsidR="003774E2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控股子公司</w:t>
            </w:r>
            <w:r w:rsidR="007877B4" w:rsidRPr="007877B4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上海先积主要采用经销模式销售放大器等产品</w:t>
            </w:r>
          </w:p>
          <w:p w14:paraId="17EEB195" w14:textId="77777777" w:rsidR="000744D2" w:rsidRDefault="000744D2" w:rsidP="006C48D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</w:p>
          <w:p w14:paraId="7BC53AFD" w14:textId="3B302335" w:rsidR="00AC6033" w:rsidRPr="00115168" w:rsidRDefault="00AC6033" w:rsidP="00AC603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Q4</w:t>
            </w:r>
            <w:r w:rsidRPr="002E520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请问公司产品销量是否全年平均分配</w:t>
            </w:r>
            <w:r w:rsidRPr="00675F34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</w:t>
            </w:r>
          </w:p>
          <w:p w14:paraId="1C3D8798" w14:textId="50452316" w:rsidR="00AC6033" w:rsidRPr="00D573AB" w:rsidRDefault="00AC6033" w:rsidP="00D573AB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</w:t>
            </w:r>
            <w:r w:rsidR="00D573AB" w:rsidRPr="00D573AB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公司产品销量</w:t>
            </w:r>
            <w:r w:rsidR="00D573AB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并非</w:t>
            </w:r>
            <w:r w:rsidR="00D573AB" w:rsidRPr="00D573AB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全年平均分配</w:t>
            </w:r>
            <w:r w:rsidR="00D573AB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，</w:t>
            </w:r>
            <w:r w:rsidR="00D573AB" w:rsidRPr="00D573AB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电子控制模块细分行业具有一定的季节性特征。受春节期间休假等因素影响，每年第一季度通常为行业淡季；通常每年第四季度为民爆企业客户生产高峰期，亦为行业旺季。</w:t>
            </w:r>
          </w:p>
          <w:p w14:paraId="42F99490" w14:textId="77777777" w:rsidR="00AC6033" w:rsidRPr="00AC6033" w:rsidRDefault="00AC6033" w:rsidP="006C48D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</w:p>
          <w:p w14:paraId="1EC28703" w14:textId="3597726C" w:rsidR="00D309BA" w:rsidRPr="00336288" w:rsidRDefault="00D309BA" w:rsidP="00D309BA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 w:rsidRPr="000C3E7A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Q</w:t>
            </w:r>
            <w:r w:rsidR="00AC6033"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  <w:t>5</w:t>
            </w:r>
            <w:r w:rsidRPr="000C3E7A"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  <w:t>公司通过了CNAS</w:t>
            </w:r>
            <w:r w:rsidR="00BC0C89"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  <w:t>实验室认证代表了什么</w:t>
            </w:r>
            <w:r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  <w:t>？</w:t>
            </w:r>
          </w:p>
          <w:p w14:paraId="297C710F" w14:textId="7C868BF5" w:rsidR="005F2950" w:rsidRPr="00852C35" w:rsidRDefault="00D309BA" w:rsidP="00FF0AE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lastRenderedPageBreak/>
              <w:t>A:</w:t>
            </w:r>
            <w:r w:rsidR="006B3A3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 xml:space="preserve"> 此次获得</w:t>
            </w:r>
            <w:r w:rsidR="006B3A33" w:rsidRPr="00584E08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CNAS</w:t>
            </w:r>
            <w:r w:rsidR="006B3A3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认可是评定机构对公司</w:t>
            </w:r>
            <w:r w:rsidR="00FF0AE6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长期以来砥砺深耕</w:t>
            </w:r>
            <w:r w:rsidR="006B3A3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专注创新的充分肯定，</w:t>
            </w:r>
            <w:r w:rsidR="006B3A33" w:rsidRPr="006B3A3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标志着公司实验测试部具备相应国家及国际认可的检测能力，这一国家级认证将加速公司的全球化布局，进一步强化</w:t>
            </w:r>
            <w:r w:rsidR="006B3A3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产品质量和权威影响力；代表着公司未来更多的发展空间，可以横向拓展开发新产品、新场景运用，比如应急管理、石油石化开采等新领域；纵向拓展研究原材料、爆破过程等。</w:t>
            </w:r>
            <w:r w:rsidR="003D07D3" w:rsidRPr="003D07D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作为国内第一家获得CNAS认证的电子控制模块</w:t>
            </w:r>
            <w:r w:rsidR="00FF0AE6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厂商，也为整个行业的规范化可溯源化树立了标杆，</w:t>
            </w:r>
            <w:r w:rsidR="003D07D3" w:rsidRPr="003D07D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未来</w:t>
            </w:r>
            <w:r w:rsidR="003D07D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公司</w:t>
            </w:r>
            <w:r w:rsidR="003D07D3" w:rsidRPr="003D07D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还将在工业电子雷管细分领域持续做专做精，致力于以技术引领智能爆破行业发展。</w:t>
            </w:r>
          </w:p>
        </w:tc>
      </w:tr>
      <w:tr w:rsidR="009B1B71" w:rsidRPr="008B6C9D" w14:paraId="5D2748BE" w14:textId="77777777" w:rsidTr="00164590">
        <w:trPr>
          <w:trHeight w:val="611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D662252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023F9AEE" w14:textId="761776DC" w:rsidR="009B1B71" w:rsidRPr="008B6C9D" w:rsidRDefault="00DF1094" w:rsidP="0016459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9B1B71" w:rsidRPr="008B6C9D" w14:paraId="4809B01E" w14:textId="77777777" w:rsidTr="00164590">
        <w:trPr>
          <w:trHeight w:val="55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71E8847" w14:textId="77777777" w:rsidR="009B1B71" w:rsidRPr="008B6C9D" w:rsidRDefault="003E03A5" w:rsidP="00164590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B6C9D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11" w:type="dxa"/>
            <w:shd w:val="clear" w:color="auto" w:fill="auto"/>
          </w:tcPr>
          <w:p w14:paraId="795EE1CF" w14:textId="0815F7F8" w:rsidR="009B1B71" w:rsidRPr="008B6C9D" w:rsidRDefault="00581406" w:rsidP="00164590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12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日-</w:t>
            </w:r>
            <w:r>
              <w:rPr>
                <w:rFonts w:asciiTheme="minorEastAsia" w:hAnsiTheme="minorEastAsia"/>
                <w:sz w:val="24"/>
                <w:szCs w:val="24"/>
              </w:rPr>
              <w:t>2024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15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0CC32D4C" w14:textId="77777777" w:rsidR="009B1B71" w:rsidRPr="008B6C9D" w:rsidRDefault="009B1B71" w:rsidP="00164590">
      <w:pPr>
        <w:spacing w:line="360" w:lineRule="auto"/>
        <w:rPr>
          <w:rFonts w:ascii="宋体" w:hAnsi="宋体"/>
        </w:rPr>
      </w:pPr>
    </w:p>
    <w:sectPr w:rsidR="009B1B71" w:rsidRPr="008B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8EF9E" w14:textId="77777777" w:rsidR="002C54F4" w:rsidRDefault="002C54F4" w:rsidP="0067228B">
      <w:r>
        <w:separator/>
      </w:r>
    </w:p>
  </w:endnote>
  <w:endnote w:type="continuationSeparator" w:id="0">
    <w:p w14:paraId="6257FAB6" w14:textId="77777777" w:rsidR="002C54F4" w:rsidRDefault="002C54F4" w:rsidP="0067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1E8AA" w14:textId="77777777" w:rsidR="002C54F4" w:rsidRDefault="002C54F4" w:rsidP="0067228B">
      <w:r>
        <w:separator/>
      </w:r>
    </w:p>
  </w:footnote>
  <w:footnote w:type="continuationSeparator" w:id="0">
    <w:p w14:paraId="08B5CCF7" w14:textId="77777777" w:rsidR="002C54F4" w:rsidRDefault="002C54F4" w:rsidP="00672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mUwOTBlYTVlMmIzMWQ1NjQ2Y2Y2ZjQwNjc4M2MifQ=="/>
  </w:docVars>
  <w:rsids>
    <w:rsidRoot w:val="006B0E6C"/>
    <w:rsid w:val="000006A0"/>
    <w:rsid w:val="00000E70"/>
    <w:rsid w:val="00001912"/>
    <w:rsid w:val="000041AC"/>
    <w:rsid w:val="0001381E"/>
    <w:rsid w:val="00016EA7"/>
    <w:rsid w:val="00021F23"/>
    <w:rsid w:val="0002224B"/>
    <w:rsid w:val="00027135"/>
    <w:rsid w:val="0003196D"/>
    <w:rsid w:val="0003228D"/>
    <w:rsid w:val="0004007F"/>
    <w:rsid w:val="0005365D"/>
    <w:rsid w:val="00056098"/>
    <w:rsid w:val="00073EDC"/>
    <w:rsid w:val="000744D2"/>
    <w:rsid w:val="00075990"/>
    <w:rsid w:val="00084D45"/>
    <w:rsid w:val="00087239"/>
    <w:rsid w:val="00091F5C"/>
    <w:rsid w:val="00092514"/>
    <w:rsid w:val="00092FC5"/>
    <w:rsid w:val="000B43A9"/>
    <w:rsid w:val="000B7EF0"/>
    <w:rsid w:val="000C15FE"/>
    <w:rsid w:val="000C3726"/>
    <w:rsid w:val="000C3B22"/>
    <w:rsid w:val="000C3E7A"/>
    <w:rsid w:val="000D093B"/>
    <w:rsid w:val="000D0AE6"/>
    <w:rsid w:val="000D1B3B"/>
    <w:rsid w:val="000D352B"/>
    <w:rsid w:val="000D6761"/>
    <w:rsid w:val="000E585D"/>
    <w:rsid w:val="000F3C3D"/>
    <w:rsid w:val="000F56E1"/>
    <w:rsid w:val="00104CFD"/>
    <w:rsid w:val="0010557E"/>
    <w:rsid w:val="0011051D"/>
    <w:rsid w:val="00115168"/>
    <w:rsid w:val="00115C7E"/>
    <w:rsid w:val="00117202"/>
    <w:rsid w:val="00120CDD"/>
    <w:rsid w:val="0012465E"/>
    <w:rsid w:val="00127291"/>
    <w:rsid w:val="001549B5"/>
    <w:rsid w:val="001579BA"/>
    <w:rsid w:val="00163329"/>
    <w:rsid w:val="00164590"/>
    <w:rsid w:val="001724A6"/>
    <w:rsid w:val="00177988"/>
    <w:rsid w:val="001860C4"/>
    <w:rsid w:val="00190687"/>
    <w:rsid w:val="001911C0"/>
    <w:rsid w:val="0019607D"/>
    <w:rsid w:val="0019703E"/>
    <w:rsid w:val="001A05C8"/>
    <w:rsid w:val="001A0754"/>
    <w:rsid w:val="001A6455"/>
    <w:rsid w:val="001B3472"/>
    <w:rsid w:val="001B3634"/>
    <w:rsid w:val="001B41CC"/>
    <w:rsid w:val="001B4FF4"/>
    <w:rsid w:val="001B784E"/>
    <w:rsid w:val="001C1068"/>
    <w:rsid w:val="001C5C18"/>
    <w:rsid w:val="001C6ACC"/>
    <w:rsid w:val="001D4ADB"/>
    <w:rsid w:val="001E38B3"/>
    <w:rsid w:val="00205358"/>
    <w:rsid w:val="002168E6"/>
    <w:rsid w:val="0023691F"/>
    <w:rsid w:val="00257A33"/>
    <w:rsid w:val="00260F10"/>
    <w:rsid w:val="0027318F"/>
    <w:rsid w:val="00273CE9"/>
    <w:rsid w:val="00273E3F"/>
    <w:rsid w:val="00274172"/>
    <w:rsid w:val="002753E7"/>
    <w:rsid w:val="00284750"/>
    <w:rsid w:val="00287E32"/>
    <w:rsid w:val="0029183C"/>
    <w:rsid w:val="00293145"/>
    <w:rsid w:val="0029320D"/>
    <w:rsid w:val="0029344C"/>
    <w:rsid w:val="002A007D"/>
    <w:rsid w:val="002A056E"/>
    <w:rsid w:val="002A6CD5"/>
    <w:rsid w:val="002A7318"/>
    <w:rsid w:val="002A750B"/>
    <w:rsid w:val="002C54F4"/>
    <w:rsid w:val="002E2D60"/>
    <w:rsid w:val="002E398C"/>
    <w:rsid w:val="002E5206"/>
    <w:rsid w:val="002F01F7"/>
    <w:rsid w:val="002F190C"/>
    <w:rsid w:val="002F2DD3"/>
    <w:rsid w:val="00301C02"/>
    <w:rsid w:val="003069FD"/>
    <w:rsid w:val="00306EAB"/>
    <w:rsid w:val="00330CDF"/>
    <w:rsid w:val="00331D0C"/>
    <w:rsid w:val="00335055"/>
    <w:rsid w:val="00336288"/>
    <w:rsid w:val="00355BEB"/>
    <w:rsid w:val="00376DD3"/>
    <w:rsid w:val="003774E2"/>
    <w:rsid w:val="003800BF"/>
    <w:rsid w:val="0039057E"/>
    <w:rsid w:val="003A13D5"/>
    <w:rsid w:val="003C7BEA"/>
    <w:rsid w:val="003D03B5"/>
    <w:rsid w:val="003D0657"/>
    <w:rsid w:val="003D07D3"/>
    <w:rsid w:val="003D3D36"/>
    <w:rsid w:val="003E03A5"/>
    <w:rsid w:val="003F6A25"/>
    <w:rsid w:val="00402F61"/>
    <w:rsid w:val="00425721"/>
    <w:rsid w:val="00454C68"/>
    <w:rsid w:val="004579D2"/>
    <w:rsid w:val="00461BB1"/>
    <w:rsid w:val="0047145D"/>
    <w:rsid w:val="004816E5"/>
    <w:rsid w:val="004828CE"/>
    <w:rsid w:val="0048657D"/>
    <w:rsid w:val="00487201"/>
    <w:rsid w:val="0049087E"/>
    <w:rsid w:val="004919E3"/>
    <w:rsid w:val="004922D1"/>
    <w:rsid w:val="004933D5"/>
    <w:rsid w:val="00497AAE"/>
    <w:rsid w:val="004A5470"/>
    <w:rsid w:val="004A728D"/>
    <w:rsid w:val="004C4436"/>
    <w:rsid w:val="004C4EE9"/>
    <w:rsid w:val="004D0D18"/>
    <w:rsid w:val="004E1637"/>
    <w:rsid w:val="00511CF3"/>
    <w:rsid w:val="00521727"/>
    <w:rsid w:val="0053701A"/>
    <w:rsid w:val="00541A5B"/>
    <w:rsid w:val="00542C89"/>
    <w:rsid w:val="0054358C"/>
    <w:rsid w:val="005442D8"/>
    <w:rsid w:val="00546BA5"/>
    <w:rsid w:val="005475DA"/>
    <w:rsid w:val="0055150D"/>
    <w:rsid w:val="0055770F"/>
    <w:rsid w:val="00561344"/>
    <w:rsid w:val="0056148E"/>
    <w:rsid w:val="00572E91"/>
    <w:rsid w:val="00581406"/>
    <w:rsid w:val="005840EC"/>
    <w:rsid w:val="00584E08"/>
    <w:rsid w:val="005A0FB0"/>
    <w:rsid w:val="005B32A9"/>
    <w:rsid w:val="005C6E9C"/>
    <w:rsid w:val="005D6FC4"/>
    <w:rsid w:val="005E4106"/>
    <w:rsid w:val="005F0644"/>
    <w:rsid w:val="005F0A1B"/>
    <w:rsid w:val="005F1467"/>
    <w:rsid w:val="005F2950"/>
    <w:rsid w:val="005F4A80"/>
    <w:rsid w:val="005F4D35"/>
    <w:rsid w:val="005F6479"/>
    <w:rsid w:val="005F7B0C"/>
    <w:rsid w:val="00606126"/>
    <w:rsid w:val="00621345"/>
    <w:rsid w:val="00623AC9"/>
    <w:rsid w:val="00624944"/>
    <w:rsid w:val="006366A1"/>
    <w:rsid w:val="006402D2"/>
    <w:rsid w:val="00640827"/>
    <w:rsid w:val="00641F8D"/>
    <w:rsid w:val="006429DE"/>
    <w:rsid w:val="00642CBF"/>
    <w:rsid w:val="0065537B"/>
    <w:rsid w:val="00663E9E"/>
    <w:rsid w:val="0067228B"/>
    <w:rsid w:val="006729C5"/>
    <w:rsid w:val="0067420B"/>
    <w:rsid w:val="00675F12"/>
    <w:rsid w:val="00675F34"/>
    <w:rsid w:val="0067791C"/>
    <w:rsid w:val="006845F8"/>
    <w:rsid w:val="006A43F3"/>
    <w:rsid w:val="006B0E6C"/>
    <w:rsid w:val="006B119A"/>
    <w:rsid w:val="006B3A33"/>
    <w:rsid w:val="006C3D90"/>
    <w:rsid w:val="006C48D5"/>
    <w:rsid w:val="006C5897"/>
    <w:rsid w:val="006C675C"/>
    <w:rsid w:val="006E57C8"/>
    <w:rsid w:val="006F068E"/>
    <w:rsid w:val="006F4276"/>
    <w:rsid w:val="0071436E"/>
    <w:rsid w:val="007150E8"/>
    <w:rsid w:val="00732D9C"/>
    <w:rsid w:val="00742E2D"/>
    <w:rsid w:val="007650E1"/>
    <w:rsid w:val="00774B6B"/>
    <w:rsid w:val="007811F8"/>
    <w:rsid w:val="007849FE"/>
    <w:rsid w:val="0078662C"/>
    <w:rsid w:val="007877B4"/>
    <w:rsid w:val="00790A9E"/>
    <w:rsid w:val="00794974"/>
    <w:rsid w:val="007A4659"/>
    <w:rsid w:val="007A5901"/>
    <w:rsid w:val="007C3688"/>
    <w:rsid w:val="007D2DBA"/>
    <w:rsid w:val="007E2F46"/>
    <w:rsid w:val="007E4264"/>
    <w:rsid w:val="007E4560"/>
    <w:rsid w:val="00803E70"/>
    <w:rsid w:val="008073A5"/>
    <w:rsid w:val="00817372"/>
    <w:rsid w:val="00851D55"/>
    <w:rsid w:val="00852C35"/>
    <w:rsid w:val="00867D6B"/>
    <w:rsid w:val="008807E1"/>
    <w:rsid w:val="00883EBE"/>
    <w:rsid w:val="00886982"/>
    <w:rsid w:val="00886FC4"/>
    <w:rsid w:val="00891BCE"/>
    <w:rsid w:val="008920C5"/>
    <w:rsid w:val="008959DE"/>
    <w:rsid w:val="00896A8C"/>
    <w:rsid w:val="008B25B7"/>
    <w:rsid w:val="008B5D47"/>
    <w:rsid w:val="008B6C9D"/>
    <w:rsid w:val="008C6C6B"/>
    <w:rsid w:val="008D0B06"/>
    <w:rsid w:val="008D1702"/>
    <w:rsid w:val="008D56A0"/>
    <w:rsid w:val="008D7130"/>
    <w:rsid w:val="008E0452"/>
    <w:rsid w:val="008F6EF5"/>
    <w:rsid w:val="008F72E0"/>
    <w:rsid w:val="008F7F3C"/>
    <w:rsid w:val="00902A4D"/>
    <w:rsid w:val="00910522"/>
    <w:rsid w:val="00923610"/>
    <w:rsid w:val="00926B02"/>
    <w:rsid w:val="00932B69"/>
    <w:rsid w:val="009450D8"/>
    <w:rsid w:val="009653F6"/>
    <w:rsid w:val="00971528"/>
    <w:rsid w:val="00987890"/>
    <w:rsid w:val="00990DB2"/>
    <w:rsid w:val="0099283E"/>
    <w:rsid w:val="009B1B71"/>
    <w:rsid w:val="009B70E1"/>
    <w:rsid w:val="009C1A68"/>
    <w:rsid w:val="009C3AB1"/>
    <w:rsid w:val="009C427B"/>
    <w:rsid w:val="009D0DA0"/>
    <w:rsid w:val="009D2C7D"/>
    <w:rsid w:val="009D7DD0"/>
    <w:rsid w:val="009F2493"/>
    <w:rsid w:val="009F7109"/>
    <w:rsid w:val="00A02642"/>
    <w:rsid w:val="00A108E2"/>
    <w:rsid w:val="00A25554"/>
    <w:rsid w:val="00A301F9"/>
    <w:rsid w:val="00A32DB2"/>
    <w:rsid w:val="00A4493B"/>
    <w:rsid w:val="00A54005"/>
    <w:rsid w:val="00A60916"/>
    <w:rsid w:val="00A77820"/>
    <w:rsid w:val="00A81AB0"/>
    <w:rsid w:val="00A83D19"/>
    <w:rsid w:val="00A86032"/>
    <w:rsid w:val="00A90676"/>
    <w:rsid w:val="00A95054"/>
    <w:rsid w:val="00AA1C54"/>
    <w:rsid w:val="00AA484A"/>
    <w:rsid w:val="00AA595F"/>
    <w:rsid w:val="00AA6851"/>
    <w:rsid w:val="00AB041C"/>
    <w:rsid w:val="00AB17E4"/>
    <w:rsid w:val="00AB2FCA"/>
    <w:rsid w:val="00AB524F"/>
    <w:rsid w:val="00AC6033"/>
    <w:rsid w:val="00AD26CB"/>
    <w:rsid w:val="00AD42C3"/>
    <w:rsid w:val="00AD4D6F"/>
    <w:rsid w:val="00AE4400"/>
    <w:rsid w:val="00AE66D2"/>
    <w:rsid w:val="00AF4907"/>
    <w:rsid w:val="00B00525"/>
    <w:rsid w:val="00B06E3D"/>
    <w:rsid w:val="00B12BB5"/>
    <w:rsid w:val="00B25283"/>
    <w:rsid w:val="00B34C61"/>
    <w:rsid w:val="00B375F2"/>
    <w:rsid w:val="00B37E0B"/>
    <w:rsid w:val="00B51251"/>
    <w:rsid w:val="00B53F46"/>
    <w:rsid w:val="00B540CC"/>
    <w:rsid w:val="00B57BD4"/>
    <w:rsid w:val="00B80813"/>
    <w:rsid w:val="00B809F6"/>
    <w:rsid w:val="00B909E9"/>
    <w:rsid w:val="00BA1C49"/>
    <w:rsid w:val="00BB3DE9"/>
    <w:rsid w:val="00BC0C89"/>
    <w:rsid w:val="00BC28D5"/>
    <w:rsid w:val="00BF28A1"/>
    <w:rsid w:val="00BF3E57"/>
    <w:rsid w:val="00BF73E3"/>
    <w:rsid w:val="00C07A9A"/>
    <w:rsid w:val="00C111A1"/>
    <w:rsid w:val="00C11F05"/>
    <w:rsid w:val="00C11F78"/>
    <w:rsid w:val="00C15D3F"/>
    <w:rsid w:val="00C206C8"/>
    <w:rsid w:val="00C40A01"/>
    <w:rsid w:val="00C41D37"/>
    <w:rsid w:val="00C42A9B"/>
    <w:rsid w:val="00C46F80"/>
    <w:rsid w:val="00C55DF8"/>
    <w:rsid w:val="00C63827"/>
    <w:rsid w:val="00C85B1B"/>
    <w:rsid w:val="00C9497B"/>
    <w:rsid w:val="00CA05CB"/>
    <w:rsid w:val="00CA1FED"/>
    <w:rsid w:val="00CA5134"/>
    <w:rsid w:val="00CB5F78"/>
    <w:rsid w:val="00CC6225"/>
    <w:rsid w:val="00CC7C27"/>
    <w:rsid w:val="00CD4809"/>
    <w:rsid w:val="00CE28CB"/>
    <w:rsid w:val="00CE6A10"/>
    <w:rsid w:val="00CF3B43"/>
    <w:rsid w:val="00CF7A5F"/>
    <w:rsid w:val="00D03DC5"/>
    <w:rsid w:val="00D266F5"/>
    <w:rsid w:val="00D309BA"/>
    <w:rsid w:val="00D407D2"/>
    <w:rsid w:val="00D50EB0"/>
    <w:rsid w:val="00D51A12"/>
    <w:rsid w:val="00D539E9"/>
    <w:rsid w:val="00D5541D"/>
    <w:rsid w:val="00D56834"/>
    <w:rsid w:val="00D573AB"/>
    <w:rsid w:val="00D73665"/>
    <w:rsid w:val="00D7485C"/>
    <w:rsid w:val="00D76F1A"/>
    <w:rsid w:val="00D92377"/>
    <w:rsid w:val="00DA4138"/>
    <w:rsid w:val="00DC28CE"/>
    <w:rsid w:val="00DC4EE9"/>
    <w:rsid w:val="00DC7F1B"/>
    <w:rsid w:val="00DD50B2"/>
    <w:rsid w:val="00DD5BEA"/>
    <w:rsid w:val="00DF1094"/>
    <w:rsid w:val="00E02566"/>
    <w:rsid w:val="00E04B0A"/>
    <w:rsid w:val="00E05F51"/>
    <w:rsid w:val="00E06140"/>
    <w:rsid w:val="00E061DA"/>
    <w:rsid w:val="00E15636"/>
    <w:rsid w:val="00E15AAF"/>
    <w:rsid w:val="00E20364"/>
    <w:rsid w:val="00E25BB8"/>
    <w:rsid w:val="00E3066A"/>
    <w:rsid w:val="00E34A9D"/>
    <w:rsid w:val="00E36C8E"/>
    <w:rsid w:val="00E46FE3"/>
    <w:rsid w:val="00E60C15"/>
    <w:rsid w:val="00E776D3"/>
    <w:rsid w:val="00E831F7"/>
    <w:rsid w:val="00E851B7"/>
    <w:rsid w:val="00E97701"/>
    <w:rsid w:val="00EA38D2"/>
    <w:rsid w:val="00EB053E"/>
    <w:rsid w:val="00EB19C1"/>
    <w:rsid w:val="00EB3A42"/>
    <w:rsid w:val="00EB4467"/>
    <w:rsid w:val="00EC3D6D"/>
    <w:rsid w:val="00EC7AB0"/>
    <w:rsid w:val="00ED1D65"/>
    <w:rsid w:val="00EE6C27"/>
    <w:rsid w:val="00EF19FE"/>
    <w:rsid w:val="00EF34BD"/>
    <w:rsid w:val="00EF3741"/>
    <w:rsid w:val="00EF68F1"/>
    <w:rsid w:val="00F1545E"/>
    <w:rsid w:val="00F20D13"/>
    <w:rsid w:val="00F34999"/>
    <w:rsid w:val="00F42ABB"/>
    <w:rsid w:val="00F54DA7"/>
    <w:rsid w:val="00F715F7"/>
    <w:rsid w:val="00F91283"/>
    <w:rsid w:val="00FA75E2"/>
    <w:rsid w:val="00FB41F6"/>
    <w:rsid w:val="00FC2E73"/>
    <w:rsid w:val="00FC2EF5"/>
    <w:rsid w:val="00FC7754"/>
    <w:rsid w:val="00FF0AE6"/>
    <w:rsid w:val="00FF0C19"/>
    <w:rsid w:val="00FF21A1"/>
    <w:rsid w:val="2C7E555C"/>
    <w:rsid w:val="333F7FD5"/>
    <w:rsid w:val="702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27FF5"/>
  <w15:docId w15:val="{F822A920-BA9C-45A9-98ED-739BC038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B57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D1702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8D17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8D1702"/>
    <w:rPr>
      <w:rFonts w:ascii="宋体" w:eastAsia="宋体" w:hAnsi="宋体" w:cs="宋体"/>
      <w:sz w:val="24"/>
      <w:szCs w:val="24"/>
    </w:rPr>
  </w:style>
  <w:style w:type="paragraph" w:styleId="a8">
    <w:name w:val="Revision"/>
    <w:hidden/>
    <w:uiPriority w:val="99"/>
    <w:semiHidden/>
    <w:rsid w:val="00190687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5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7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5527-FC57-47FD-9ACD-1BD25421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3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张园园</dc:creator>
  <cp:lastModifiedBy>汪琪</cp:lastModifiedBy>
  <cp:revision>247</cp:revision>
  <cp:lastPrinted>2023-03-29T07:26:00Z</cp:lastPrinted>
  <dcterms:created xsi:type="dcterms:W3CDTF">2024-01-30T00:23:00Z</dcterms:created>
  <dcterms:modified xsi:type="dcterms:W3CDTF">2024-03-21T05:36:00Z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8ECDA022CAA841048473D2EBD0508557</vt:lpwstr>
  </property>
</Properties>
</file>