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717" w14:textId="1279A9FA" w:rsidR="003D7D21" w:rsidRDefault="00A722AF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840C3">
        <w:rPr>
          <w:rFonts w:ascii="宋体" w:hAnsi="宋体"/>
          <w:bCs/>
          <w:iCs/>
          <w:color w:val="000000"/>
          <w:sz w:val="24"/>
        </w:rPr>
        <w:t>600975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</w:t>
      </w:r>
      <w:r w:rsidR="009840C3">
        <w:rPr>
          <w:rFonts w:ascii="宋体" w:hAnsi="宋体" w:hint="eastAsia"/>
          <w:bCs/>
          <w:iCs/>
          <w:color w:val="000000"/>
          <w:sz w:val="24"/>
        </w:rPr>
        <w:t>新五丰</w:t>
      </w:r>
    </w:p>
    <w:p w14:paraId="5520B3E6" w14:textId="365C7F4D" w:rsidR="003D7D21" w:rsidRDefault="009840C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湖南新五丰股份有限公司</w:t>
      </w:r>
    </w:p>
    <w:p w14:paraId="62A25086" w14:textId="77777777" w:rsidR="003D7D21" w:rsidRDefault="00A722A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7F819F2" w14:textId="5000E28E" w:rsidR="003D7D21" w:rsidRDefault="00A722A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429"/>
      </w:tblGrid>
      <w:tr w:rsidR="003D7D21" w14:paraId="57059CEF" w14:textId="77777777" w:rsidTr="007F6F9C">
        <w:tc>
          <w:tcPr>
            <w:tcW w:w="1867" w:type="dxa"/>
            <w:vAlign w:val="center"/>
          </w:tcPr>
          <w:p w14:paraId="540816A7" w14:textId="77777777" w:rsidR="003D7D21" w:rsidRDefault="00A722A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29" w:type="dxa"/>
          </w:tcPr>
          <w:p w14:paraId="5559F848" w14:textId="77777777" w:rsidR="003D7D21" w:rsidRDefault="00A722AF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14:paraId="7796C668" w14:textId="77777777" w:rsidR="003D7D21" w:rsidRDefault="00A722AF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14:paraId="6E468554" w14:textId="77777777" w:rsidR="003D7D21" w:rsidRDefault="00A722AF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14:paraId="2275E9F8" w14:textId="77777777" w:rsidR="003D7D21" w:rsidRDefault="00A722AF">
            <w:pPr>
              <w:tabs>
                <w:tab w:val="left" w:pos="2690"/>
                <w:tab w:val="center" w:pos="3199"/>
              </w:tabs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现场参观  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电话会议</w:t>
            </w:r>
          </w:p>
          <w:p w14:paraId="209D8BB7" w14:textId="77777777" w:rsidR="003D7D21" w:rsidRDefault="00A722AF">
            <w:pPr>
              <w:tabs>
                <w:tab w:val="center" w:pos="3199"/>
              </w:tabs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D7D21" w14:paraId="145B48EA" w14:textId="77777777" w:rsidTr="007F6F9C">
        <w:trPr>
          <w:trHeight w:val="698"/>
        </w:trPr>
        <w:tc>
          <w:tcPr>
            <w:tcW w:w="1867" w:type="dxa"/>
            <w:vAlign w:val="center"/>
          </w:tcPr>
          <w:p w14:paraId="0D62522C" w14:textId="45A0A2E4" w:rsidR="003D7D21" w:rsidRDefault="00A722A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  <w:r w:rsidR="00A01DBA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429" w:type="dxa"/>
            <w:vAlign w:val="center"/>
          </w:tcPr>
          <w:p w14:paraId="0FF71131" w14:textId="78730D5F" w:rsidR="00C05B0F" w:rsidRDefault="003B4A50" w:rsidP="00C9072C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广发证券钱</w:t>
            </w:r>
            <w:proofErr w:type="gramStart"/>
            <w:r>
              <w:rPr>
                <w:rFonts w:ascii="宋体" w:hAnsi="宋体" w:hint="eastAsia"/>
                <w:sz w:val="24"/>
              </w:rPr>
              <w:t>浩</w:t>
            </w:r>
            <w:proofErr w:type="gramEnd"/>
            <w:r>
              <w:rPr>
                <w:rFonts w:ascii="宋体" w:hAnsi="宋体" w:hint="eastAsia"/>
                <w:sz w:val="24"/>
              </w:rPr>
              <w:t>、中</w:t>
            </w:r>
            <w:proofErr w:type="gramStart"/>
            <w:r>
              <w:rPr>
                <w:rFonts w:ascii="宋体" w:hAnsi="宋体" w:hint="eastAsia"/>
                <w:sz w:val="24"/>
              </w:rPr>
              <w:t>信保诚基金</w:t>
            </w:r>
            <w:proofErr w:type="gramEnd"/>
            <w:r>
              <w:rPr>
                <w:rFonts w:ascii="宋体" w:hAnsi="宋体" w:hint="eastAsia"/>
                <w:sz w:val="24"/>
              </w:rPr>
              <w:t>杨传忻、长江证券高一岑、招商证券施腾、易方达</w:t>
            </w:r>
            <w:proofErr w:type="gramStart"/>
            <w:r>
              <w:rPr>
                <w:rFonts w:ascii="宋体" w:hAnsi="宋体" w:hint="eastAsia"/>
                <w:sz w:val="24"/>
              </w:rPr>
              <w:t>基金刘</w:t>
            </w:r>
            <w:proofErr w:type="gramEnd"/>
            <w:r>
              <w:rPr>
                <w:rFonts w:ascii="宋体" w:hAnsi="宋体" w:hint="eastAsia"/>
                <w:sz w:val="24"/>
              </w:rPr>
              <w:t>沛显、海通证券蔡子慕</w:t>
            </w:r>
          </w:p>
        </w:tc>
      </w:tr>
      <w:tr w:rsidR="003D7D21" w14:paraId="129F5A01" w14:textId="77777777" w:rsidTr="007F6F9C">
        <w:trPr>
          <w:trHeight w:val="621"/>
        </w:trPr>
        <w:tc>
          <w:tcPr>
            <w:tcW w:w="1867" w:type="dxa"/>
            <w:vAlign w:val="center"/>
          </w:tcPr>
          <w:p w14:paraId="0D08F0C2" w14:textId="77777777" w:rsidR="003D7D21" w:rsidRDefault="00A722A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</w:tcPr>
          <w:p w14:paraId="2B08FB59" w14:textId="057A2CF5" w:rsidR="003D7D21" w:rsidRDefault="00A722A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3B4A50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B4A5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B4A50">
              <w:rPr>
                <w:rFonts w:ascii="宋体" w:hAnsi="宋体" w:hint="eastAsia"/>
                <w:bCs/>
                <w:iCs/>
                <w:color w:val="000000"/>
                <w:sz w:val="24"/>
              </w:rPr>
              <w:t>21日-2024年3月14日</w:t>
            </w:r>
          </w:p>
        </w:tc>
      </w:tr>
      <w:tr w:rsidR="003D7D21" w14:paraId="5356D978" w14:textId="77777777" w:rsidTr="007F6F9C">
        <w:trPr>
          <w:trHeight w:val="551"/>
        </w:trPr>
        <w:tc>
          <w:tcPr>
            <w:tcW w:w="1867" w:type="dxa"/>
            <w:vAlign w:val="center"/>
          </w:tcPr>
          <w:p w14:paraId="064C9595" w14:textId="77777777" w:rsidR="003D7D21" w:rsidRDefault="00A722A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  <w:vAlign w:val="center"/>
          </w:tcPr>
          <w:p w14:paraId="431337F7" w14:textId="77777777" w:rsidR="003D7D21" w:rsidRDefault="00A722A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3D7D21" w14:paraId="7627F451" w14:textId="77777777" w:rsidTr="007F6F9C">
        <w:tc>
          <w:tcPr>
            <w:tcW w:w="1867" w:type="dxa"/>
            <w:vAlign w:val="center"/>
          </w:tcPr>
          <w:p w14:paraId="45E1A929" w14:textId="77777777" w:rsidR="003D7D21" w:rsidRDefault="00A722AF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7D235831" w14:textId="77777777" w:rsidR="003D7D21" w:rsidRDefault="00A722AF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429" w:type="dxa"/>
            <w:vAlign w:val="center"/>
          </w:tcPr>
          <w:p w14:paraId="67BFFB5B" w14:textId="77777777" w:rsidR="003D7D21" w:rsidRDefault="00A722AF">
            <w:pPr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FE212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 w:rsidR="009840C3">
              <w:rPr>
                <w:rFonts w:ascii="宋体" w:hAnsi="宋体" w:hint="eastAsia"/>
                <w:bCs/>
                <w:iCs/>
                <w:color w:val="000000"/>
                <w:sz w:val="24"/>
              </w:rPr>
              <w:t>罗雁飞</w:t>
            </w:r>
            <w:proofErr w:type="gramEnd"/>
          </w:p>
          <w:p w14:paraId="4FFB48E2" w14:textId="4407A1A4" w:rsidR="00F10456" w:rsidRDefault="00F10456">
            <w:pPr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解李貌</w:t>
            </w:r>
            <w:proofErr w:type="gramEnd"/>
          </w:p>
        </w:tc>
      </w:tr>
      <w:tr w:rsidR="003D7D21" w14:paraId="717750C1" w14:textId="77777777" w:rsidTr="007F6F9C">
        <w:tc>
          <w:tcPr>
            <w:tcW w:w="1867" w:type="dxa"/>
            <w:vAlign w:val="center"/>
          </w:tcPr>
          <w:p w14:paraId="75D4CF0B" w14:textId="77777777" w:rsidR="003D7D21" w:rsidRDefault="00A722A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0017D083" w14:textId="77777777" w:rsidR="003D7D21" w:rsidRDefault="003D7D2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14:paraId="50223347" w14:textId="295F1D79" w:rsidR="00C3440D" w:rsidRPr="00A722AF" w:rsidRDefault="00C3440D" w:rsidP="00A722AF">
            <w:pPr>
              <w:pStyle w:val="005"/>
              <w:spacing w:before="156"/>
              <w:ind w:firstLine="480"/>
              <w:contextualSpacing/>
              <w:rPr>
                <w:rFonts w:asciiTheme="minorEastAsia" w:eastAsiaTheme="minorEastAsia" w:hAnsiTheme="minorEastAsia" w:cs="宋体"/>
                <w:szCs w:val="24"/>
              </w:rPr>
            </w:pPr>
            <w:r w:rsidRPr="00A722AF">
              <w:rPr>
                <w:rFonts w:asciiTheme="minorEastAsia" w:eastAsiaTheme="minorEastAsia" w:hAnsiTheme="minorEastAsia" w:cs="宋体" w:hint="eastAsia"/>
                <w:szCs w:val="24"/>
              </w:rPr>
              <w:t>公司在遵守信息披露相关规定的前提下，就</w:t>
            </w:r>
            <w:r w:rsidR="00D83A9E" w:rsidRPr="00A722AF">
              <w:rPr>
                <w:rFonts w:asciiTheme="minorEastAsia" w:eastAsiaTheme="minorEastAsia" w:hAnsiTheme="minorEastAsia" w:cs="宋体" w:hint="eastAsia"/>
                <w:szCs w:val="24"/>
              </w:rPr>
              <w:t>产能规划、</w:t>
            </w:r>
            <w:proofErr w:type="gramStart"/>
            <w:r w:rsidR="00D83A9E" w:rsidRPr="00A722AF">
              <w:rPr>
                <w:rFonts w:asciiTheme="minorEastAsia" w:eastAsiaTheme="minorEastAsia" w:hAnsiTheme="minorEastAsia" w:cs="宋体" w:hint="eastAsia"/>
                <w:szCs w:val="24"/>
              </w:rPr>
              <w:t>能繁母猪</w:t>
            </w:r>
            <w:proofErr w:type="gramEnd"/>
            <w:r w:rsidR="00D83A9E" w:rsidRPr="00A722AF">
              <w:rPr>
                <w:rFonts w:asciiTheme="minorEastAsia" w:eastAsiaTheme="minorEastAsia" w:hAnsiTheme="minorEastAsia" w:cs="宋体" w:hint="eastAsia"/>
                <w:szCs w:val="24"/>
              </w:rPr>
              <w:t>存栏、资金情况、成本目标、屠宰业务情况</w:t>
            </w:r>
            <w:r w:rsidRPr="00A722AF">
              <w:rPr>
                <w:rFonts w:asciiTheme="minorEastAsia" w:eastAsiaTheme="minorEastAsia" w:hAnsiTheme="minorEastAsia" w:cs="宋体" w:hint="eastAsia"/>
                <w:szCs w:val="24"/>
              </w:rPr>
              <w:t>等内容进行了沟通交流。</w:t>
            </w:r>
          </w:p>
          <w:p w14:paraId="7C0387B8" w14:textId="77777777" w:rsidR="00FF7F88" w:rsidRPr="00A722AF" w:rsidRDefault="00FF7F88" w:rsidP="00A722AF">
            <w:pPr>
              <w:pStyle w:val="005"/>
              <w:spacing w:before="156"/>
              <w:ind w:firstLine="480"/>
              <w:contextualSpacing/>
              <w:rPr>
                <w:rFonts w:asciiTheme="minorEastAsia" w:eastAsiaTheme="minorEastAsia" w:hAnsiTheme="minorEastAsia" w:cs="宋体"/>
                <w:szCs w:val="24"/>
              </w:rPr>
            </w:pPr>
          </w:p>
          <w:p w14:paraId="243C206A" w14:textId="77777777" w:rsidR="006E1401" w:rsidRPr="00A722AF" w:rsidRDefault="00A722AF" w:rsidP="00A722AF">
            <w:pPr>
              <w:pStyle w:val="005"/>
              <w:spacing w:before="156"/>
              <w:ind w:firstLine="482"/>
              <w:contextualSpacing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互动交流环节</w:t>
            </w:r>
          </w:p>
          <w:p w14:paraId="555F036B" w14:textId="3F5325B2" w:rsidR="00E37F60" w:rsidRPr="00A722AF" w:rsidRDefault="006E1401" w:rsidP="00A722AF">
            <w:pPr>
              <w:pStyle w:val="005"/>
              <w:spacing w:before="156"/>
              <w:ind w:firstLine="482"/>
              <w:contextualSpacing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一、</w:t>
            </w:r>
            <w:r w:rsidR="00842FB7"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公司2024年</w:t>
            </w:r>
            <w:r w:rsidR="00093973"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产能</w:t>
            </w:r>
            <w:r w:rsidR="00842FB7"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规划</w:t>
            </w:r>
            <w:r w:rsidR="00E37F60" w:rsidRPr="00A722A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？</w:t>
            </w:r>
          </w:p>
          <w:p w14:paraId="73EC90E6" w14:textId="7F69BAC1" w:rsidR="00B425B1" w:rsidRPr="00A722AF" w:rsidRDefault="00430423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租赁养猪场是公司扩大养殖规模的重要途径，根据公司发展需要，</w:t>
            </w:r>
            <w:r w:rsidR="00545027" w:rsidRPr="00A722AF">
              <w:rPr>
                <w:rFonts w:asciiTheme="minorEastAsia" w:hAnsiTheme="minorEastAsia" w:cs="宋体" w:hint="eastAsia"/>
                <w:sz w:val="24"/>
                <w:szCs w:val="24"/>
              </w:rPr>
              <w:t>租赁猪场</w:t>
            </w:r>
            <w:r w:rsidR="00401E78" w:rsidRPr="00A722AF">
              <w:rPr>
                <w:rFonts w:asciiTheme="minorEastAsia" w:hAnsiTheme="minorEastAsia" w:cs="宋体" w:hint="eastAsia"/>
                <w:sz w:val="24"/>
                <w:szCs w:val="24"/>
              </w:rPr>
              <w:t>的</w:t>
            </w:r>
            <w:r w:rsidR="00545027" w:rsidRPr="00A722AF">
              <w:rPr>
                <w:rFonts w:asciiTheme="minorEastAsia" w:hAnsiTheme="minorEastAsia" w:cs="宋体" w:hint="eastAsia"/>
                <w:sz w:val="24"/>
                <w:szCs w:val="24"/>
              </w:rPr>
              <w:t>产能</w:t>
            </w:r>
            <w:r w:rsidR="00401E78" w:rsidRPr="00A722AF">
              <w:rPr>
                <w:rFonts w:asciiTheme="minorEastAsia" w:hAnsiTheme="minorEastAsia" w:cs="宋体" w:hint="eastAsia"/>
                <w:sz w:val="24"/>
                <w:szCs w:val="24"/>
              </w:rPr>
              <w:t>情况，公司会</w:t>
            </w:r>
            <w:r w:rsidR="00545027" w:rsidRPr="00A722AF">
              <w:rPr>
                <w:rFonts w:asciiTheme="minorEastAsia" w:hAnsiTheme="minorEastAsia" w:cs="宋体" w:hint="eastAsia"/>
                <w:sz w:val="24"/>
                <w:szCs w:val="24"/>
              </w:rPr>
              <w:t>提前</w:t>
            </w:r>
            <w:r w:rsidR="00401E78" w:rsidRPr="00A722AF">
              <w:rPr>
                <w:rFonts w:asciiTheme="minorEastAsia" w:hAnsiTheme="minorEastAsia" w:cs="宋体" w:hint="eastAsia"/>
                <w:sz w:val="24"/>
                <w:szCs w:val="24"/>
              </w:rPr>
              <w:t>与出租方</w:t>
            </w:r>
            <w:r w:rsidR="005F206A" w:rsidRPr="00A722AF">
              <w:rPr>
                <w:rFonts w:asciiTheme="minorEastAsia" w:hAnsiTheme="minorEastAsia" w:cs="宋体" w:hint="eastAsia"/>
                <w:sz w:val="24"/>
                <w:szCs w:val="24"/>
              </w:rPr>
              <w:t>进行</w:t>
            </w:r>
            <w:r w:rsidR="00401E78" w:rsidRPr="00A722AF">
              <w:rPr>
                <w:rFonts w:asciiTheme="minorEastAsia" w:hAnsiTheme="minorEastAsia" w:cs="宋体" w:hint="eastAsia"/>
                <w:sz w:val="24"/>
                <w:szCs w:val="24"/>
              </w:rPr>
              <w:t>签约，未来</w:t>
            </w:r>
            <w:r w:rsidR="00944341" w:rsidRPr="00A722AF">
              <w:rPr>
                <w:rFonts w:asciiTheme="minorEastAsia" w:hAnsiTheme="minorEastAsia" w:cs="宋体" w:hint="eastAsia"/>
                <w:sz w:val="24"/>
                <w:szCs w:val="24"/>
              </w:rPr>
              <w:t>一段时间</w:t>
            </w:r>
            <w:r w:rsidR="00A840ED">
              <w:rPr>
                <w:rFonts w:asciiTheme="minorEastAsia" w:hAnsiTheme="minorEastAsia" w:cs="宋体" w:hint="eastAsia"/>
                <w:sz w:val="24"/>
                <w:szCs w:val="24"/>
              </w:rPr>
              <w:t>依然会有新增猪场交付</w:t>
            </w:r>
            <w:r w:rsidR="00944341" w:rsidRPr="00A722AF">
              <w:rPr>
                <w:rFonts w:asciiTheme="minorEastAsia" w:hAnsiTheme="minorEastAsia" w:cs="宋体" w:hint="eastAsia"/>
                <w:sz w:val="24"/>
                <w:szCs w:val="24"/>
              </w:rPr>
              <w:t>，</w:t>
            </w:r>
            <w:r w:rsidR="008162B1" w:rsidRPr="00A722AF">
              <w:rPr>
                <w:rFonts w:asciiTheme="minorEastAsia" w:hAnsiTheme="minorEastAsia" w:cs="宋体" w:hint="eastAsia"/>
                <w:sz w:val="24"/>
                <w:szCs w:val="24"/>
              </w:rPr>
              <w:t>关于</w:t>
            </w: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2024年产能</w:t>
            </w:r>
            <w:r w:rsidR="00944341" w:rsidRPr="00A722AF">
              <w:rPr>
                <w:rFonts w:asciiTheme="minorEastAsia" w:hAnsiTheme="minorEastAsia" w:cs="宋体" w:hint="eastAsia"/>
                <w:sz w:val="24"/>
                <w:szCs w:val="24"/>
              </w:rPr>
              <w:t>情况会在</w:t>
            </w: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年报中披露。</w:t>
            </w:r>
          </w:p>
          <w:p w14:paraId="3758EE49" w14:textId="77777777" w:rsidR="00842FB7" w:rsidRPr="00A722AF" w:rsidRDefault="00842FB7" w:rsidP="00A722AF">
            <w:pPr>
              <w:spacing w:line="360" w:lineRule="auto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5FF6D8B1" w14:textId="77777777" w:rsidR="00F13B7D" w:rsidRPr="00A722AF" w:rsidRDefault="00E37F60" w:rsidP="00A722AF">
            <w:pPr>
              <w:spacing w:line="360" w:lineRule="auto"/>
              <w:ind w:firstLineChars="200" w:firstLine="482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二、</w:t>
            </w:r>
            <w:proofErr w:type="gramStart"/>
            <w:r w:rsidR="00F13B7D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公司能繁母猪</w:t>
            </w:r>
            <w:proofErr w:type="gramEnd"/>
            <w:r w:rsidR="00F13B7D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存栏情况？</w:t>
            </w:r>
          </w:p>
          <w:p w14:paraId="1BE3F3F1" w14:textId="77777777" w:rsidR="00F13B7D" w:rsidRPr="00A722AF" w:rsidRDefault="00F13B7D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截至2</w:t>
            </w:r>
            <w:r w:rsidRPr="00A722AF">
              <w:rPr>
                <w:rFonts w:asciiTheme="minorEastAsia" w:hAnsiTheme="minorEastAsia" w:cs="宋体"/>
                <w:sz w:val="24"/>
                <w:szCs w:val="24"/>
              </w:rPr>
              <w:t>023</w:t>
            </w: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年6月末，公司种畜存栏数量为27.4万头，</w:t>
            </w:r>
            <w:proofErr w:type="gramStart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其中能繁母猪</w:t>
            </w:r>
            <w:proofErr w:type="gramEnd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存栏数量为19.8万头，关于2</w:t>
            </w:r>
            <w:r w:rsidRPr="00A722AF">
              <w:rPr>
                <w:rFonts w:asciiTheme="minorEastAsia" w:hAnsiTheme="minorEastAsia" w:cs="宋体"/>
                <w:sz w:val="24"/>
                <w:szCs w:val="24"/>
              </w:rPr>
              <w:t>023</w:t>
            </w: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年末</w:t>
            </w:r>
            <w:proofErr w:type="gramStart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的能繁母猪</w:t>
            </w:r>
            <w:proofErr w:type="gramEnd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存栏情况，公司将在年度报告中予以披露。</w:t>
            </w:r>
          </w:p>
          <w:p w14:paraId="01613E1D" w14:textId="77777777" w:rsidR="005E21B6" w:rsidRPr="00A722AF" w:rsidRDefault="005E21B6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13D3078E" w14:textId="77777777" w:rsidR="005E21B6" w:rsidRPr="00A722AF" w:rsidRDefault="005E21B6" w:rsidP="00A722AF">
            <w:pPr>
              <w:spacing w:line="360" w:lineRule="auto"/>
              <w:ind w:firstLineChars="200" w:firstLine="482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三、2024年养殖成本目标？</w:t>
            </w:r>
          </w:p>
          <w:p w14:paraId="21D598C2" w14:textId="097D9629" w:rsidR="005E21B6" w:rsidRPr="00A722AF" w:rsidRDefault="005E21B6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公司通过提升猪场建设标准、加大技术创新投入、加强团队建设和绩效考核、集中采购、品种更新等举措提升生产效率，持续推进生猪养殖成本下降。</w:t>
            </w:r>
          </w:p>
          <w:p w14:paraId="1A521538" w14:textId="77777777" w:rsidR="005E21B6" w:rsidRPr="00A722AF" w:rsidRDefault="005E21B6" w:rsidP="00A722AF">
            <w:pPr>
              <w:spacing w:line="360" w:lineRule="auto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6634C82D" w14:textId="758E094C" w:rsidR="000B5552" w:rsidRPr="00A722AF" w:rsidRDefault="005E21B6" w:rsidP="00A722AF">
            <w:pPr>
              <w:spacing w:line="360" w:lineRule="auto"/>
              <w:ind w:firstLineChars="200" w:firstLine="482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四、公司未来融资方式？</w:t>
            </w:r>
          </w:p>
          <w:p w14:paraId="22F32061" w14:textId="7FE3BD03" w:rsidR="00FE0CA8" w:rsidRDefault="00FE0CA8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FE0CA8">
              <w:rPr>
                <w:rFonts w:asciiTheme="minorEastAsia" w:hAnsiTheme="minorEastAsia" w:cs="宋体" w:hint="eastAsia"/>
                <w:sz w:val="24"/>
                <w:szCs w:val="24"/>
              </w:rPr>
              <w:t>公司除自有一定量的货币资金外，还可通过直接融资手段满足公司发展所需资金，继2021年10月完成10.2999亿元募集资金后，2023年6月20日，公司通过定向增发募资15.5亿元；公司也可通过间接融资手段获得发展所需资金。</w:t>
            </w:r>
          </w:p>
          <w:p w14:paraId="7B0C7618" w14:textId="77777777" w:rsidR="00FE0CA8" w:rsidRPr="00A722AF" w:rsidRDefault="00FE0CA8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5A44C39A" w14:textId="5F6DAC61" w:rsidR="004E7996" w:rsidRPr="00A722AF" w:rsidRDefault="005E21B6" w:rsidP="00A722AF">
            <w:pPr>
              <w:spacing w:line="360" w:lineRule="auto"/>
              <w:ind w:firstLine="480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五</w:t>
            </w:r>
            <w:r w:rsidR="005D3B5F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、</w:t>
            </w:r>
            <w:r w:rsidR="009F77A3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公司处于快速发展阶段，</w:t>
            </w:r>
            <w:r w:rsidR="004E7996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采用什么措施保障人才队伍与养殖业务的匹配？</w:t>
            </w:r>
          </w:p>
          <w:p w14:paraId="01B85D42" w14:textId="43C7924F" w:rsidR="00A457AF" w:rsidRPr="00A722AF" w:rsidRDefault="009F77A3" w:rsidP="00A722AF">
            <w:pPr>
              <w:spacing w:line="360" w:lineRule="auto"/>
              <w:ind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为适应因公司高质量产能扩张带来的人才需求，公司进行积极有效部署，通过</w:t>
            </w:r>
            <w:proofErr w:type="gramStart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扩大校招范围</w:t>
            </w:r>
            <w:proofErr w:type="gramEnd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、员工带培、场长互助、总部对联、专项培训等模式做好人才储备和梯队建设，平稳度过生产经营的关键节点。</w:t>
            </w:r>
          </w:p>
          <w:p w14:paraId="42F3FCEE" w14:textId="42EBD285" w:rsidR="005E21B6" w:rsidRPr="00A722AF" w:rsidRDefault="009703B0" w:rsidP="00A722AF">
            <w:pPr>
              <w:spacing w:line="360" w:lineRule="auto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</w:t>
            </w:r>
          </w:p>
          <w:p w14:paraId="79C76A92" w14:textId="77777777" w:rsidR="005A011B" w:rsidRPr="00A722AF" w:rsidRDefault="005E21B6" w:rsidP="00A722AF">
            <w:pPr>
              <w:spacing w:line="360" w:lineRule="auto"/>
              <w:ind w:firstLineChars="200" w:firstLine="482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六、</w:t>
            </w:r>
            <w:r w:rsidR="005A011B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公司屠宰业务板块规划？</w:t>
            </w:r>
          </w:p>
          <w:p w14:paraId="72505D9E" w14:textId="77777777" w:rsidR="005A011B" w:rsidRPr="00A722AF" w:rsidRDefault="005A011B" w:rsidP="00A722AF">
            <w:pPr>
              <w:spacing w:line="360" w:lineRule="auto"/>
              <w:ind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公司生猪屠宰板块湖南</w:t>
            </w:r>
            <w:proofErr w:type="gramStart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长株潭广</w:t>
            </w:r>
            <w:proofErr w:type="gramEnd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联生猪交易市场有限公司拥有每年单班70万头的生猪屠宰加工能力，在建</w:t>
            </w:r>
            <w:proofErr w:type="gramStart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宁远舜新屠宰</w:t>
            </w:r>
            <w:proofErr w:type="gramEnd"/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t>冷链配送项目，预计新增屠宰产能50万头/年；在建郴州市苏仙区城北屠宰场项目，预计新增屠宰产能85万头/年。</w:t>
            </w:r>
          </w:p>
          <w:p w14:paraId="682EF1A6" w14:textId="10247CE6" w:rsidR="005E21B6" w:rsidRPr="00A722AF" w:rsidRDefault="005E21B6" w:rsidP="00A722AF">
            <w:pPr>
              <w:spacing w:line="360" w:lineRule="auto"/>
              <w:ind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1C08FC7A" w14:textId="20A95C99" w:rsidR="000A640B" w:rsidRPr="00A722AF" w:rsidRDefault="0062656D" w:rsidP="00A722AF">
            <w:pPr>
              <w:spacing w:line="360" w:lineRule="auto"/>
              <w:ind w:firstLineChars="200" w:firstLine="482"/>
              <w:contextualSpacing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七</w:t>
            </w:r>
            <w:r w:rsidR="00054A87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、</w:t>
            </w:r>
            <w:r w:rsidR="002C3089" w:rsidRPr="00A722AF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从饲料外销情况看，是否感受市场产能变化？</w:t>
            </w:r>
          </w:p>
          <w:p w14:paraId="3E81C8A4" w14:textId="1038009C" w:rsidR="002C3089" w:rsidRPr="00A722AF" w:rsidRDefault="002C3089" w:rsidP="00A722AF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  <w:r w:rsidRPr="00A722AF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公司饲料业务主要服务于公司生猪养殖，对外销售量小</w:t>
            </w:r>
            <w:r w:rsidR="00A840ED">
              <w:rPr>
                <w:rFonts w:asciiTheme="minorEastAsia" w:hAnsiTheme="minorEastAsia" w:cs="宋体" w:hint="eastAsia"/>
                <w:sz w:val="24"/>
                <w:szCs w:val="24"/>
              </w:rPr>
              <w:t>。</w:t>
            </w:r>
          </w:p>
          <w:p w14:paraId="0EA8815C" w14:textId="0C4CCFAA" w:rsidR="005A011B" w:rsidRPr="00A722AF" w:rsidRDefault="005A011B" w:rsidP="00A722AF">
            <w:pPr>
              <w:spacing w:line="360" w:lineRule="auto"/>
              <w:ind w:firstLineChars="200" w:firstLine="480"/>
              <w:contextualSpacing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D7D21" w14:paraId="19F1745C" w14:textId="77777777" w:rsidTr="007F6F9C">
        <w:tc>
          <w:tcPr>
            <w:tcW w:w="1867" w:type="dxa"/>
            <w:vAlign w:val="center"/>
          </w:tcPr>
          <w:p w14:paraId="0961EE02" w14:textId="77777777" w:rsidR="003D7D21" w:rsidRDefault="00A722A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 xml:space="preserve">附件清单（如有） </w:t>
            </w:r>
          </w:p>
        </w:tc>
        <w:tc>
          <w:tcPr>
            <w:tcW w:w="6429" w:type="dxa"/>
            <w:vAlign w:val="center"/>
          </w:tcPr>
          <w:p w14:paraId="0CF479CD" w14:textId="77777777" w:rsidR="003D7D21" w:rsidRDefault="00A722A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4275334E" w14:textId="77777777" w:rsidR="004E04A7" w:rsidRDefault="004E04A7" w:rsidP="00A40EAE">
      <w:pPr>
        <w:widowControl/>
        <w:jc w:val="left"/>
        <w:rPr>
          <w:rFonts w:hint="eastAsia"/>
        </w:rPr>
      </w:pPr>
    </w:p>
    <w:sectPr w:rsidR="004E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CED3" w14:textId="77777777" w:rsidR="00176CB1" w:rsidRDefault="00176CB1" w:rsidP="00AC2A24">
      <w:r>
        <w:separator/>
      </w:r>
    </w:p>
  </w:endnote>
  <w:endnote w:type="continuationSeparator" w:id="0">
    <w:p w14:paraId="5EE67AA1" w14:textId="77777777" w:rsidR="00176CB1" w:rsidRDefault="00176CB1" w:rsidP="00A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3405" w14:textId="77777777" w:rsidR="00176CB1" w:rsidRDefault="00176CB1" w:rsidP="00AC2A24">
      <w:r>
        <w:separator/>
      </w:r>
    </w:p>
  </w:footnote>
  <w:footnote w:type="continuationSeparator" w:id="0">
    <w:p w14:paraId="07C0EA2F" w14:textId="77777777" w:rsidR="00176CB1" w:rsidRDefault="00176CB1" w:rsidP="00A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206A4F"/>
    <w:multiLevelType w:val="multilevel"/>
    <w:tmpl w:val="B8206A4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220DAE"/>
    <w:multiLevelType w:val="hybridMultilevel"/>
    <w:tmpl w:val="3FD4066E"/>
    <w:lvl w:ilvl="0" w:tplc="B8AAC0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2" w15:restartNumberingAfterBreak="0">
    <w:nsid w:val="2BFC1DD3"/>
    <w:multiLevelType w:val="hybridMultilevel"/>
    <w:tmpl w:val="6CFCA2F6"/>
    <w:lvl w:ilvl="0" w:tplc="593CDB88">
      <w:start w:val="1"/>
      <w:numFmt w:val="japaneseCounting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032338526">
    <w:abstractNumId w:val="0"/>
  </w:num>
  <w:num w:numId="2" w16cid:durableId="573272479">
    <w:abstractNumId w:val="2"/>
  </w:num>
  <w:num w:numId="3" w16cid:durableId="161771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mZDcyY2E1ZTRjNmRjMjlmOTkwMjVkOTJkODljZmQifQ=="/>
  </w:docVars>
  <w:rsids>
    <w:rsidRoot w:val="00907AA5"/>
    <w:rsid w:val="00001DBC"/>
    <w:rsid w:val="00010AFC"/>
    <w:rsid w:val="000178C2"/>
    <w:rsid w:val="00026CA5"/>
    <w:rsid w:val="000350B8"/>
    <w:rsid w:val="00035D2C"/>
    <w:rsid w:val="000404C0"/>
    <w:rsid w:val="00043053"/>
    <w:rsid w:val="00045003"/>
    <w:rsid w:val="00047F70"/>
    <w:rsid w:val="000507E0"/>
    <w:rsid w:val="00053650"/>
    <w:rsid w:val="00054467"/>
    <w:rsid w:val="00054A87"/>
    <w:rsid w:val="00062355"/>
    <w:rsid w:val="0006573D"/>
    <w:rsid w:val="00067D6F"/>
    <w:rsid w:val="00070D6C"/>
    <w:rsid w:val="00070F77"/>
    <w:rsid w:val="00081366"/>
    <w:rsid w:val="00093973"/>
    <w:rsid w:val="000969EB"/>
    <w:rsid w:val="000976CB"/>
    <w:rsid w:val="000A1D65"/>
    <w:rsid w:val="000A640B"/>
    <w:rsid w:val="000B335E"/>
    <w:rsid w:val="000B3C41"/>
    <w:rsid w:val="000B44C2"/>
    <w:rsid w:val="000B5552"/>
    <w:rsid w:val="000B7FAD"/>
    <w:rsid w:val="000C0A51"/>
    <w:rsid w:val="000D28F0"/>
    <w:rsid w:val="000D33F6"/>
    <w:rsid w:val="000D7E14"/>
    <w:rsid w:val="000E4B16"/>
    <w:rsid w:val="000E6510"/>
    <w:rsid w:val="000F4D5F"/>
    <w:rsid w:val="00103A33"/>
    <w:rsid w:val="001049B8"/>
    <w:rsid w:val="001057DB"/>
    <w:rsid w:val="00107087"/>
    <w:rsid w:val="00110038"/>
    <w:rsid w:val="001117A5"/>
    <w:rsid w:val="001124EC"/>
    <w:rsid w:val="00112B54"/>
    <w:rsid w:val="00114EEE"/>
    <w:rsid w:val="00124C9C"/>
    <w:rsid w:val="0012603F"/>
    <w:rsid w:val="00131EAA"/>
    <w:rsid w:val="00131F47"/>
    <w:rsid w:val="0013326E"/>
    <w:rsid w:val="00146C40"/>
    <w:rsid w:val="00153D01"/>
    <w:rsid w:val="00155505"/>
    <w:rsid w:val="00155A4B"/>
    <w:rsid w:val="0016141B"/>
    <w:rsid w:val="0016246C"/>
    <w:rsid w:val="0016659B"/>
    <w:rsid w:val="00170B74"/>
    <w:rsid w:val="00173832"/>
    <w:rsid w:val="00176CB1"/>
    <w:rsid w:val="001771D1"/>
    <w:rsid w:val="0018172F"/>
    <w:rsid w:val="00183A46"/>
    <w:rsid w:val="001871D6"/>
    <w:rsid w:val="00192422"/>
    <w:rsid w:val="001940DF"/>
    <w:rsid w:val="001A1C7D"/>
    <w:rsid w:val="001B2369"/>
    <w:rsid w:val="001B462F"/>
    <w:rsid w:val="001C1FFD"/>
    <w:rsid w:val="001C6D89"/>
    <w:rsid w:val="001D1897"/>
    <w:rsid w:val="001E59C2"/>
    <w:rsid w:val="001F2FDC"/>
    <w:rsid w:val="001F30E7"/>
    <w:rsid w:val="001F609F"/>
    <w:rsid w:val="001F6A53"/>
    <w:rsid w:val="00212EFB"/>
    <w:rsid w:val="002136FA"/>
    <w:rsid w:val="0022172F"/>
    <w:rsid w:val="00223DB2"/>
    <w:rsid w:val="00230EE5"/>
    <w:rsid w:val="00232C07"/>
    <w:rsid w:val="0023557C"/>
    <w:rsid w:val="0024568A"/>
    <w:rsid w:val="0024674B"/>
    <w:rsid w:val="0024725C"/>
    <w:rsid w:val="0025174B"/>
    <w:rsid w:val="00255825"/>
    <w:rsid w:val="00256875"/>
    <w:rsid w:val="00257EE7"/>
    <w:rsid w:val="0026041A"/>
    <w:rsid w:val="00262912"/>
    <w:rsid w:val="002660F3"/>
    <w:rsid w:val="00266D1B"/>
    <w:rsid w:val="00270394"/>
    <w:rsid w:val="00275DCA"/>
    <w:rsid w:val="00282B44"/>
    <w:rsid w:val="00284700"/>
    <w:rsid w:val="00293EC7"/>
    <w:rsid w:val="002955A4"/>
    <w:rsid w:val="00296547"/>
    <w:rsid w:val="002A1899"/>
    <w:rsid w:val="002A41E8"/>
    <w:rsid w:val="002A4B9A"/>
    <w:rsid w:val="002A56BD"/>
    <w:rsid w:val="002B1F33"/>
    <w:rsid w:val="002C08C9"/>
    <w:rsid w:val="002C1A01"/>
    <w:rsid w:val="002C1E89"/>
    <w:rsid w:val="002C21E3"/>
    <w:rsid w:val="002C3089"/>
    <w:rsid w:val="002C325E"/>
    <w:rsid w:val="002D0174"/>
    <w:rsid w:val="002D107D"/>
    <w:rsid w:val="002D2677"/>
    <w:rsid w:val="002D2EFA"/>
    <w:rsid w:val="002F485B"/>
    <w:rsid w:val="002F6572"/>
    <w:rsid w:val="003039FA"/>
    <w:rsid w:val="00316A57"/>
    <w:rsid w:val="00317498"/>
    <w:rsid w:val="00320313"/>
    <w:rsid w:val="0033305C"/>
    <w:rsid w:val="003337A9"/>
    <w:rsid w:val="003358F7"/>
    <w:rsid w:val="00343DF1"/>
    <w:rsid w:val="003509AD"/>
    <w:rsid w:val="00351CF5"/>
    <w:rsid w:val="00353F59"/>
    <w:rsid w:val="00364B1F"/>
    <w:rsid w:val="00370094"/>
    <w:rsid w:val="00371FB5"/>
    <w:rsid w:val="00375223"/>
    <w:rsid w:val="0037673B"/>
    <w:rsid w:val="00383F8C"/>
    <w:rsid w:val="00394665"/>
    <w:rsid w:val="00397ABA"/>
    <w:rsid w:val="003A1FD8"/>
    <w:rsid w:val="003A2691"/>
    <w:rsid w:val="003A624B"/>
    <w:rsid w:val="003A7529"/>
    <w:rsid w:val="003B1531"/>
    <w:rsid w:val="003B4A50"/>
    <w:rsid w:val="003B4E38"/>
    <w:rsid w:val="003B5E64"/>
    <w:rsid w:val="003C3AAA"/>
    <w:rsid w:val="003D468B"/>
    <w:rsid w:val="003D7149"/>
    <w:rsid w:val="003D7D21"/>
    <w:rsid w:val="003E002A"/>
    <w:rsid w:val="003E214F"/>
    <w:rsid w:val="003E3A99"/>
    <w:rsid w:val="003E7286"/>
    <w:rsid w:val="00400BEE"/>
    <w:rsid w:val="00401E78"/>
    <w:rsid w:val="0040696B"/>
    <w:rsid w:val="0041221E"/>
    <w:rsid w:val="004148EA"/>
    <w:rsid w:val="00414A64"/>
    <w:rsid w:val="00416B04"/>
    <w:rsid w:val="004273E0"/>
    <w:rsid w:val="00430423"/>
    <w:rsid w:val="004308D9"/>
    <w:rsid w:val="004341F0"/>
    <w:rsid w:val="00440384"/>
    <w:rsid w:val="0044113D"/>
    <w:rsid w:val="004424B9"/>
    <w:rsid w:val="00443C87"/>
    <w:rsid w:val="00444C44"/>
    <w:rsid w:val="00446E34"/>
    <w:rsid w:val="0045090E"/>
    <w:rsid w:val="00452CDD"/>
    <w:rsid w:val="00453980"/>
    <w:rsid w:val="00456F4C"/>
    <w:rsid w:val="004624D1"/>
    <w:rsid w:val="0047362C"/>
    <w:rsid w:val="00473824"/>
    <w:rsid w:val="00473C06"/>
    <w:rsid w:val="00474C82"/>
    <w:rsid w:val="00476D2C"/>
    <w:rsid w:val="00491C97"/>
    <w:rsid w:val="00494439"/>
    <w:rsid w:val="004A4250"/>
    <w:rsid w:val="004A48F7"/>
    <w:rsid w:val="004A6324"/>
    <w:rsid w:val="004A6537"/>
    <w:rsid w:val="004A7694"/>
    <w:rsid w:val="004C0C6E"/>
    <w:rsid w:val="004C2B2D"/>
    <w:rsid w:val="004D209E"/>
    <w:rsid w:val="004D3744"/>
    <w:rsid w:val="004D721C"/>
    <w:rsid w:val="004E04A7"/>
    <w:rsid w:val="004E18E4"/>
    <w:rsid w:val="004E3A66"/>
    <w:rsid w:val="004E7996"/>
    <w:rsid w:val="004F34E5"/>
    <w:rsid w:val="004F4C0D"/>
    <w:rsid w:val="004F56BA"/>
    <w:rsid w:val="00502FD6"/>
    <w:rsid w:val="00504DC2"/>
    <w:rsid w:val="00506587"/>
    <w:rsid w:val="00511EFF"/>
    <w:rsid w:val="00513944"/>
    <w:rsid w:val="00513FDB"/>
    <w:rsid w:val="005142A0"/>
    <w:rsid w:val="00514E99"/>
    <w:rsid w:val="00515558"/>
    <w:rsid w:val="00516A69"/>
    <w:rsid w:val="00521F29"/>
    <w:rsid w:val="00523492"/>
    <w:rsid w:val="00531422"/>
    <w:rsid w:val="00545027"/>
    <w:rsid w:val="005452C5"/>
    <w:rsid w:val="005457B4"/>
    <w:rsid w:val="00547A95"/>
    <w:rsid w:val="00547DBC"/>
    <w:rsid w:val="0055159F"/>
    <w:rsid w:val="00551870"/>
    <w:rsid w:val="005543A6"/>
    <w:rsid w:val="005562E9"/>
    <w:rsid w:val="00565CBB"/>
    <w:rsid w:val="005664E3"/>
    <w:rsid w:val="0056752E"/>
    <w:rsid w:val="005753B0"/>
    <w:rsid w:val="00576BAA"/>
    <w:rsid w:val="005801F9"/>
    <w:rsid w:val="0058227C"/>
    <w:rsid w:val="005830ED"/>
    <w:rsid w:val="005861CA"/>
    <w:rsid w:val="00586FA5"/>
    <w:rsid w:val="00587CDD"/>
    <w:rsid w:val="00596651"/>
    <w:rsid w:val="005A011B"/>
    <w:rsid w:val="005A0F28"/>
    <w:rsid w:val="005A729F"/>
    <w:rsid w:val="005C3B58"/>
    <w:rsid w:val="005C5678"/>
    <w:rsid w:val="005D14B5"/>
    <w:rsid w:val="005D3403"/>
    <w:rsid w:val="005D3623"/>
    <w:rsid w:val="005D3B5F"/>
    <w:rsid w:val="005E1D25"/>
    <w:rsid w:val="005E21B6"/>
    <w:rsid w:val="005E33BF"/>
    <w:rsid w:val="005E50D3"/>
    <w:rsid w:val="005E6A19"/>
    <w:rsid w:val="005E7811"/>
    <w:rsid w:val="005F1972"/>
    <w:rsid w:val="005F206A"/>
    <w:rsid w:val="005F2B7D"/>
    <w:rsid w:val="00602DFD"/>
    <w:rsid w:val="00603162"/>
    <w:rsid w:val="00610FE1"/>
    <w:rsid w:val="006122BC"/>
    <w:rsid w:val="00615214"/>
    <w:rsid w:val="00615EC7"/>
    <w:rsid w:val="0062656D"/>
    <w:rsid w:val="006274D0"/>
    <w:rsid w:val="00627CE1"/>
    <w:rsid w:val="00634127"/>
    <w:rsid w:val="00635A21"/>
    <w:rsid w:val="00635FAF"/>
    <w:rsid w:val="0064264E"/>
    <w:rsid w:val="0064448E"/>
    <w:rsid w:val="00645658"/>
    <w:rsid w:val="00651219"/>
    <w:rsid w:val="00652A03"/>
    <w:rsid w:val="00655619"/>
    <w:rsid w:val="006644FC"/>
    <w:rsid w:val="00676975"/>
    <w:rsid w:val="00686333"/>
    <w:rsid w:val="00693040"/>
    <w:rsid w:val="00693DCC"/>
    <w:rsid w:val="00694A61"/>
    <w:rsid w:val="00696401"/>
    <w:rsid w:val="006A012C"/>
    <w:rsid w:val="006A3D9A"/>
    <w:rsid w:val="006B6D80"/>
    <w:rsid w:val="006D1588"/>
    <w:rsid w:val="006E08A3"/>
    <w:rsid w:val="006E1401"/>
    <w:rsid w:val="006E1B26"/>
    <w:rsid w:val="006E3EDB"/>
    <w:rsid w:val="006E6031"/>
    <w:rsid w:val="006F01F0"/>
    <w:rsid w:val="006F2BE0"/>
    <w:rsid w:val="006F6A20"/>
    <w:rsid w:val="006F71B3"/>
    <w:rsid w:val="00700B5D"/>
    <w:rsid w:val="007020D9"/>
    <w:rsid w:val="00702876"/>
    <w:rsid w:val="00712897"/>
    <w:rsid w:val="00712D62"/>
    <w:rsid w:val="00725714"/>
    <w:rsid w:val="00727E2D"/>
    <w:rsid w:val="00732666"/>
    <w:rsid w:val="00740985"/>
    <w:rsid w:val="00750B50"/>
    <w:rsid w:val="00752478"/>
    <w:rsid w:val="007554B7"/>
    <w:rsid w:val="00757C53"/>
    <w:rsid w:val="007653A3"/>
    <w:rsid w:val="007711C7"/>
    <w:rsid w:val="0078554E"/>
    <w:rsid w:val="0079056C"/>
    <w:rsid w:val="007906EC"/>
    <w:rsid w:val="00790E93"/>
    <w:rsid w:val="0079187A"/>
    <w:rsid w:val="007922E7"/>
    <w:rsid w:val="00793F45"/>
    <w:rsid w:val="00796D9A"/>
    <w:rsid w:val="007A072D"/>
    <w:rsid w:val="007B5596"/>
    <w:rsid w:val="007B6A30"/>
    <w:rsid w:val="007C1494"/>
    <w:rsid w:val="007C279C"/>
    <w:rsid w:val="007C3675"/>
    <w:rsid w:val="007C770C"/>
    <w:rsid w:val="007D3586"/>
    <w:rsid w:val="007E3A9B"/>
    <w:rsid w:val="007E5547"/>
    <w:rsid w:val="007F08EB"/>
    <w:rsid w:val="007F6F9C"/>
    <w:rsid w:val="00803617"/>
    <w:rsid w:val="00804C00"/>
    <w:rsid w:val="008162B1"/>
    <w:rsid w:val="0081771C"/>
    <w:rsid w:val="00825818"/>
    <w:rsid w:val="00827D5E"/>
    <w:rsid w:val="00830967"/>
    <w:rsid w:val="00834F9A"/>
    <w:rsid w:val="008365A1"/>
    <w:rsid w:val="00842FB7"/>
    <w:rsid w:val="00846DDD"/>
    <w:rsid w:val="0084721C"/>
    <w:rsid w:val="00847D2C"/>
    <w:rsid w:val="008605C6"/>
    <w:rsid w:val="008606B5"/>
    <w:rsid w:val="00861607"/>
    <w:rsid w:val="00863037"/>
    <w:rsid w:val="00866196"/>
    <w:rsid w:val="00872B9C"/>
    <w:rsid w:val="00872BEF"/>
    <w:rsid w:val="00881E38"/>
    <w:rsid w:val="00882387"/>
    <w:rsid w:val="00884602"/>
    <w:rsid w:val="00885879"/>
    <w:rsid w:val="00890400"/>
    <w:rsid w:val="0089311C"/>
    <w:rsid w:val="008A04D2"/>
    <w:rsid w:val="008B6378"/>
    <w:rsid w:val="008D2A54"/>
    <w:rsid w:val="008D4AB3"/>
    <w:rsid w:val="008E2E0F"/>
    <w:rsid w:val="008F2266"/>
    <w:rsid w:val="008F396F"/>
    <w:rsid w:val="00903FAF"/>
    <w:rsid w:val="00907AA5"/>
    <w:rsid w:val="00914677"/>
    <w:rsid w:val="0092359A"/>
    <w:rsid w:val="00925581"/>
    <w:rsid w:val="009344A9"/>
    <w:rsid w:val="00936EE6"/>
    <w:rsid w:val="00943DFF"/>
    <w:rsid w:val="00944341"/>
    <w:rsid w:val="00951B0C"/>
    <w:rsid w:val="00952CBB"/>
    <w:rsid w:val="00962605"/>
    <w:rsid w:val="009647B7"/>
    <w:rsid w:val="009657DC"/>
    <w:rsid w:val="0096665E"/>
    <w:rsid w:val="0097016E"/>
    <w:rsid w:val="009703B0"/>
    <w:rsid w:val="00971926"/>
    <w:rsid w:val="0097426A"/>
    <w:rsid w:val="0097583D"/>
    <w:rsid w:val="009775F2"/>
    <w:rsid w:val="00981305"/>
    <w:rsid w:val="0098157B"/>
    <w:rsid w:val="00982B5B"/>
    <w:rsid w:val="009840C3"/>
    <w:rsid w:val="00984FCC"/>
    <w:rsid w:val="009A24D2"/>
    <w:rsid w:val="009A4ABA"/>
    <w:rsid w:val="009A4F07"/>
    <w:rsid w:val="009B7941"/>
    <w:rsid w:val="009D5E1D"/>
    <w:rsid w:val="009D62ED"/>
    <w:rsid w:val="009D66DC"/>
    <w:rsid w:val="009E4BBE"/>
    <w:rsid w:val="009E612F"/>
    <w:rsid w:val="009F4B8F"/>
    <w:rsid w:val="009F6656"/>
    <w:rsid w:val="009F77A3"/>
    <w:rsid w:val="00A01DBA"/>
    <w:rsid w:val="00A1145D"/>
    <w:rsid w:val="00A11D86"/>
    <w:rsid w:val="00A163B4"/>
    <w:rsid w:val="00A2072F"/>
    <w:rsid w:val="00A21524"/>
    <w:rsid w:val="00A23A28"/>
    <w:rsid w:val="00A23E71"/>
    <w:rsid w:val="00A3188C"/>
    <w:rsid w:val="00A360E8"/>
    <w:rsid w:val="00A36368"/>
    <w:rsid w:val="00A40EAE"/>
    <w:rsid w:val="00A4497E"/>
    <w:rsid w:val="00A457AF"/>
    <w:rsid w:val="00A4783C"/>
    <w:rsid w:val="00A50166"/>
    <w:rsid w:val="00A52C50"/>
    <w:rsid w:val="00A548CD"/>
    <w:rsid w:val="00A61C2E"/>
    <w:rsid w:val="00A65C79"/>
    <w:rsid w:val="00A67686"/>
    <w:rsid w:val="00A70861"/>
    <w:rsid w:val="00A722AF"/>
    <w:rsid w:val="00A767A7"/>
    <w:rsid w:val="00A82141"/>
    <w:rsid w:val="00A840ED"/>
    <w:rsid w:val="00A84857"/>
    <w:rsid w:val="00A91290"/>
    <w:rsid w:val="00A931C0"/>
    <w:rsid w:val="00A93305"/>
    <w:rsid w:val="00A9423E"/>
    <w:rsid w:val="00A955E1"/>
    <w:rsid w:val="00AA3CC5"/>
    <w:rsid w:val="00AA4A0E"/>
    <w:rsid w:val="00AB3AD8"/>
    <w:rsid w:val="00AC2A24"/>
    <w:rsid w:val="00AD1CA8"/>
    <w:rsid w:val="00AD31A0"/>
    <w:rsid w:val="00AD42B9"/>
    <w:rsid w:val="00AE7A30"/>
    <w:rsid w:val="00AF6489"/>
    <w:rsid w:val="00B03471"/>
    <w:rsid w:val="00B04E3F"/>
    <w:rsid w:val="00B05289"/>
    <w:rsid w:val="00B052B1"/>
    <w:rsid w:val="00B22428"/>
    <w:rsid w:val="00B25FF6"/>
    <w:rsid w:val="00B32BFC"/>
    <w:rsid w:val="00B425B1"/>
    <w:rsid w:val="00B428D4"/>
    <w:rsid w:val="00B43FE8"/>
    <w:rsid w:val="00B4496D"/>
    <w:rsid w:val="00B45140"/>
    <w:rsid w:val="00B457BA"/>
    <w:rsid w:val="00B4662E"/>
    <w:rsid w:val="00B50874"/>
    <w:rsid w:val="00B524B7"/>
    <w:rsid w:val="00B538D4"/>
    <w:rsid w:val="00B55E67"/>
    <w:rsid w:val="00B61D88"/>
    <w:rsid w:val="00B70C12"/>
    <w:rsid w:val="00B756DC"/>
    <w:rsid w:val="00B810C3"/>
    <w:rsid w:val="00B869F3"/>
    <w:rsid w:val="00B901D7"/>
    <w:rsid w:val="00B945FD"/>
    <w:rsid w:val="00B95355"/>
    <w:rsid w:val="00BA2151"/>
    <w:rsid w:val="00BA4AF4"/>
    <w:rsid w:val="00BA5388"/>
    <w:rsid w:val="00BA56F4"/>
    <w:rsid w:val="00BA680C"/>
    <w:rsid w:val="00BA7586"/>
    <w:rsid w:val="00BB4088"/>
    <w:rsid w:val="00BB6AC5"/>
    <w:rsid w:val="00BB6B7D"/>
    <w:rsid w:val="00BC23C1"/>
    <w:rsid w:val="00BC46E4"/>
    <w:rsid w:val="00BC50A6"/>
    <w:rsid w:val="00BC6835"/>
    <w:rsid w:val="00BD3258"/>
    <w:rsid w:val="00BD4F43"/>
    <w:rsid w:val="00BD529F"/>
    <w:rsid w:val="00BE0DA7"/>
    <w:rsid w:val="00BE22C4"/>
    <w:rsid w:val="00BE6A39"/>
    <w:rsid w:val="00BE7529"/>
    <w:rsid w:val="00BF0CDF"/>
    <w:rsid w:val="00BF3B19"/>
    <w:rsid w:val="00BF7123"/>
    <w:rsid w:val="00C05B0F"/>
    <w:rsid w:val="00C1132F"/>
    <w:rsid w:val="00C115FB"/>
    <w:rsid w:val="00C21C1B"/>
    <w:rsid w:val="00C32FB6"/>
    <w:rsid w:val="00C3440D"/>
    <w:rsid w:val="00C34524"/>
    <w:rsid w:val="00C50F1C"/>
    <w:rsid w:val="00C5752C"/>
    <w:rsid w:val="00C60B00"/>
    <w:rsid w:val="00C664FD"/>
    <w:rsid w:val="00C705EB"/>
    <w:rsid w:val="00C75B81"/>
    <w:rsid w:val="00C8164E"/>
    <w:rsid w:val="00C87D0F"/>
    <w:rsid w:val="00C9072C"/>
    <w:rsid w:val="00C92DC1"/>
    <w:rsid w:val="00C944C2"/>
    <w:rsid w:val="00C94D1E"/>
    <w:rsid w:val="00C95D38"/>
    <w:rsid w:val="00C95DAA"/>
    <w:rsid w:val="00CA4466"/>
    <w:rsid w:val="00CB5B0F"/>
    <w:rsid w:val="00CB628D"/>
    <w:rsid w:val="00CC2E24"/>
    <w:rsid w:val="00CC405B"/>
    <w:rsid w:val="00CC49D0"/>
    <w:rsid w:val="00CC5F19"/>
    <w:rsid w:val="00CC78D3"/>
    <w:rsid w:val="00CD4F4D"/>
    <w:rsid w:val="00CD4FF4"/>
    <w:rsid w:val="00CD5DBB"/>
    <w:rsid w:val="00CE7CDB"/>
    <w:rsid w:val="00CF1761"/>
    <w:rsid w:val="00D006AF"/>
    <w:rsid w:val="00D00F04"/>
    <w:rsid w:val="00D0126A"/>
    <w:rsid w:val="00D07A13"/>
    <w:rsid w:val="00D109BC"/>
    <w:rsid w:val="00D11273"/>
    <w:rsid w:val="00D13893"/>
    <w:rsid w:val="00D14267"/>
    <w:rsid w:val="00D14A1C"/>
    <w:rsid w:val="00D17B26"/>
    <w:rsid w:val="00D24D2C"/>
    <w:rsid w:val="00D2667B"/>
    <w:rsid w:val="00D304E2"/>
    <w:rsid w:val="00D30929"/>
    <w:rsid w:val="00D33FC5"/>
    <w:rsid w:val="00D40CB0"/>
    <w:rsid w:val="00D43E8B"/>
    <w:rsid w:val="00D51945"/>
    <w:rsid w:val="00D5224E"/>
    <w:rsid w:val="00D60345"/>
    <w:rsid w:val="00D65945"/>
    <w:rsid w:val="00D75783"/>
    <w:rsid w:val="00D75CDA"/>
    <w:rsid w:val="00D83A9E"/>
    <w:rsid w:val="00D86320"/>
    <w:rsid w:val="00D872D2"/>
    <w:rsid w:val="00D902F5"/>
    <w:rsid w:val="00DA5468"/>
    <w:rsid w:val="00DB385E"/>
    <w:rsid w:val="00DB4881"/>
    <w:rsid w:val="00DB4B66"/>
    <w:rsid w:val="00DC39B0"/>
    <w:rsid w:val="00DE567B"/>
    <w:rsid w:val="00DF0083"/>
    <w:rsid w:val="00DF7780"/>
    <w:rsid w:val="00E00B7F"/>
    <w:rsid w:val="00E01644"/>
    <w:rsid w:val="00E02931"/>
    <w:rsid w:val="00E0671B"/>
    <w:rsid w:val="00E20413"/>
    <w:rsid w:val="00E20D89"/>
    <w:rsid w:val="00E22440"/>
    <w:rsid w:val="00E22A56"/>
    <w:rsid w:val="00E22EA9"/>
    <w:rsid w:val="00E31443"/>
    <w:rsid w:val="00E34CDC"/>
    <w:rsid w:val="00E35D51"/>
    <w:rsid w:val="00E364EB"/>
    <w:rsid w:val="00E37F60"/>
    <w:rsid w:val="00E41004"/>
    <w:rsid w:val="00E41A04"/>
    <w:rsid w:val="00E41ADE"/>
    <w:rsid w:val="00E41E1D"/>
    <w:rsid w:val="00E51509"/>
    <w:rsid w:val="00E52968"/>
    <w:rsid w:val="00E5306E"/>
    <w:rsid w:val="00E53A73"/>
    <w:rsid w:val="00E55598"/>
    <w:rsid w:val="00E604AC"/>
    <w:rsid w:val="00E657D2"/>
    <w:rsid w:val="00E744A4"/>
    <w:rsid w:val="00E80F79"/>
    <w:rsid w:val="00E9396A"/>
    <w:rsid w:val="00E93E5C"/>
    <w:rsid w:val="00EA1DED"/>
    <w:rsid w:val="00EA2D7D"/>
    <w:rsid w:val="00EA4D03"/>
    <w:rsid w:val="00EA4D7E"/>
    <w:rsid w:val="00EA6E88"/>
    <w:rsid w:val="00EB1594"/>
    <w:rsid w:val="00EC0B97"/>
    <w:rsid w:val="00EC3AAD"/>
    <w:rsid w:val="00EC6259"/>
    <w:rsid w:val="00ED0943"/>
    <w:rsid w:val="00ED17BA"/>
    <w:rsid w:val="00ED6D17"/>
    <w:rsid w:val="00EE6B98"/>
    <w:rsid w:val="00EF5879"/>
    <w:rsid w:val="00EF6DC5"/>
    <w:rsid w:val="00EF793B"/>
    <w:rsid w:val="00F01E74"/>
    <w:rsid w:val="00F05075"/>
    <w:rsid w:val="00F06969"/>
    <w:rsid w:val="00F07E06"/>
    <w:rsid w:val="00F100F9"/>
    <w:rsid w:val="00F10456"/>
    <w:rsid w:val="00F13B7D"/>
    <w:rsid w:val="00F13CC6"/>
    <w:rsid w:val="00F2106E"/>
    <w:rsid w:val="00F232E2"/>
    <w:rsid w:val="00F30EFD"/>
    <w:rsid w:val="00F31D0F"/>
    <w:rsid w:val="00F34116"/>
    <w:rsid w:val="00F349F4"/>
    <w:rsid w:val="00F34D15"/>
    <w:rsid w:val="00F37AB4"/>
    <w:rsid w:val="00F37BFF"/>
    <w:rsid w:val="00F41636"/>
    <w:rsid w:val="00F5264D"/>
    <w:rsid w:val="00F55E0F"/>
    <w:rsid w:val="00F606C9"/>
    <w:rsid w:val="00F62312"/>
    <w:rsid w:val="00F638B2"/>
    <w:rsid w:val="00F668B9"/>
    <w:rsid w:val="00F7065D"/>
    <w:rsid w:val="00F73D6B"/>
    <w:rsid w:val="00F80A34"/>
    <w:rsid w:val="00F82FC6"/>
    <w:rsid w:val="00F840F2"/>
    <w:rsid w:val="00F84C05"/>
    <w:rsid w:val="00F865BB"/>
    <w:rsid w:val="00F903AF"/>
    <w:rsid w:val="00F92785"/>
    <w:rsid w:val="00F94B3D"/>
    <w:rsid w:val="00F96265"/>
    <w:rsid w:val="00FA33E4"/>
    <w:rsid w:val="00FA61D1"/>
    <w:rsid w:val="00FB595C"/>
    <w:rsid w:val="00FB7ABE"/>
    <w:rsid w:val="00FC4761"/>
    <w:rsid w:val="00FC5508"/>
    <w:rsid w:val="00FC611A"/>
    <w:rsid w:val="00FC69E5"/>
    <w:rsid w:val="00FD37B4"/>
    <w:rsid w:val="00FE0CA8"/>
    <w:rsid w:val="00FE1CE0"/>
    <w:rsid w:val="00FE2122"/>
    <w:rsid w:val="00FE3C45"/>
    <w:rsid w:val="00FE3FE7"/>
    <w:rsid w:val="00FE589F"/>
    <w:rsid w:val="00FE64D3"/>
    <w:rsid w:val="00FF279D"/>
    <w:rsid w:val="00FF5FB3"/>
    <w:rsid w:val="00FF747B"/>
    <w:rsid w:val="00FF7F88"/>
    <w:rsid w:val="027B6D79"/>
    <w:rsid w:val="04477832"/>
    <w:rsid w:val="04545A49"/>
    <w:rsid w:val="04C87066"/>
    <w:rsid w:val="05DE1F43"/>
    <w:rsid w:val="0A4056A9"/>
    <w:rsid w:val="0AB02BCD"/>
    <w:rsid w:val="0AEB20D2"/>
    <w:rsid w:val="0D046532"/>
    <w:rsid w:val="0F5645BD"/>
    <w:rsid w:val="10797AFB"/>
    <w:rsid w:val="10E7193C"/>
    <w:rsid w:val="11337CBF"/>
    <w:rsid w:val="117457FA"/>
    <w:rsid w:val="12C71168"/>
    <w:rsid w:val="14147227"/>
    <w:rsid w:val="15284D87"/>
    <w:rsid w:val="166A2EB1"/>
    <w:rsid w:val="16924E7A"/>
    <w:rsid w:val="16E235F1"/>
    <w:rsid w:val="197C1B46"/>
    <w:rsid w:val="19B250D3"/>
    <w:rsid w:val="1A986F4F"/>
    <w:rsid w:val="1D074E56"/>
    <w:rsid w:val="1DE826EC"/>
    <w:rsid w:val="1E517B84"/>
    <w:rsid w:val="1F5B6C81"/>
    <w:rsid w:val="22B70B00"/>
    <w:rsid w:val="23775F59"/>
    <w:rsid w:val="24E23D7C"/>
    <w:rsid w:val="25416D14"/>
    <w:rsid w:val="25A621C9"/>
    <w:rsid w:val="25C01E7E"/>
    <w:rsid w:val="26DF7048"/>
    <w:rsid w:val="26F57EA0"/>
    <w:rsid w:val="270C409F"/>
    <w:rsid w:val="27C7486A"/>
    <w:rsid w:val="27E06986"/>
    <w:rsid w:val="28700AC7"/>
    <w:rsid w:val="2AB51407"/>
    <w:rsid w:val="2B2C4EA1"/>
    <w:rsid w:val="2B601F23"/>
    <w:rsid w:val="2DF97051"/>
    <w:rsid w:val="2E2B4943"/>
    <w:rsid w:val="2F3839FD"/>
    <w:rsid w:val="2F437013"/>
    <w:rsid w:val="2F5922B5"/>
    <w:rsid w:val="2F835A02"/>
    <w:rsid w:val="316E496E"/>
    <w:rsid w:val="323D6710"/>
    <w:rsid w:val="346C0F8D"/>
    <w:rsid w:val="34E24AFB"/>
    <w:rsid w:val="34E50FB5"/>
    <w:rsid w:val="35074582"/>
    <w:rsid w:val="351C559D"/>
    <w:rsid w:val="35ED5885"/>
    <w:rsid w:val="396A0841"/>
    <w:rsid w:val="3AC64E24"/>
    <w:rsid w:val="3B966657"/>
    <w:rsid w:val="3C6B7986"/>
    <w:rsid w:val="3E0F64B4"/>
    <w:rsid w:val="3F204B9F"/>
    <w:rsid w:val="401873FE"/>
    <w:rsid w:val="40221ED0"/>
    <w:rsid w:val="40624D42"/>
    <w:rsid w:val="40EC58C2"/>
    <w:rsid w:val="41744D2D"/>
    <w:rsid w:val="42487538"/>
    <w:rsid w:val="42A259EE"/>
    <w:rsid w:val="438F3899"/>
    <w:rsid w:val="44141138"/>
    <w:rsid w:val="448E592F"/>
    <w:rsid w:val="456D41C6"/>
    <w:rsid w:val="469519CD"/>
    <w:rsid w:val="4818486A"/>
    <w:rsid w:val="48332818"/>
    <w:rsid w:val="486017CE"/>
    <w:rsid w:val="488D48BB"/>
    <w:rsid w:val="48C61172"/>
    <w:rsid w:val="49F92FBC"/>
    <w:rsid w:val="4A506A7B"/>
    <w:rsid w:val="4AC31770"/>
    <w:rsid w:val="4B04143D"/>
    <w:rsid w:val="4BE97027"/>
    <w:rsid w:val="4C8B34F6"/>
    <w:rsid w:val="4CA8313E"/>
    <w:rsid w:val="4CE723A1"/>
    <w:rsid w:val="4E3F7116"/>
    <w:rsid w:val="4F4B58B4"/>
    <w:rsid w:val="4F734876"/>
    <w:rsid w:val="501E4BFD"/>
    <w:rsid w:val="51E065E0"/>
    <w:rsid w:val="532D300E"/>
    <w:rsid w:val="5587376C"/>
    <w:rsid w:val="56A018BD"/>
    <w:rsid w:val="588C69A8"/>
    <w:rsid w:val="58E95FEA"/>
    <w:rsid w:val="5B8449DB"/>
    <w:rsid w:val="5C3E620B"/>
    <w:rsid w:val="5D35762A"/>
    <w:rsid w:val="5DAB1F64"/>
    <w:rsid w:val="5E582369"/>
    <w:rsid w:val="606C2A77"/>
    <w:rsid w:val="60F45BE7"/>
    <w:rsid w:val="627D6C42"/>
    <w:rsid w:val="62A156F1"/>
    <w:rsid w:val="6305308B"/>
    <w:rsid w:val="63AF3EC4"/>
    <w:rsid w:val="641E0D86"/>
    <w:rsid w:val="648A23AF"/>
    <w:rsid w:val="65C321BE"/>
    <w:rsid w:val="66966E85"/>
    <w:rsid w:val="6A1D41BC"/>
    <w:rsid w:val="6A7B723E"/>
    <w:rsid w:val="6C051DF1"/>
    <w:rsid w:val="6C7B752A"/>
    <w:rsid w:val="6C820012"/>
    <w:rsid w:val="6CD773CF"/>
    <w:rsid w:val="6DB6585E"/>
    <w:rsid w:val="6DD86BE4"/>
    <w:rsid w:val="6E4A4335"/>
    <w:rsid w:val="6F8E06AB"/>
    <w:rsid w:val="6FDF6EFE"/>
    <w:rsid w:val="71136A90"/>
    <w:rsid w:val="739972EB"/>
    <w:rsid w:val="73DF15F2"/>
    <w:rsid w:val="745B7F7E"/>
    <w:rsid w:val="748E002A"/>
    <w:rsid w:val="74AE1D28"/>
    <w:rsid w:val="78206C22"/>
    <w:rsid w:val="792D3904"/>
    <w:rsid w:val="798D4BFB"/>
    <w:rsid w:val="7A9274BD"/>
    <w:rsid w:val="7D540579"/>
    <w:rsid w:val="7DA82479"/>
    <w:rsid w:val="7E5B5B46"/>
    <w:rsid w:val="7E747B3F"/>
    <w:rsid w:val="7E870032"/>
    <w:rsid w:val="7F61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857FB"/>
  <w15:docId w15:val="{3CF2D159-C944-43E2-89AC-9281C32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ind w:leftChars="100" w:left="100" w:rightChars="100" w:right="10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napToGrid w:val="0"/>
      <w:jc w:val="left"/>
    </w:pPr>
    <w:rPr>
      <w:rFonts w:eastAsia="华文楷体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uiPriority w:val="99"/>
    <w:semiHidden/>
    <w:unhideWhenUsed/>
    <w:qFormat/>
    <w:rPr>
      <w:vertAlign w:val="superscript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脚注文本 Char"/>
    <w:uiPriority w:val="99"/>
    <w:semiHidden/>
    <w:qFormat/>
    <w:rPr>
      <w:rFonts w:eastAsia="华文楷体"/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6"/>
    <w:link w:val="af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005">
    <w:name w:val="005正文"/>
    <w:uiPriority w:val="99"/>
    <w:qFormat/>
    <w:pPr>
      <w:widowControl w:val="0"/>
      <w:spacing w:beforeLines="50" w:before="50" w:line="360" w:lineRule="auto"/>
      <w:ind w:firstLineChars="200" w:firstLine="200"/>
      <w:jc w:val="both"/>
    </w:pPr>
    <w:rPr>
      <w:kern w:val="2"/>
      <w:sz w:val="24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4">
    <w:name w:val="Emphasis"/>
    <w:basedOn w:val="a0"/>
    <w:uiPriority w:val="20"/>
    <w:qFormat/>
    <w:rsid w:val="0013326E"/>
    <w:rPr>
      <w:i/>
      <w:iCs/>
    </w:rPr>
  </w:style>
  <w:style w:type="character" w:styleId="af5">
    <w:name w:val="Strong"/>
    <w:basedOn w:val="a0"/>
    <w:uiPriority w:val="22"/>
    <w:qFormat/>
    <w:rsid w:val="0013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63F0-5463-4442-B6F8-C000103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943</Words>
  <Characters>246</Characters>
  <Application>Microsoft Office Word</Application>
  <DocSecurity>0</DocSecurity>
  <Lines>2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fangz</dc:creator>
  <cp:lastModifiedBy>OFF</cp:lastModifiedBy>
  <cp:revision>716</cp:revision>
  <cp:lastPrinted>2024-03-21T07:29:00Z</cp:lastPrinted>
  <dcterms:created xsi:type="dcterms:W3CDTF">2023-09-08T07:59:00Z</dcterms:created>
  <dcterms:modified xsi:type="dcterms:W3CDTF">2024-03-21T08:54:00Z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FDC3F2207ADE4FEA8F8E884D0B9055AB</vt:lpwstr>
  </property>
</Properties>
</file>