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rPr>
          <w:rFonts w:ascii="宋体" w:hAnsi="宋体"/>
          <w:b/>
          <w:iCs/>
          <w:szCs w:val="21"/>
        </w:rPr>
      </w:pPr>
      <w:r>
        <w:rPr>
          <w:rFonts w:ascii="宋体" w:hAnsi="宋体"/>
          <w:b/>
          <w:iCs/>
          <w:szCs w:val="21"/>
        </w:rPr>
        <w:t>证券代码：688100                                            证券简称：</w:t>
      </w:r>
      <w:r>
        <w:rPr>
          <w:rFonts w:hint="eastAsia" w:ascii="宋体" w:hAnsi="宋体"/>
          <w:b/>
          <w:iCs/>
          <w:szCs w:val="21"/>
        </w:rPr>
        <w:t>威胜信息</w:t>
      </w:r>
    </w:p>
    <w:p>
      <w:pPr>
        <w:spacing w:before="468" w:beforeLines="150" w:after="156" w:afterLines="50" w:line="420" w:lineRule="exact"/>
        <w:jc w:val="center"/>
        <w:rPr>
          <w:rFonts w:ascii="宋体" w:hAnsi="宋体"/>
          <w:b/>
          <w:bCs/>
          <w:iCs/>
          <w:sz w:val="32"/>
          <w:szCs w:val="32"/>
        </w:rPr>
      </w:pPr>
      <w:r>
        <w:rPr>
          <w:rFonts w:hint="eastAsia" w:ascii="宋体" w:hAnsi="宋体"/>
          <w:b/>
          <w:bCs/>
          <w:iCs/>
          <w:sz w:val="32"/>
          <w:szCs w:val="32"/>
        </w:rPr>
        <w:t>威胜信息技术股份有限公司</w:t>
      </w:r>
    </w:p>
    <w:p>
      <w:pPr>
        <w:spacing w:before="156" w:beforeLines="50" w:after="468" w:afterLines="150" w:line="420" w:lineRule="exact"/>
        <w:jc w:val="center"/>
        <w:rPr>
          <w:rFonts w:ascii="宋体" w:hAnsi="宋体"/>
          <w:b/>
          <w:bCs/>
          <w:iCs/>
          <w:sz w:val="32"/>
          <w:szCs w:val="32"/>
        </w:rPr>
      </w:pPr>
      <w:r>
        <w:rPr>
          <w:rFonts w:ascii="宋体" w:hAnsi="宋体"/>
          <w:b/>
          <w:bCs/>
          <w:iCs/>
          <w:sz w:val="32"/>
          <w:szCs w:val="32"/>
        </w:rPr>
        <w:t>2024</w:t>
      </w:r>
      <w:r>
        <w:rPr>
          <w:rFonts w:hint="eastAsia" w:ascii="宋体" w:hAnsi="宋体"/>
          <w:b/>
          <w:bCs/>
          <w:iCs/>
          <w:sz w:val="32"/>
          <w:szCs w:val="32"/>
        </w:rPr>
        <w:t>年</w:t>
      </w:r>
      <w:r>
        <w:rPr>
          <w:rFonts w:ascii="宋体" w:hAnsi="宋体"/>
          <w:b/>
          <w:bCs/>
          <w:iCs/>
          <w:sz w:val="32"/>
          <w:szCs w:val="32"/>
        </w:rPr>
        <w:t>3</w:t>
      </w:r>
      <w:r>
        <w:rPr>
          <w:rFonts w:hint="eastAsia" w:ascii="宋体" w:hAnsi="宋体"/>
          <w:b/>
          <w:bCs/>
          <w:iCs/>
          <w:sz w:val="32"/>
          <w:szCs w:val="32"/>
        </w:rPr>
        <w:t>月1</w:t>
      </w:r>
      <w:r>
        <w:rPr>
          <w:rFonts w:ascii="宋体" w:hAnsi="宋体"/>
          <w:b/>
          <w:bCs/>
          <w:iCs/>
          <w:sz w:val="32"/>
          <w:szCs w:val="32"/>
        </w:rPr>
        <w:t>9</w:t>
      </w:r>
      <w:r>
        <w:rPr>
          <w:rFonts w:hint="eastAsia" w:ascii="宋体" w:hAnsi="宋体"/>
          <w:b/>
          <w:bCs/>
          <w:iCs/>
          <w:sz w:val="32"/>
          <w:szCs w:val="32"/>
        </w:rPr>
        <w:t>日</w:t>
      </w:r>
      <w:r>
        <w:rPr>
          <w:rFonts w:ascii="宋体" w:hAnsi="宋体"/>
          <w:b/>
          <w:bCs/>
          <w:iCs/>
          <w:sz w:val="32"/>
          <w:szCs w:val="32"/>
        </w:rPr>
        <w:t>投资者</w:t>
      </w:r>
      <w:r>
        <w:rPr>
          <w:rFonts w:hint="eastAsia" w:ascii="宋体" w:hAnsi="宋体"/>
          <w:b/>
          <w:bCs/>
          <w:iCs/>
          <w:sz w:val="32"/>
          <w:szCs w:val="32"/>
        </w:rPr>
        <w:t>交流会纪要</w:t>
      </w:r>
    </w:p>
    <w:p>
      <w:pPr>
        <w:spacing w:line="420" w:lineRule="exact"/>
        <w:ind w:firstLine="424" w:firstLineChars="177"/>
        <w:rPr>
          <w:rFonts w:ascii="宋体" w:hAnsi="宋体"/>
          <w:sz w:val="24"/>
        </w:rPr>
      </w:pPr>
      <w:r>
        <w:rPr>
          <w:rFonts w:hint="eastAsia" w:ascii="宋体" w:hAnsi="宋体"/>
          <w:sz w:val="24"/>
        </w:rPr>
        <w:t>威胜信息技术股份有限公司（以下简称“公司”）2</w:t>
      </w:r>
      <w:r>
        <w:rPr>
          <w:rFonts w:ascii="宋体" w:hAnsi="宋体"/>
          <w:sz w:val="24"/>
        </w:rPr>
        <w:t>024</w:t>
      </w:r>
      <w:r>
        <w:rPr>
          <w:rFonts w:hint="eastAsia" w:ascii="宋体" w:hAnsi="宋体"/>
          <w:sz w:val="24"/>
        </w:rPr>
        <w:t>年</w:t>
      </w:r>
      <w:r>
        <w:rPr>
          <w:rFonts w:ascii="宋体" w:hAnsi="宋体"/>
          <w:sz w:val="24"/>
        </w:rPr>
        <w:t>3</w:t>
      </w:r>
      <w:r>
        <w:rPr>
          <w:rFonts w:hint="eastAsia" w:ascii="宋体" w:hAnsi="宋体"/>
          <w:sz w:val="24"/>
        </w:rPr>
        <w:t>月</w:t>
      </w:r>
      <w:r>
        <w:rPr>
          <w:rFonts w:ascii="宋体" w:hAnsi="宋体"/>
          <w:sz w:val="24"/>
        </w:rPr>
        <w:t>19</w:t>
      </w:r>
      <w:r>
        <w:rPr>
          <w:rFonts w:hint="eastAsia" w:ascii="宋体" w:hAnsi="宋体"/>
          <w:sz w:val="24"/>
        </w:rPr>
        <w:t>日与投资者沟通情况如下：</w:t>
      </w:r>
    </w:p>
    <w:p>
      <w:pPr>
        <w:pStyle w:val="18"/>
        <w:numPr>
          <w:ilvl w:val="0"/>
          <w:numId w:val="1"/>
        </w:numPr>
        <w:spacing w:line="420" w:lineRule="exact"/>
        <w:ind w:left="709" w:firstLineChars="0"/>
        <w:rPr>
          <w:rFonts w:ascii="宋体" w:hAnsi="宋体"/>
          <w:b/>
          <w:bCs/>
          <w:sz w:val="24"/>
        </w:rPr>
      </w:pPr>
      <w:r>
        <w:rPr>
          <w:rFonts w:hint="eastAsia" w:ascii="宋体" w:hAnsi="宋体"/>
          <w:b/>
          <w:bCs/>
          <w:sz w:val="24"/>
        </w:rPr>
        <w:t>参会人员</w:t>
      </w:r>
    </w:p>
    <w:p>
      <w:pPr>
        <w:spacing w:line="360" w:lineRule="auto"/>
        <w:ind w:firstLine="480" w:firstLineChars="200"/>
        <w:rPr>
          <w:rFonts w:ascii="宋体" w:hAnsi="宋体"/>
          <w:sz w:val="24"/>
        </w:rPr>
      </w:pPr>
      <w:r>
        <w:rPr>
          <w:rFonts w:hint="eastAsia" w:ascii="宋体" w:hAnsi="宋体"/>
          <w:sz w:val="24"/>
        </w:rPr>
        <w:t>董事</w:t>
      </w:r>
      <w:r>
        <w:rPr>
          <w:rFonts w:hint="eastAsia" w:ascii="宋体" w:hAnsi="宋体"/>
          <w:sz w:val="24"/>
          <w:lang w:val="en-US" w:eastAsia="zh-CN"/>
        </w:rPr>
        <w:t>兼总裁</w:t>
      </w:r>
      <w:r>
        <w:rPr>
          <w:rFonts w:hint="eastAsia" w:ascii="宋体" w:hAnsi="宋体"/>
          <w:sz w:val="24"/>
        </w:rPr>
        <w:t>：李先怀先生、战略发展中心总经理：吴浩先生、</w:t>
      </w:r>
      <w:r>
        <w:rPr>
          <w:rFonts w:ascii="宋体" w:hAnsi="宋体"/>
          <w:sz w:val="24"/>
        </w:rPr>
        <w:t>证券事务代表</w:t>
      </w:r>
      <w:r>
        <w:rPr>
          <w:rFonts w:hint="eastAsia" w:ascii="宋体" w:hAnsi="宋体"/>
          <w:sz w:val="24"/>
        </w:rPr>
        <w:t>：</w:t>
      </w:r>
      <w:r>
        <w:rPr>
          <w:rFonts w:ascii="宋体" w:hAnsi="宋体"/>
          <w:sz w:val="24"/>
        </w:rPr>
        <w:t>余萱女士</w:t>
      </w:r>
      <w:r>
        <w:rPr>
          <w:rFonts w:hint="eastAsia" w:ascii="宋体" w:hAnsi="宋体"/>
          <w:sz w:val="24"/>
        </w:rPr>
        <w:t>、投资者关系经理：张乐维先生</w:t>
      </w:r>
    </w:p>
    <w:p>
      <w:pPr>
        <w:spacing w:line="360" w:lineRule="auto"/>
        <w:ind w:firstLine="480" w:firstLineChars="200"/>
        <w:rPr>
          <w:rFonts w:ascii="宋体" w:hAnsi="宋体"/>
          <w:sz w:val="24"/>
        </w:rPr>
      </w:pPr>
      <w:r>
        <w:rPr>
          <w:rFonts w:hint="eastAsia" w:ascii="宋体" w:hAnsi="宋体"/>
          <w:sz w:val="24"/>
        </w:rPr>
        <w:t>“科创</w:t>
      </w:r>
      <w:r>
        <w:rPr>
          <w:rFonts w:ascii="宋体" w:hAnsi="宋体"/>
          <w:sz w:val="24"/>
        </w:rPr>
        <w:t>100指数”高质量发展调研行参与机构</w:t>
      </w:r>
      <w:r>
        <w:rPr>
          <w:rFonts w:hint="eastAsia" w:ascii="宋体" w:hAnsi="宋体"/>
          <w:sz w:val="24"/>
        </w:rPr>
        <w:t>：</w:t>
      </w:r>
    </w:p>
    <w:p>
      <w:pPr>
        <w:spacing w:line="360" w:lineRule="auto"/>
        <w:ind w:firstLine="480" w:firstLineChars="200"/>
        <w:rPr>
          <w:rFonts w:hint="eastAsia" w:ascii="宋体" w:hAnsi="宋体" w:eastAsia="宋体"/>
          <w:sz w:val="24"/>
          <w:lang w:val="en-US" w:eastAsia="zh-CN"/>
        </w:rPr>
      </w:pPr>
      <w:r>
        <w:rPr>
          <w:rFonts w:hint="eastAsia" w:ascii="宋体" w:hAnsi="宋体"/>
          <w:sz w:val="24"/>
        </w:rPr>
        <w:t>博时基金、格行资产、中信建投、国泰君安、方正证券、招商证券、国新证券、中国银河证券、华福证券、国元证券、华泰证券</w:t>
      </w:r>
      <w:r>
        <w:rPr>
          <w:rFonts w:hint="eastAsia" w:ascii="宋体" w:hAnsi="宋体"/>
          <w:sz w:val="24"/>
          <w:lang w:eastAsia="zh-CN"/>
        </w:rPr>
        <w:t>、</w:t>
      </w:r>
      <w:bookmarkStart w:id="1" w:name="_GoBack"/>
      <w:bookmarkEnd w:id="1"/>
      <w:r>
        <w:rPr>
          <w:rFonts w:hint="eastAsia" w:ascii="宋体" w:hAnsi="宋体"/>
          <w:sz w:val="24"/>
          <w:lang w:val="en-US" w:eastAsia="zh-CN"/>
        </w:rPr>
        <w:t>上</w:t>
      </w:r>
      <w:r>
        <w:rPr>
          <w:rFonts w:hint="eastAsia" w:ascii="宋体" w:hAnsi="宋体" w:eastAsia="宋体" w:cs="Times New Roman"/>
          <w:sz w:val="24"/>
          <w:szCs w:val="24"/>
          <w:lang w:val="en-US" w:eastAsia="zh-CN"/>
        </w:rPr>
        <w:t>海证券报、三湘都市报、长沙晚报、湖南日报、搜狐（长沙）</w:t>
      </w:r>
    </w:p>
    <w:p>
      <w:pPr>
        <w:pStyle w:val="7"/>
        <w:spacing w:line="420" w:lineRule="exact"/>
        <w:rPr>
          <w:rFonts w:hAnsi="宋体"/>
          <w:sz w:val="24"/>
        </w:rPr>
      </w:pPr>
      <w:r>
        <w:rPr>
          <w:rFonts w:hint="eastAsia" w:hAnsi="宋体"/>
          <w:sz w:val="24"/>
        </w:rPr>
        <w:t>二、</w:t>
      </w:r>
      <w:r>
        <w:rPr>
          <w:rFonts w:hint="eastAsia" w:hAnsi="宋体"/>
          <w:b/>
          <w:sz w:val="24"/>
        </w:rPr>
        <w:t>投资者问答概要</w:t>
      </w:r>
    </w:p>
    <w:p>
      <w:pPr>
        <w:spacing w:line="360" w:lineRule="auto"/>
        <w:ind w:firstLine="482" w:firstLineChars="200"/>
        <w:rPr>
          <w:rFonts w:ascii="宋体" w:hAnsi="宋体"/>
          <w:b/>
          <w:sz w:val="24"/>
        </w:rPr>
      </w:pPr>
      <w:r>
        <w:rPr>
          <w:rFonts w:hint="eastAsia" w:ascii="宋体" w:hAnsi="宋体"/>
          <w:b/>
          <w:sz w:val="24"/>
        </w:rPr>
        <w:t>Q:目前国内国际对新能源并网都比较关注，请问新能源并网下会给公司带来哪些新产品的增量机会？</w:t>
      </w:r>
    </w:p>
    <w:p>
      <w:pPr>
        <w:spacing w:line="360" w:lineRule="auto"/>
        <w:ind w:firstLine="480" w:firstLineChars="200"/>
        <w:rPr>
          <w:rFonts w:ascii="宋体" w:hAnsi="宋体"/>
          <w:sz w:val="24"/>
        </w:rPr>
      </w:pPr>
      <w:r>
        <w:rPr>
          <w:rFonts w:hint="eastAsia" w:ascii="宋体" w:hAnsi="宋体"/>
          <w:sz w:val="24"/>
        </w:rPr>
        <w:t>A: 目前分布式光伏发展迅速，监控手段未能及时跟上，导致光伏发电消纳不足，易造成反向过载，冲击配电网，带来安全隐患。采用“一刀切式”的方式既限制分布式光伏接入又影响了当地经济发展，并违背了双碳目标。因此需要采用有效的监控设备，实现对光伏并网的可观、可测、可调、可控，确保配网安全运行。我司目前推出的光伏协议转换器、分布式电源接入单元等设备可以对不同生产厂家的逆变器设备进行协议及接口转换，实现光伏并网的监测与柔性调控。</w:t>
      </w:r>
    </w:p>
    <w:p>
      <w:pPr>
        <w:spacing w:line="360" w:lineRule="auto"/>
        <w:ind w:firstLine="480" w:firstLineChars="200"/>
        <w:rPr>
          <w:rFonts w:ascii="宋体" w:hAnsi="宋体"/>
          <w:sz w:val="24"/>
        </w:rPr>
      </w:pPr>
      <w:r>
        <w:rPr>
          <w:rFonts w:hint="eastAsia" w:ascii="宋体" w:hAnsi="宋体"/>
          <w:sz w:val="24"/>
        </w:rPr>
        <w:t>国家发改委2023年12月正式颁布的《电能质量管理办法》明确要求新能源并网前电能质量要达到并网要求，比如电压、电流、频率、功率因素等参数均有所要求，早期公司在监测电能质量方面是单独的电能质量监测仪，现在公司把电能质量监测功能模块化，植入到传统的电力设备里去，使这些设备具备电能质量监测功能，实现安全可靠并网，这是一个增量机会。</w:t>
      </w:r>
    </w:p>
    <w:p>
      <w:pPr>
        <w:spacing w:line="360" w:lineRule="auto"/>
        <w:ind w:firstLine="480" w:firstLineChars="200"/>
        <w:rPr>
          <w:rFonts w:ascii="宋体" w:hAnsi="宋体"/>
          <w:sz w:val="24"/>
        </w:rPr>
      </w:pPr>
      <w:r>
        <w:rPr>
          <w:rFonts w:hint="eastAsia" w:ascii="宋体" w:hAnsi="宋体"/>
          <w:sz w:val="24"/>
        </w:rPr>
        <w:t xml:space="preserve"> </w:t>
      </w:r>
    </w:p>
    <w:p>
      <w:pPr>
        <w:spacing w:line="360" w:lineRule="auto"/>
        <w:ind w:firstLine="482" w:firstLineChars="200"/>
        <w:rPr>
          <w:rFonts w:ascii="宋体" w:hAnsi="宋体"/>
          <w:b/>
          <w:sz w:val="24"/>
        </w:rPr>
      </w:pPr>
      <w:bookmarkStart w:id="0" w:name="_Toc159588837"/>
      <w:r>
        <w:rPr>
          <w:rFonts w:ascii="宋体" w:hAnsi="宋体"/>
          <w:b/>
          <w:sz w:val="24"/>
        </w:rPr>
        <w:t>Q:目前双模和国际相关技术水平相比处在什么水平？欧美厂商是否有类似产品？</w:t>
      </w:r>
      <w:bookmarkEnd w:id="0"/>
    </w:p>
    <w:p>
      <w:pPr>
        <w:spacing w:line="360" w:lineRule="auto"/>
        <w:ind w:firstLine="480" w:firstLineChars="200"/>
        <w:rPr>
          <w:rFonts w:ascii="宋体" w:hAnsi="宋体"/>
          <w:sz w:val="24"/>
        </w:rPr>
      </w:pPr>
      <w:r>
        <w:rPr>
          <w:rFonts w:hint="eastAsia" w:ascii="宋体" w:hAnsi="宋体"/>
          <w:sz w:val="24"/>
        </w:rPr>
        <w:t>A：</w:t>
      </w:r>
      <w:r>
        <w:rPr>
          <w:rFonts w:ascii="宋体" w:hAnsi="宋体"/>
          <w:sz w:val="24"/>
        </w:rPr>
        <w:t>双模是国内电表通信厂家在中国电科院牵头下集体制定的完全自主知识产权技术，在智能电表采集通信这个细分领域处于国际领先水平，欧美厂商还没有研发类似载波和无线混合组网的双模通信。 公司的通信业务布局也是除国内集抄市场领域外，也在积极推进海外市场的批量应用，通信模块也已出海多个海外国家，目前基于宽带载波通信模组产品已规模化应用于孟加拉电力市场，有效解决了当地复杂人居环境下的用电信息采集问题，显著提高了当地电力通信的实时性、可靠性和稳定性，有力提升了孟加拉电力系统的智能化水平。</w:t>
      </w:r>
    </w:p>
    <w:p>
      <w:pPr>
        <w:spacing w:line="360" w:lineRule="auto"/>
        <w:ind w:firstLine="480" w:firstLineChars="200"/>
        <w:rPr>
          <w:rFonts w:ascii="宋体" w:hAnsi="宋体"/>
          <w:sz w:val="24"/>
        </w:rPr>
      </w:pPr>
    </w:p>
    <w:p>
      <w:pPr>
        <w:spacing w:line="360" w:lineRule="auto"/>
        <w:ind w:firstLine="482" w:firstLineChars="200"/>
        <w:rPr>
          <w:rFonts w:ascii="宋体" w:hAnsi="宋体"/>
          <w:b/>
          <w:sz w:val="24"/>
        </w:rPr>
      </w:pPr>
      <w:r>
        <w:rPr>
          <w:rFonts w:hint="eastAsia" w:ascii="宋体" w:hAnsi="宋体"/>
          <w:b/>
          <w:sz w:val="24"/>
        </w:rPr>
        <w:t xml:space="preserve">Q：公司在海外市场优势以及展望下海外市场的持续性？ </w:t>
      </w:r>
    </w:p>
    <w:p>
      <w:pPr>
        <w:spacing w:line="360" w:lineRule="auto"/>
        <w:ind w:firstLine="480" w:firstLineChars="200"/>
        <w:rPr>
          <w:rFonts w:ascii="宋体" w:hAnsi="宋体"/>
          <w:sz w:val="24"/>
        </w:rPr>
      </w:pPr>
      <w:r>
        <w:rPr>
          <w:rFonts w:hint="eastAsia" w:ascii="宋体" w:hAnsi="宋体"/>
          <w:sz w:val="24"/>
        </w:rPr>
        <w:t>A：公司的海外市场战略定位，由一带一路和亚非拉，正进一步布局到欧洲市场。产品和业务发展策略是充分发挥公司在智慧能源和智慧城市领域的综合纵向全贯通解决方案能力综合性价比优势。</w:t>
      </w:r>
    </w:p>
    <w:p>
      <w:pPr>
        <w:spacing w:line="360" w:lineRule="auto"/>
        <w:ind w:firstLine="480" w:firstLineChars="200"/>
        <w:rPr>
          <w:rFonts w:ascii="宋体" w:hAnsi="宋体"/>
          <w:sz w:val="24"/>
        </w:rPr>
      </w:pPr>
      <w:r>
        <w:rPr>
          <w:rFonts w:hint="eastAsia" w:ascii="宋体" w:hAnsi="宋体"/>
          <w:sz w:val="24"/>
        </w:rPr>
        <w:t>面向一带一路和亚非拉相对经济发展滞后的国家，其有快速发展智慧电力和水务以促进其工业和经济发展以及满足民生的刚性需求，而其本国在标准体系、本地工业支撑能力方面存在不足且不平衡，正好可以充分发挥公司在纵向技术和产品层面全覆盖的技术和能力优势。而针对经济较好且有一定本地产业基础的市场，以及在亚非拉相对不发达市场所面临的来自国际领先企业的竞争方面，公司可发挥产品及技术覆盖面大、综合性价比高、市场响应速度快、国际多元化市场开拓经验相对丰富、智能制造水平较高等竞争优势。</w:t>
      </w:r>
    </w:p>
    <w:p>
      <w:pPr>
        <w:spacing w:line="420" w:lineRule="exact"/>
        <w:ind w:firstLine="480" w:firstLineChars="200"/>
        <w:rPr>
          <w:rFonts w:hAnsi="宋体" w:cstheme="minorBidi"/>
          <w:bCs/>
          <w:sz w:val="24"/>
        </w:rPr>
      </w:pPr>
      <w:r>
        <w:rPr>
          <w:rFonts w:hint="eastAsia" w:ascii="宋体" w:hAnsi="宋体"/>
          <w:sz w:val="24"/>
        </w:rPr>
        <w:t>未来的趋势，用户将会逐步从关注末端智能设备，向通信的可靠和实时行、数据的多样性和更加丰富的系统应用方面转型，给公司海外市场带来可持续性的发展机遇，同时，多行业拓展也给持续发展建立了多点支撑的保障体系。</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228584"/>
    </w:sdtPr>
    <w:sdtContent>
      <w:p>
        <w:pPr>
          <w:pStyle w:val="9"/>
          <w:jc w:val="center"/>
        </w:pPr>
        <w:r>
          <w:fldChar w:fldCharType="begin"/>
        </w:r>
        <w:r>
          <w:instrText xml:space="preserve"> PAGE   \* MERGEFORMAT </w:instrText>
        </w:r>
        <w:r>
          <w:fldChar w:fldCharType="separate"/>
        </w:r>
        <w:r>
          <w:rPr>
            <w:lang w:val="zh-CN"/>
          </w:rPr>
          <w:t>2</w:t>
        </w:r>
        <w:r>
          <w:rPr>
            <w:lang w:val="zh-CN"/>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AE719B"/>
    <w:multiLevelType w:val="multilevel"/>
    <w:tmpl w:val="62AE719B"/>
    <w:lvl w:ilvl="0" w:tentative="0">
      <w:start w:val="1"/>
      <w:numFmt w:val="japaneseCounting"/>
      <w:lvlText w:val="%1、"/>
      <w:lvlJc w:val="left"/>
      <w:pPr>
        <w:ind w:left="1216" w:hanging="720"/>
      </w:pPr>
      <w:rPr>
        <w:rFonts w:hint="default"/>
      </w:rPr>
    </w:lvl>
    <w:lvl w:ilvl="1" w:tentative="0">
      <w:start w:val="1"/>
      <w:numFmt w:val="lowerLetter"/>
      <w:lvlText w:val="%2)"/>
      <w:lvlJc w:val="left"/>
      <w:pPr>
        <w:ind w:left="1336" w:hanging="420"/>
      </w:pPr>
    </w:lvl>
    <w:lvl w:ilvl="2" w:tentative="0">
      <w:start w:val="1"/>
      <w:numFmt w:val="lowerRoman"/>
      <w:lvlText w:val="%3."/>
      <w:lvlJc w:val="right"/>
      <w:pPr>
        <w:ind w:left="1756" w:hanging="420"/>
      </w:pPr>
    </w:lvl>
    <w:lvl w:ilvl="3" w:tentative="0">
      <w:start w:val="1"/>
      <w:numFmt w:val="decimal"/>
      <w:lvlText w:val="%4."/>
      <w:lvlJc w:val="left"/>
      <w:pPr>
        <w:ind w:left="2176" w:hanging="420"/>
      </w:pPr>
    </w:lvl>
    <w:lvl w:ilvl="4" w:tentative="0">
      <w:start w:val="1"/>
      <w:numFmt w:val="lowerLetter"/>
      <w:lvlText w:val="%5)"/>
      <w:lvlJc w:val="left"/>
      <w:pPr>
        <w:ind w:left="2596" w:hanging="420"/>
      </w:pPr>
    </w:lvl>
    <w:lvl w:ilvl="5" w:tentative="0">
      <w:start w:val="1"/>
      <w:numFmt w:val="lowerRoman"/>
      <w:lvlText w:val="%6."/>
      <w:lvlJc w:val="right"/>
      <w:pPr>
        <w:ind w:left="3016" w:hanging="420"/>
      </w:pPr>
    </w:lvl>
    <w:lvl w:ilvl="6" w:tentative="0">
      <w:start w:val="1"/>
      <w:numFmt w:val="decimal"/>
      <w:lvlText w:val="%7."/>
      <w:lvlJc w:val="left"/>
      <w:pPr>
        <w:ind w:left="3436" w:hanging="420"/>
      </w:pPr>
    </w:lvl>
    <w:lvl w:ilvl="7" w:tentative="0">
      <w:start w:val="1"/>
      <w:numFmt w:val="lowerLetter"/>
      <w:lvlText w:val="%8)"/>
      <w:lvlJc w:val="left"/>
      <w:pPr>
        <w:ind w:left="3856" w:hanging="420"/>
      </w:pPr>
    </w:lvl>
    <w:lvl w:ilvl="8" w:tentative="0">
      <w:start w:val="1"/>
      <w:numFmt w:val="lowerRoman"/>
      <w:lvlText w:val="%9."/>
      <w:lvlJc w:val="right"/>
      <w:pPr>
        <w:ind w:left="427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kzMjM2YTlmNTQ2ZWRjOWUyNmVlNzhmNjdhZTRkNGEifQ=="/>
  </w:docVars>
  <w:rsids>
    <w:rsidRoot w:val="00AB2798"/>
    <w:rsid w:val="000017B4"/>
    <w:rsid w:val="00002A46"/>
    <w:rsid w:val="000053AF"/>
    <w:rsid w:val="0000583C"/>
    <w:rsid w:val="00010F84"/>
    <w:rsid w:val="000118C7"/>
    <w:rsid w:val="00012154"/>
    <w:rsid w:val="00012F86"/>
    <w:rsid w:val="000179CC"/>
    <w:rsid w:val="00021286"/>
    <w:rsid w:val="0003221B"/>
    <w:rsid w:val="0003287C"/>
    <w:rsid w:val="00035C82"/>
    <w:rsid w:val="00036B91"/>
    <w:rsid w:val="000379FC"/>
    <w:rsid w:val="0004009F"/>
    <w:rsid w:val="00041AA4"/>
    <w:rsid w:val="000460F4"/>
    <w:rsid w:val="000465BE"/>
    <w:rsid w:val="00050564"/>
    <w:rsid w:val="00051218"/>
    <w:rsid w:val="00053FE4"/>
    <w:rsid w:val="000559A7"/>
    <w:rsid w:val="000619A7"/>
    <w:rsid w:val="00061AF6"/>
    <w:rsid w:val="0006525A"/>
    <w:rsid w:val="000657A5"/>
    <w:rsid w:val="0007247D"/>
    <w:rsid w:val="00073DB5"/>
    <w:rsid w:val="000747E3"/>
    <w:rsid w:val="00075A6C"/>
    <w:rsid w:val="00076A73"/>
    <w:rsid w:val="00077069"/>
    <w:rsid w:val="00081B64"/>
    <w:rsid w:val="00081EA4"/>
    <w:rsid w:val="00082BC8"/>
    <w:rsid w:val="00087A0F"/>
    <w:rsid w:val="00096C11"/>
    <w:rsid w:val="000978D6"/>
    <w:rsid w:val="0009798E"/>
    <w:rsid w:val="000C2C0E"/>
    <w:rsid w:val="000C2E6E"/>
    <w:rsid w:val="000C4844"/>
    <w:rsid w:val="000C5BC6"/>
    <w:rsid w:val="000C61F0"/>
    <w:rsid w:val="000D1826"/>
    <w:rsid w:val="000D25AB"/>
    <w:rsid w:val="000D2ED8"/>
    <w:rsid w:val="000D3B20"/>
    <w:rsid w:val="000D3BBD"/>
    <w:rsid w:val="000D61E9"/>
    <w:rsid w:val="000D6676"/>
    <w:rsid w:val="000D6ED2"/>
    <w:rsid w:val="000E4CA1"/>
    <w:rsid w:val="000F07FD"/>
    <w:rsid w:val="000F0A2D"/>
    <w:rsid w:val="000F776B"/>
    <w:rsid w:val="001023A7"/>
    <w:rsid w:val="00104CD8"/>
    <w:rsid w:val="001125A9"/>
    <w:rsid w:val="00116967"/>
    <w:rsid w:val="00122EE2"/>
    <w:rsid w:val="00130A4D"/>
    <w:rsid w:val="001328FA"/>
    <w:rsid w:val="00135B5C"/>
    <w:rsid w:val="0014192B"/>
    <w:rsid w:val="001420AE"/>
    <w:rsid w:val="00146059"/>
    <w:rsid w:val="0015283C"/>
    <w:rsid w:val="0015580F"/>
    <w:rsid w:val="00165654"/>
    <w:rsid w:val="00172D3D"/>
    <w:rsid w:val="001747D5"/>
    <w:rsid w:val="00175541"/>
    <w:rsid w:val="00175A4B"/>
    <w:rsid w:val="00176B6C"/>
    <w:rsid w:val="00177245"/>
    <w:rsid w:val="00180691"/>
    <w:rsid w:val="001836D1"/>
    <w:rsid w:val="00192240"/>
    <w:rsid w:val="0019259D"/>
    <w:rsid w:val="0019529F"/>
    <w:rsid w:val="00196C69"/>
    <w:rsid w:val="001A0F73"/>
    <w:rsid w:val="001A267B"/>
    <w:rsid w:val="001A30F8"/>
    <w:rsid w:val="001A48B4"/>
    <w:rsid w:val="001A55CC"/>
    <w:rsid w:val="001A623D"/>
    <w:rsid w:val="001A62EB"/>
    <w:rsid w:val="001A68D9"/>
    <w:rsid w:val="001A6AB3"/>
    <w:rsid w:val="001A7613"/>
    <w:rsid w:val="001B05AB"/>
    <w:rsid w:val="001B132A"/>
    <w:rsid w:val="001B329E"/>
    <w:rsid w:val="001B33FD"/>
    <w:rsid w:val="001B4998"/>
    <w:rsid w:val="001B6C90"/>
    <w:rsid w:val="001B74B4"/>
    <w:rsid w:val="001B7E14"/>
    <w:rsid w:val="001C1F07"/>
    <w:rsid w:val="001C418A"/>
    <w:rsid w:val="001C42BD"/>
    <w:rsid w:val="001D2857"/>
    <w:rsid w:val="001D4B0E"/>
    <w:rsid w:val="001D4E48"/>
    <w:rsid w:val="001D64CA"/>
    <w:rsid w:val="001D75A4"/>
    <w:rsid w:val="001E33D6"/>
    <w:rsid w:val="001E3445"/>
    <w:rsid w:val="001E3568"/>
    <w:rsid w:val="001E46F8"/>
    <w:rsid w:val="001E79A4"/>
    <w:rsid w:val="001F1F35"/>
    <w:rsid w:val="001F375F"/>
    <w:rsid w:val="002028B1"/>
    <w:rsid w:val="0020595F"/>
    <w:rsid w:val="00211B7B"/>
    <w:rsid w:val="002120D7"/>
    <w:rsid w:val="00214FE4"/>
    <w:rsid w:val="00217DCB"/>
    <w:rsid w:val="00226DB6"/>
    <w:rsid w:val="00230F04"/>
    <w:rsid w:val="00236B49"/>
    <w:rsid w:val="002407FE"/>
    <w:rsid w:val="00242B0F"/>
    <w:rsid w:val="002440BE"/>
    <w:rsid w:val="00244715"/>
    <w:rsid w:val="00244B12"/>
    <w:rsid w:val="00245C8E"/>
    <w:rsid w:val="00245DFD"/>
    <w:rsid w:val="00254272"/>
    <w:rsid w:val="00255B76"/>
    <w:rsid w:val="002564A3"/>
    <w:rsid w:val="00257DD4"/>
    <w:rsid w:val="00257F31"/>
    <w:rsid w:val="00264107"/>
    <w:rsid w:val="00267D9F"/>
    <w:rsid w:val="00275D88"/>
    <w:rsid w:val="002861B7"/>
    <w:rsid w:val="00290C4F"/>
    <w:rsid w:val="002A4620"/>
    <w:rsid w:val="002A64C7"/>
    <w:rsid w:val="002A6E38"/>
    <w:rsid w:val="002B1506"/>
    <w:rsid w:val="002B5CD8"/>
    <w:rsid w:val="002B6E51"/>
    <w:rsid w:val="002B6EB3"/>
    <w:rsid w:val="002C238E"/>
    <w:rsid w:val="002C540A"/>
    <w:rsid w:val="002C6142"/>
    <w:rsid w:val="002C76E4"/>
    <w:rsid w:val="002D0C22"/>
    <w:rsid w:val="002D129C"/>
    <w:rsid w:val="002D4481"/>
    <w:rsid w:val="002D665F"/>
    <w:rsid w:val="002E1A03"/>
    <w:rsid w:val="002E242F"/>
    <w:rsid w:val="002E399A"/>
    <w:rsid w:val="002F19C1"/>
    <w:rsid w:val="002F51EA"/>
    <w:rsid w:val="002F72AD"/>
    <w:rsid w:val="00300057"/>
    <w:rsid w:val="00300AB6"/>
    <w:rsid w:val="00301907"/>
    <w:rsid w:val="0030509D"/>
    <w:rsid w:val="00305906"/>
    <w:rsid w:val="003111F7"/>
    <w:rsid w:val="00314B5F"/>
    <w:rsid w:val="00315318"/>
    <w:rsid w:val="00316AE0"/>
    <w:rsid w:val="003215DA"/>
    <w:rsid w:val="00325933"/>
    <w:rsid w:val="00327C23"/>
    <w:rsid w:val="00330B7B"/>
    <w:rsid w:val="00332C8A"/>
    <w:rsid w:val="00344487"/>
    <w:rsid w:val="00344715"/>
    <w:rsid w:val="003471C6"/>
    <w:rsid w:val="00347FE2"/>
    <w:rsid w:val="00353B4A"/>
    <w:rsid w:val="00360466"/>
    <w:rsid w:val="00362CA0"/>
    <w:rsid w:val="00366610"/>
    <w:rsid w:val="00367B4A"/>
    <w:rsid w:val="003703CB"/>
    <w:rsid w:val="00372E76"/>
    <w:rsid w:val="00374FEE"/>
    <w:rsid w:val="00375F96"/>
    <w:rsid w:val="003801B6"/>
    <w:rsid w:val="00380A58"/>
    <w:rsid w:val="00380CEF"/>
    <w:rsid w:val="00382AF1"/>
    <w:rsid w:val="00387CEC"/>
    <w:rsid w:val="0039075C"/>
    <w:rsid w:val="00397464"/>
    <w:rsid w:val="003A24BF"/>
    <w:rsid w:val="003A4F04"/>
    <w:rsid w:val="003B0712"/>
    <w:rsid w:val="003B1C9B"/>
    <w:rsid w:val="003B3E1D"/>
    <w:rsid w:val="003B4D45"/>
    <w:rsid w:val="003B69BE"/>
    <w:rsid w:val="003C0608"/>
    <w:rsid w:val="003C4B59"/>
    <w:rsid w:val="003C4D2E"/>
    <w:rsid w:val="003C4E4B"/>
    <w:rsid w:val="003C7CA8"/>
    <w:rsid w:val="003D22D6"/>
    <w:rsid w:val="003D3BEC"/>
    <w:rsid w:val="003D6BCA"/>
    <w:rsid w:val="003E0A70"/>
    <w:rsid w:val="003E4DDE"/>
    <w:rsid w:val="003E4E24"/>
    <w:rsid w:val="003E5ADA"/>
    <w:rsid w:val="003F0B55"/>
    <w:rsid w:val="003F50A5"/>
    <w:rsid w:val="003F6B4E"/>
    <w:rsid w:val="00401D02"/>
    <w:rsid w:val="0040361D"/>
    <w:rsid w:val="00404CCE"/>
    <w:rsid w:val="00413E22"/>
    <w:rsid w:val="00417B0D"/>
    <w:rsid w:val="00422076"/>
    <w:rsid w:val="00422853"/>
    <w:rsid w:val="00423D81"/>
    <w:rsid w:val="00425FF5"/>
    <w:rsid w:val="004315F2"/>
    <w:rsid w:val="004323F6"/>
    <w:rsid w:val="00434ED2"/>
    <w:rsid w:val="00436817"/>
    <w:rsid w:val="004410D1"/>
    <w:rsid w:val="00446D7C"/>
    <w:rsid w:val="00451D60"/>
    <w:rsid w:val="00455FE2"/>
    <w:rsid w:val="0045664D"/>
    <w:rsid w:val="004663BA"/>
    <w:rsid w:val="0047646D"/>
    <w:rsid w:val="0048039F"/>
    <w:rsid w:val="00483E2E"/>
    <w:rsid w:val="00487EEB"/>
    <w:rsid w:val="004944EC"/>
    <w:rsid w:val="00495530"/>
    <w:rsid w:val="004A47C8"/>
    <w:rsid w:val="004A486B"/>
    <w:rsid w:val="004A7D16"/>
    <w:rsid w:val="004B127A"/>
    <w:rsid w:val="004C17B7"/>
    <w:rsid w:val="004C4E01"/>
    <w:rsid w:val="004C5CB4"/>
    <w:rsid w:val="004C71E7"/>
    <w:rsid w:val="004C741A"/>
    <w:rsid w:val="004C7ED7"/>
    <w:rsid w:val="004D1F28"/>
    <w:rsid w:val="004D2403"/>
    <w:rsid w:val="004D24B6"/>
    <w:rsid w:val="004D4340"/>
    <w:rsid w:val="004D62BB"/>
    <w:rsid w:val="004D6DC1"/>
    <w:rsid w:val="004E3254"/>
    <w:rsid w:val="004E4DEA"/>
    <w:rsid w:val="004E6B3D"/>
    <w:rsid w:val="004F0EE5"/>
    <w:rsid w:val="004F15DD"/>
    <w:rsid w:val="004F3E88"/>
    <w:rsid w:val="004F3F77"/>
    <w:rsid w:val="004F48E2"/>
    <w:rsid w:val="004F54C5"/>
    <w:rsid w:val="004F7CD4"/>
    <w:rsid w:val="0050028D"/>
    <w:rsid w:val="00500F85"/>
    <w:rsid w:val="00501312"/>
    <w:rsid w:val="005032B1"/>
    <w:rsid w:val="00505E8E"/>
    <w:rsid w:val="005108D6"/>
    <w:rsid w:val="0051103A"/>
    <w:rsid w:val="005112E9"/>
    <w:rsid w:val="00511423"/>
    <w:rsid w:val="00511532"/>
    <w:rsid w:val="00511A45"/>
    <w:rsid w:val="00511C79"/>
    <w:rsid w:val="005127CE"/>
    <w:rsid w:val="005138E9"/>
    <w:rsid w:val="00514EAA"/>
    <w:rsid w:val="0052019A"/>
    <w:rsid w:val="00522093"/>
    <w:rsid w:val="00522CFB"/>
    <w:rsid w:val="00524124"/>
    <w:rsid w:val="005333B6"/>
    <w:rsid w:val="00541D54"/>
    <w:rsid w:val="005431E5"/>
    <w:rsid w:val="00547E96"/>
    <w:rsid w:val="00552B23"/>
    <w:rsid w:val="00552F26"/>
    <w:rsid w:val="00561BC1"/>
    <w:rsid w:val="00563D2A"/>
    <w:rsid w:val="0056717F"/>
    <w:rsid w:val="0056737D"/>
    <w:rsid w:val="0057021E"/>
    <w:rsid w:val="00571EB7"/>
    <w:rsid w:val="00575216"/>
    <w:rsid w:val="0058129D"/>
    <w:rsid w:val="00582D00"/>
    <w:rsid w:val="005839AF"/>
    <w:rsid w:val="00587E9F"/>
    <w:rsid w:val="00590293"/>
    <w:rsid w:val="00594CD1"/>
    <w:rsid w:val="005950CE"/>
    <w:rsid w:val="005A0411"/>
    <w:rsid w:val="005A3C73"/>
    <w:rsid w:val="005A4E45"/>
    <w:rsid w:val="005A66E9"/>
    <w:rsid w:val="005A730A"/>
    <w:rsid w:val="005B099D"/>
    <w:rsid w:val="005B1959"/>
    <w:rsid w:val="005B4606"/>
    <w:rsid w:val="005B63B3"/>
    <w:rsid w:val="005B76AB"/>
    <w:rsid w:val="005B7C97"/>
    <w:rsid w:val="005C0213"/>
    <w:rsid w:val="005C1314"/>
    <w:rsid w:val="005C2BEB"/>
    <w:rsid w:val="005C39F3"/>
    <w:rsid w:val="005C3DA6"/>
    <w:rsid w:val="005C4103"/>
    <w:rsid w:val="005D374E"/>
    <w:rsid w:val="005D4501"/>
    <w:rsid w:val="005D474C"/>
    <w:rsid w:val="005D5269"/>
    <w:rsid w:val="005E3FAA"/>
    <w:rsid w:val="005E431B"/>
    <w:rsid w:val="005E59D5"/>
    <w:rsid w:val="005F2D5F"/>
    <w:rsid w:val="005F3044"/>
    <w:rsid w:val="00600266"/>
    <w:rsid w:val="006003B2"/>
    <w:rsid w:val="006057A4"/>
    <w:rsid w:val="0061377D"/>
    <w:rsid w:val="00615499"/>
    <w:rsid w:val="006158AC"/>
    <w:rsid w:val="00616FF4"/>
    <w:rsid w:val="0062028D"/>
    <w:rsid w:val="0062181E"/>
    <w:rsid w:val="00621DBA"/>
    <w:rsid w:val="00622723"/>
    <w:rsid w:val="006233BE"/>
    <w:rsid w:val="00623BB0"/>
    <w:rsid w:val="00626B36"/>
    <w:rsid w:val="00630E69"/>
    <w:rsid w:val="0063283C"/>
    <w:rsid w:val="006369AA"/>
    <w:rsid w:val="00641AF1"/>
    <w:rsid w:val="00646E06"/>
    <w:rsid w:val="0064737F"/>
    <w:rsid w:val="00662244"/>
    <w:rsid w:val="006645BA"/>
    <w:rsid w:val="0066597A"/>
    <w:rsid w:val="00665FE2"/>
    <w:rsid w:val="00672267"/>
    <w:rsid w:val="00672B7F"/>
    <w:rsid w:val="00674E25"/>
    <w:rsid w:val="0067755A"/>
    <w:rsid w:val="00681DD0"/>
    <w:rsid w:val="00683C53"/>
    <w:rsid w:val="0068404A"/>
    <w:rsid w:val="0068660F"/>
    <w:rsid w:val="006916AD"/>
    <w:rsid w:val="006926DE"/>
    <w:rsid w:val="006948EC"/>
    <w:rsid w:val="006A226D"/>
    <w:rsid w:val="006A4742"/>
    <w:rsid w:val="006A4BDA"/>
    <w:rsid w:val="006A67F9"/>
    <w:rsid w:val="006B273A"/>
    <w:rsid w:val="006B4B04"/>
    <w:rsid w:val="006C1475"/>
    <w:rsid w:val="006C3A70"/>
    <w:rsid w:val="006C51D5"/>
    <w:rsid w:val="006C53F9"/>
    <w:rsid w:val="006C5B81"/>
    <w:rsid w:val="006C621E"/>
    <w:rsid w:val="006C7F1A"/>
    <w:rsid w:val="006D2989"/>
    <w:rsid w:val="006D3ABE"/>
    <w:rsid w:val="006D639A"/>
    <w:rsid w:val="006E26C4"/>
    <w:rsid w:val="006E3A96"/>
    <w:rsid w:val="006E60F8"/>
    <w:rsid w:val="006E7130"/>
    <w:rsid w:val="006E79F7"/>
    <w:rsid w:val="006E7D59"/>
    <w:rsid w:val="006F162B"/>
    <w:rsid w:val="006F37D6"/>
    <w:rsid w:val="007018E9"/>
    <w:rsid w:val="00703242"/>
    <w:rsid w:val="0070386D"/>
    <w:rsid w:val="00705397"/>
    <w:rsid w:val="007073CA"/>
    <w:rsid w:val="007117FB"/>
    <w:rsid w:val="007122CF"/>
    <w:rsid w:val="00713591"/>
    <w:rsid w:val="00714C2A"/>
    <w:rsid w:val="0071718E"/>
    <w:rsid w:val="007172AE"/>
    <w:rsid w:val="007205B3"/>
    <w:rsid w:val="00721136"/>
    <w:rsid w:val="007216FC"/>
    <w:rsid w:val="00722DB7"/>
    <w:rsid w:val="00725282"/>
    <w:rsid w:val="00727AA6"/>
    <w:rsid w:val="0073104C"/>
    <w:rsid w:val="00731863"/>
    <w:rsid w:val="00735B4E"/>
    <w:rsid w:val="00741A91"/>
    <w:rsid w:val="0074618B"/>
    <w:rsid w:val="0074692B"/>
    <w:rsid w:val="00747666"/>
    <w:rsid w:val="0075086C"/>
    <w:rsid w:val="00751921"/>
    <w:rsid w:val="007521B0"/>
    <w:rsid w:val="00752529"/>
    <w:rsid w:val="00753B49"/>
    <w:rsid w:val="00754B40"/>
    <w:rsid w:val="00764FF2"/>
    <w:rsid w:val="00765B9D"/>
    <w:rsid w:val="007662B5"/>
    <w:rsid w:val="00773115"/>
    <w:rsid w:val="00774DF4"/>
    <w:rsid w:val="0077651B"/>
    <w:rsid w:val="00776C76"/>
    <w:rsid w:val="007829D2"/>
    <w:rsid w:val="00786F28"/>
    <w:rsid w:val="00786FB7"/>
    <w:rsid w:val="007911D2"/>
    <w:rsid w:val="0079241C"/>
    <w:rsid w:val="00793BE3"/>
    <w:rsid w:val="007956EC"/>
    <w:rsid w:val="0079632A"/>
    <w:rsid w:val="00796641"/>
    <w:rsid w:val="00796741"/>
    <w:rsid w:val="007973CE"/>
    <w:rsid w:val="00797D85"/>
    <w:rsid w:val="007A1D54"/>
    <w:rsid w:val="007A2D73"/>
    <w:rsid w:val="007A7D32"/>
    <w:rsid w:val="007B049E"/>
    <w:rsid w:val="007B2357"/>
    <w:rsid w:val="007B3792"/>
    <w:rsid w:val="007B3CF4"/>
    <w:rsid w:val="007B4FFB"/>
    <w:rsid w:val="007B75A5"/>
    <w:rsid w:val="007B762C"/>
    <w:rsid w:val="007C214F"/>
    <w:rsid w:val="007C5BB8"/>
    <w:rsid w:val="007D1503"/>
    <w:rsid w:val="007D2381"/>
    <w:rsid w:val="007E12B9"/>
    <w:rsid w:val="007E34F2"/>
    <w:rsid w:val="007E3983"/>
    <w:rsid w:val="007E3A31"/>
    <w:rsid w:val="007E72B4"/>
    <w:rsid w:val="007F1022"/>
    <w:rsid w:val="007F1425"/>
    <w:rsid w:val="00807D02"/>
    <w:rsid w:val="00813C6D"/>
    <w:rsid w:val="00814A85"/>
    <w:rsid w:val="00820EEB"/>
    <w:rsid w:val="00821BCB"/>
    <w:rsid w:val="00821E86"/>
    <w:rsid w:val="0082652E"/>
    <w:rsid w:val="00831EBE"/>
    <w:rsid w:val="0084448F"/>
    <w:rsid w:val="008505B2"/>
    <w:rsid w:val="0085529F"/>
    <w:rsid w:val="00860E48"/>
    <w:rsid w:val="00866A59"/>
    <w:rsid w:val="008670E8"/>
    <w:rsid w:val="008715C8"/>
    <w:rsid w:val="008746E6"/>
    <w:rsid w:val="00875D3B"/>
    <w:rsid w:val="00876371"/>
    <w:rsid w:val="0087741B"/>
    <w:rsid w:val="008808F6"/>
    <w:rsid w:val="00881CD7"/>
    <w:rsid w:val="008872EE"/>
    <w:rsid w:val="00893EBF"/>
    <w:rsid w:val="008A152F"/>
    <w:rsid w:val="008A1B4C"/>
    <w:rsid w:val="008A1C84"/>
    <w:rsid w:val="008A594B"/>
    <w:rsid w:val="008A7828"/>
    <w:rsid w:val="008B031E"/>
    <w:rsid w:val="008B22FA"/>
    <w:rsid w:val="008B754E"/>
    <w:rsid w:val="008C1A2A"/>
    <w:rsid w:val="008C40BB"/>
    <w:rsid w:val="008C5917"/>
    <w:rsid w:val="008D5DF1"/>
    <w:rsid w:val="008D7764"/>
    <w:rsid w:val="008E0E60"/>
    <w:rsid w:val="008E192A"/>
    <w:rsid w:val="008E1AC7"/>
    <w:rsid w:val="008E3FF5"/>
    <w:rsid w:val="008E4A9F"/>
    <w:rsid w:val="008F76C1"/>
    <w:rsid w:val="009020E2"/>
    <w:rsid w:val="0090415B"/>
    <w:rsid w:val="009042F6"/>
    <w:rsid w:val="00906E4A"/>
    <w:rsid w:val="00907677"/>
    <w:rsid w:val="00907B22"/>
    <w:rsid w:val="009114D4"/>
    <w:rsid w:val="009130FA"/>
    <w:rsid w:val="009144B9"/>
    <w:rsid w:val="00914AF1"/>
    <w:rsid w:val="00916705"/>
    <w:rsid w:val="0091700A"/>
    <w:rsid w:val="0091742F"/>
    <w:rsid w:val="00922D36"/>
    <w:rsid w:val="0092301F"/>
    <w:rsid w:val="00925F18"/>
    <w:rsid w:val="009266C2"/>
    <w:rsid w:val="009275F7"/>
    <w:rsid w:val="00927DB2"/>
    <w:rsid w:val="00932212"/>
    <w:rsid w:val="00932F13"/>
    <w:rsid w:val="0093405A"/>
    <w:rsid w:val="00934A56"/>
    <w:rsid w:val="00934AA3"/>
    <w:rsid w:val="00934BE0"/>
    <w:rsid w:val="00935DDE"/>
    <w:rsid w:val="00936DF0"/>
    <w:rsid w:val="009408AE"/>
    <w:rsid w:val="009423E1"/>
    <w:rsid w:val="009430BC"/>
    <w:rsid w:val="009457FD"/>
    <w:rsid w:val="0094627F"/>
    <w:rsid w:val="009508B8"/>
    <w:rsid w:val="00952556"/>
    <w:rsid w:val="00954984"/>
    <w:rsid w:val="00960348"/>
    <w:rsid w:val="0096088B"/>
    <w:rsid w:val="0096380E"/>
    <w:rsid w:val="0096785F"/>
    <w:rsid w:val="00972277"/>
    <w:rsid w:val="009760CD"/>
    <w:rsid w:val="00977C72"/>
    <w:rsid w:val="00980062"/>
    <w:rsid w:val="00982DD9"/>
    <w:rsid w:val="00985697"/>
    <w:rsid w:val="009875BE"/>
    <w:rsid w:val="0098764E"/>
    <w:rsid w:val="00993C9D"/>
    <w:rsid w:val="009963F5"/>
    <w:rsid w:val="00997939"/>
    <w:rsid w:val="00997B6E"/>
    <w:rsid w:val="009A4073"/>
    <w:rsid w:val="009A56DF"/>
    <w:rsid w:val="009B0E2D"/>
    <w:rsid w:val="009B2C9C"/>
    <w:rsid w:val="009B5AFB"/>
    <w:rsid w:val="009B5EF9"/>
    <w:rsid w:val="009B6638"/>
    <w:rsid w:val="009C21DE"/>
    <w:rsid w:val="009C27DF"/>
    <w:rsid w:val="009C5034"/>
    <w:rsid w:val="009C7BD0"/>
    <w:rsid w:val="009D26A4"/>
    <w:rsid w:val="009D2EA9"/>
    <w:rsid w:val="009D3D9E"/>
    <w:rsid w:val="009D4632"/>
    <w:rsid w:val="009D4CB2"/>
    <w:rsid w:val="009D5220"/>
    <w:rsid w:val="009D7B58"/>
    <w:rsid w:val="009E17E8"/>
    <w:rsid w:val="009E5163"/>
    <w:rsid w:val="009F00FC"/>
    <w:rsid w:val="009F23FD"/>
    <w:rsid w:val="009F2AE8"/>
    <w:rsid w:val="009F6A56"/>
    <w:rsid w:val="00A00380"/>
    <w:rsid w:val="00A0050C"/>
    <w:rsid w:val="00A02669"/>
    <w:rsid w:val="00A03020"/>
    <w:rsid w:val="00A03783"/>
    <w:rsid w:val="00A03BF6"/>
    <w:rsid w:val="00A12963"/>
    <w:rsid w:val="00A157ED"/>
    <w:rsid w:val="00A204BA"/>
    <w:rsid w:val="00A21E19"/>
    <w:rsid w:val="00A227C7"/>
    <w:rsid w:val="00A23FCD"/>
    <w:rsid w:val="00A27420"/>
    <w:rsid w:val="00A3263A"/>
    <w:rsid w:val="00A35AB9"/>
    <w:rsid w:val="00A504D3"/>
    <w:rsid w:val="00A5131D"/>
    <w:rsid w:val="00A519D7"/>
    <w:rsid w:val="00A55013"/>
    <w:rsid w:val="00A609FA"/>
    <w:rsid w:val="00A61FC6"/>
    <w:rsid w:val="00A62D18"/>
    <w:rsid w:val="00A640FC"/>
    <w:rsid w:val="00A648F7"/>
    <w:rsid w:val="00A64FC9"/>
    <w:rsid w:val="00A67DB9"/>
    <w:rsid w:val="00A724CF"/>
    <w:rsid w:val="00A726EF"/>
    <w:rsid w:val="00A73B7A"/>
    <w:rsid w:val="00A73C9E"/>
    <w:rsid w:val="00A757AA"/>
    <w:rsid w:val="00A75CA8"/>
    <w:rsid w:val="00A80C14"/>
    <w:rsid w:val="00A83E31"/>
    <w:rsid w:val="00A86251"/>
    <w:rsid w:val="00A9033B"/>
    <w:rsid w:val="00A93DDE"/>
    <w:rsid w:val="00A945E6"/>
    <w:rsid w:val="00A94F16"/>
    <w:rsid w:val="00A9650B"/>
    <w:rsid w:val="00AA1EC1"/>
    <w:rsid w:val="00AA3177"/>
    <w:rsid w:val="00AA388B"/>
    <w:rsid w:val="00AA60CB"/>
    <w:rsid w:val="00AB05FA"/>
    <w:rsid w:val="00AB13BE"/>
    <w:rsid w:val="00AB2798"/>
    <w:rsid w:val="00AB428B"/>
    <w:rsid w:val="00AB4D2C"/>
    <w:rsid w:val="00AC0738"/>
    <w:rsid w:val="00AD1D83"/>
    <w:rsid w:val="00AD364F"/>
    <w:rsid w:val="00AD40E5"/>
    <w:rsid w:val="00AD528F"/>
    <w:rsid w:val="00AE2F26"/>
    <w:rsid w:val="00AE3265"/>
    <w:rsid w:val="00AE454F"/>
    <w:rsid w:val="00AE59C0"/>
    <w:rsid w:val="00AE5AFD"/>
    <w:rsid w:val="00AE751C"/>
    <w:rsid w:val="00AF0A48"/>
    <w:rsid w:val="00AF241E"/>
    <w:rsid w:val="00AF3410"/>
    <w:rsid w:val="00AF7AEA"/>
    <w:rsid w:val="00B00728"/>
    <w:rsid w:val="00B017D8"/>
    <w:rsid w:val="00B0500D"/>
    <w:rsid w:val="00B10FE2"/>
    <w:rsid w:val="00B17182"/>
    <w:rsid w:val="00B23103"/>
    <w:rsid w:val="00B2396E"/>
    <w:rsid w:val="00B2436C"/>
    <w:rsid w:val="00B273B6"/>
    <w:rsid w:val="00B30DF1"/>
    <w:rsid w:val="00B3156C"/>
    <w:rsid w:val="00B31E04"/>
    <w:rsid w:val="00B33BD7"/>
    <w:rsid w:val="00B40811"/>
    <w:rsid w:val="00B42C24"/>
    <w:rsid w:val="00B4421D"/>
    <w:rsid w:val="00B45702"/>
    <w:rsid w:val="00B45E44"/>
    <w:rsid w:val="00B46EB8"/>
    <w:rsid w:val="00B50D88"/>
    <w:rsid w:val="00B50F0D"/>
    <w:rsid w:val="00B54262"/>
    <w:rsid w:val="00B55629"/>
    <w:rsid w:val="00B55CA7"/>
    <w:rsid w:val="00B63C5E"/>
    <w:rsid w:val="00B67D22"/>
    <w:rsid w:val="00B74590"/>
    <w:rsid w:val="00B763C6"/>
    <w:rsid w:val="00B850A1"/>
    <w:rsid w:val="00B86A08"/>
    <w:rsid w:val="00B875A0"/>
    <w:rsid w:val="00B9132B"/>
    <w:rsid w:val="00B93B0A"/>
    <w:rsid w:val="00B960B5"/>
    <w:rsid w:val="00BA0607"/>
    <w:rsid w:val="00BA1424"/>
    <w:rsid w:val="00BA4C8A"/>
    <w:rsid w:val="00BA7D43"/>
    <w:rsid w:val="00BB3824"/>
    <w:rsid w:val="00BB3FB3"/>
    <w:rsid w:val="00BB716A"/>
    <w:rsid w:val="00BB76A7"/>
    <w:rsid w:val="00BC38FA"/>
    <w:rsid w:val="00BC3CEF"/>
    <w:rsid w:val="00BC50C4"/>
    <w:rsid w:val="00BC72B1"/>
    <w:rsid w:val="00BD0065"/>
    <w:rsid w:val="00BD1EA6"/>
    <w:rsid w:val="00BD2A52"/>
    <w:rsid w:val="00BD3A6C"/>
    <w:rsid w:val="00BD6901"/>
    <w:rsid w:val="00BD6923"/>
    <w:rsid w:val="00BE55A7"/>
    <w:rsid w:val="00BE5631"/>
    <w:rsid w:val="00BE6C53"/>
    <w:rsid w:val="00BE7324"/>
    <w:rsid w:val="00BF107B"/>
    <w:rsid w:val="00BF27FC"/>
    <w:rsid w:val="00BF4447"/>
    <w:rsid w:val="00BF4DB4"/>
    <w:rsid w:val="00BF50CF"/>
    <w:rsid w:val="00BF6131"/>
    <w:rsid w:val="00BF6532"/>
    <w:rsid w:val="00C00445"/>
    <w:rsid w:val="00C01294"/>
    <w:rsid w:val="00C0271B"/>
    <w:rsid w:val="00C02B89"/>
    <w:rsid w:val="00C0411E"/>
    <w:rsid w:val="00C05A1C"/>
    <w:rsid w:val="00C1358C"/>
    <w:rsid w:val="00C17334"/>
    <w:rsid w:val="00C22C70"/>
    <w:rsid w:val="00C25A1F"/>
    <w:rsid w:val="00C3031E"/>
    <w:rsid w:val="00C31290"/>
    <w:rsid w:val="00C31650"/>
    <w:rsid w:val="00C31C84"/>
    <w:rsid w:val="00C32807"/>
    <w:rsid w:val="00C35A99"/>
    <w:rsid w:val="00C374D7"/>
    <w:rsid w:val="00C44103"/>
    <w:rsid w:val="00C47C1A"/>
    <w:rsid w:val="00C51910"/>
    <w:rsid w:val="00C539FB"/>
    <w:rsid w:val="00C542E9"/>
    <w:rsid w:val="00C54A84"/>
    <w:rsid w:val="00C56130"/>
    <w:rsid w:val="00C56BD0"/>
    <w:rsid w:val="00C6347B"/>
    <w:rsid w:val="00C63D31"/>
    <w:rsid w:val="00C65242"/>
    <w:rsid w:val="00C671F9"/>
    <w:rsid w:val="00C704E7"/>
    <w:rsid w:val="00C758DC"/>
    <w:rsid w:val="00C75D98"/>
    <w:rsid w:val="00C84D2E"/>
    <w:rsid w:val="00C90230"/>
    <w:rsid w:val="00C9328A"/>
    <w:rsid w:val="00C96A61"/>
    <w:rsid w:val="00C97615"/>
    <w:rsid w:val="00C979A7"/>
    <w:rsid w:val="00CA102D"/>
    <w:rsid w:val="00CA1629"/>
    <w:rsid w:val="00CA3E5C"/>
    <w:rsid w:val="00CB0552"/>
    <w:rsid w:val="00CB20C1"/>
    <w:rsid w:val="00CB25F0"/>
    <w:rsid w:val="00CB2B1E"/>
    <w:rsid w:val="00CB3077"/>
    <w:rsid w:val="00CB36FF"/>
    <w:rsid w:val="00CB445A"/>
    <w:rsid w:val="00CC4CEA"/>
    <w:rsid w:val="00CD40B9"/>
    <w:rsid w:val="00CD726B"/>
    <w:rsid w:val="00CE14AF"/>
    <w:rsid w:val="00CE19CC"/>
    <w:rsid w:val="00CE676C"/>
    <w:rsid w:val="00CE71EA"/>
    <w:rsid w:val="00CF0C73"/>
    <w:rsid w:val="00CF596C"/>
    <w:rsid w:val="00CF6AFF"/>
    <w:rsid w:val="00CF791A"/>
    <w:rsid w:val="00D0070E"/>
    <w:rsid w:val="00D01563"/>
    <w:rsid w:val="00D01DA0"/>
    <w:rsid w:val="00D02A1F"/>
    <w:rsid w:val="00D03D76"/>
    <w:rsid w:val="00D12059"/>
    <w:rsid w:val="00D16020"/>
    <w:rsid w:val="00D1718C"/>
    <w:rsid w:val="00D22A57"/>
    <w:rsid w:val="00D22E77"/>
    <w:rsid w:val="00D2669A"/>
    <w:rsid w:val="00D2689D"/>
    <w:rsid w:val="00D3242F"/>
    <w:rsid w:val="00D34FF7"/>
    <w:rsid w:val="00D355EA"/>
    <w:rsid w:val="00D37857"/>
    <w:rsid w:val="00D42A95"/>
    <w:rsid w:val="00D44692"/>
    <w:rsid w:val="00D4726F"/>
    <w:rsid w:val="00D53E4E"/>
    <w:rsid w:val="00D61C5F"/>
    <w:rsid w:val="00D61ED9"/>
    <w:rsid w:val="00D6213E"/>
    <w:rsid w:val="00D62D1A"/>
    <w:rsid w:val="00D6766F"/>
    <w:rsid w:val="00D700F1"/>
    <w:rsid w:val="00D71520"/>
    <w:rsid w:val="00D71F7F"/>
    <w:rsid w:val="00D72747"/>
    <w:rsid w:val="00D74251"/>
    <w:rsid w:val="00D74DAD"/>
    <w:rsid w:val="00D8432F"/>
    <w:rsid w:val="00D8535A"/>
    <w:rsid w:val="00D8639C"/>
    <w:rsid w:val="00D936CB"/>
    <w:rsid w:val="00D9502F"/>
    <w:rsid w:val="00D95542"/>
    <w:rsid w:val="00D962A9"/>
    <w:rsid w:val="00D974AF"/>
    <w:rsid w:val="00DA286F"/>
    <w:rsid w:val="00DB0550"/>
    <w:rsid w:val="00DB15A1"/>
    <w:rsid w:val="00DB2B91"/>
    <w:rsid w:val="00DB3540"/>
    <w:rsid w:val="00DB4E98"/>
    <w:rsid w:val="00DC6D68"/>
    <w:rsid w:val="00DD0132"/>
    <w:rsid w:val="00DD1CFF"/>
    <w:rsid w:val="00DD202B"/>
    <w:rsid w:val="00DD4078"/>
    <w:rsid w:val="00DD5343"/>
    <w:rsid w:val="00DD568C"/>
    <w:rsid w:val="00DD7254"/>
    <w:rsid w:val="00DE3630"/>
    <w:rsid w:val="00DE3B36"/>
    <w:rsid w:val="00DE605A"/>
    <w:rsid w:val="00DE726A"/>
    <w:rsid w:val="00DF0101"/>
    <w:rsid w:val="00DF1FB4"/>
    <w:rsid w:val="00DF2447"/>
    <w:rsid w:val="00DF4BD3"/>
    <w:rsid w:val="00E03345"/>
    <w:rsid w:val="00E03420"/>
    <w:rsid w:val="00E1049A"/>
    <w:rsid w:val="00E11C84"/>
    <w:rsid w:val="00E13B1E"/>
    <w:rsid w:val="00E1501D"/>
    <w:rsid w:val="00E22C67"/>
    <w:rsid w:val="00E236B4"/>
    <w:rsid w:val="00E27864"/>
    <w:rsid w:val="00E27BB7"/>
    <w:rsid w:val="00E27BCE"/>
    <w:rsid w:val="00E30C34"/>
    <w:rsid w:val="00E346BF"/>
    <w:rsid w:val="00E34C7F"/>
    <w:rsid w:val="00E50DFB"/>
    <w:rsid w:val="00E543D8"/>
    <w:rsid w:val="00E561B5"/>
    <w:rsid w:val="00E56AB3"/>
    <w:rsid w:val="00E615E2"/>
    <w:rsid w:val="00E62060"/>
    <w:rsid w:val="00E64D25"/>
    <w:rsid w:val="00E65143"/>
    <w:rsid w:val="00E67CB4"/>
    <w:rsid w:val="00E70DAB"/>
    <w:rsid w:val="00E72FCB"/>
    <w:rsid w:val="00E81198"/>
    <w:rsid w:val="00E83AB9"/>
    <w:rsid w:val="00E83B2D"/>
    <w:rsid w:val="00E84936"/>
    <w:rsid w:val="00E871A5"/>
    <w:rsid w:val="00E97AB3"/>
    <w:rsid w:val="00EA0F9E"/>
    <w:rsid w:val="00EA2C4F"/>
    <w:rsid w:val="00EA4D21"/>
    <w:rsid w:val="00EA4D2D"/>
    <w:rsid w:val="00EA66CE"/>
    <w:rsid w:val="00EB0E12"/>
    <w:rsid w:val="00EB4597"/>
    <w:rsid w:val="00EB5D74"/>
    <w:rsid w:val="00EB5FB5"/>
    <w:rsid w:val="00EC06B9"/>
    <w:rsid w:val="00EC0737"/>
    <w:rsid w:val="00ED10EA"/>
    <w:rsid w:val="00ED2492"/>
    <w:rsid w:val="00ED5716"/>
    <w:rsid w:val="00ED6444"/>
    <w:rsid w:val="00EE48D0"/>
    <w:rsid w:val="00EE551E"/>
    <w:rsid w:val="00EE5C27"/>
    <w:rsid w:val="00EE5F75"/>
    <w:rsid w:val="00EE6C63"/>
    <w:rsid w:val="00EE7BB0"/>
    <w:rsid w:val="00EF035C"/>
    <w:rsid w:val="00EF17BD"/>
    <w:rsid w:val="00EF1EED"/>
    <w:rsid w:val="00EF490E"/>
    <w:rsid w:val="00EF5939"/>
    <w:rsid w:val="00EF678E"/>
    <w:rsid w:val="00EF7A03"/>
    <w:rsid w:val="00EF7FF0"/>
    <w:rsid w:val="00F0128D"/>
    <w:rsid w:val="00F01341"/>
    <w:rsid w:val="00F0285A"/>
    <w:rsid w:val="00F07FD9"/>
    <w:rsid w:val="00F11057"/>
    <w:rsid w:val="00F110CF"/>
    <w:rsid w:val="00F129FB"/>
    <w:rsid w:val="00F15308"/>
    <w:rsid w:val="00F15468"/>
    <w:rsid w:val="00F20AD0"/>
    <w:rsid w:val="00F3117B"/>
    <w:rsid w:val="00F35272"/>
    <w:rsid w:val="00F40A0A"/>
    <w:rsid w:val="00F41339"/>
    <w:rsid w:val="00F413D9"/>
    <w:rsid w:val="00F429D8"/>
    <w:rsid w:val="00F42B15"/>
    <w:rsid w:val="00F42FB7"/>
    <w:rsid w:val="00F4640B"/>
    <w:rsid w:val="00F47E6A"/>
    <w:rsid w:val="00F537C6"/>
    <w:rsid w:val="00F63E7F"/>
    <w:rsid w:val="00F6640A"/>
    <w:rsid w:val="00F674B5"/>
    <w:rsid w:val="00F70441"/>
    <w:rsid w:val="00F712C6"/>
    <w:rsid w:val="00F717D5"/>
    <w:rsid w:val="00F71E00"/>
    <w:rsid w:val="00F71E55"/>
    <w:rsid w:val="00F74FA7"/>
    <w:rsid w:val="00F77FB1"/>
    <w:rsid w:val="00F83966"/>
    <w:rsid w:val="00F83B43"/>
    <w:rsid w:val="00F86C3C"/>
    <w:rsid w:val="00F94DFF"/>
    <w:rsid w:val="00F967FF"/>
    <w:rsid w:val="00F96DBE"/>
    <w:rsid w:val="00FA0AD6"/>
    <w:rsid w:val="00FA513B"/>
    <w:rsid w:val="00FA7E74"/>
    <w:rsid w:val="00FB1B67"/>
    <w:rsid w:val="00FB3882"/>
    <w:rsid w:val="00FB5C5A"/>
    <w:rsid w:val="00FB7588"/>
    <w:rsid w:val="00FC0B4E"/>
    <w:rsid w:val="00FC4F6D"/>
    <w:rsid w:val="00FC6901"/>
    <w:rsid w:val="00FD28EF"/>
    <w:rsid w:val="00FD79D3"/>
    <w:rsid w:val="00FE0475"/>
    <w:rsid w:val="00FE0943"/>
    <w:rsid w:val="00FE1185"/>
    <w:rsid w:val="00FE4F6A"/>
    <w:rsid w:val="00FE577C"/>
    <w:rsid w:val="00FF3D68"/>
    <w:rsid w:val="0E0969C8"/>
    <w:rsid w:val="735A7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link w:val="26"/>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link w:val="32"/>
    <w:autoRedefine/>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3"/>
    <w:autoRedefine/>
    <w:unhideWhenUsed/>
    <w:qFormat/>
    <w:uiPriority w:val="99"/>
    <w:pPr>
      <w:jc w:val="left"/>
    </w:pPr>
  </w:style>
  <w:style w:type="paragraph" w:styleId="6">
    <w:name w:val="Body Text"/>
    <w:basedOn w:val="1"/>
    <w:link w:val="27"/>
    <w:autoRedefine/>
    <w:qFormat/>
    <w:uiPriority w:val="1"/>
    <w:pPr>
      <w:spacing w:before="181"/>
      <w:ind w:left="141"/>
      <w:jc w:val="left"/>
    </w:pPr>
    <w:rPr>
      <w:rFonts w:ascii="宋体" w:hAnsi="宋体" w:cstheme="minorBidi"/>
      <w:kern w:val="0"/>
      <w:sz w:val="24"/>
      <w:lang w:eastAsia="en-US"/>
    </w:rPr>
  </w:style>
  <w:style w:type="paragraph" w:styleId="7">
    <w:name w:val="Plain Text"/>
    <w:basedOn w:val="1"/>
    <w:link w:val="19"/>
    <w:autoRedefine/>
    <w:qFormat/>
    <w:uiPriority w:val="0"/>
    <w:rPr>
      <w:rFonts w:ascii="宋体" w:hAnsi="Courier New"/>
    </w:rPr>
  </w:style>
  <w:style w:type="paragraph" w:styleId="8">
    <w:name w:val="Balloon Text"/>
    <w:basedOn w:val="1"/>
    <w:link w:val="22"/>
    <w:autoRedefine/>
    <w:semiHidden/>
    <w:unhideWhenUsed/>
    <w:qFormat/>
    <w:uiPriority w:val="99"/>
    <w:rPr>
      <w:sz w:val="18"/>
      <w:szCs w:val="18"/>
    </w:rPr>
  </w:style>
  <w:style w:type="paragraph" w:styleId="9">
    <w:name w:val="footer"/>
    <w:basedOn w:val="1"/>
    <w:link w:val="17"/>
    <w:autoRedefine/>
    <w:unhideWhenUsed/>
    <w:qFormat/>
    <w:uiPriority w:val="99"/>
    <w:pPr>
      <w:tabs>
        <w:tab w:val="center" w:pos="4153"/>
        <w:tab w:val="right" w:pos="8306"/>
      </w:tabs>
      <w:snapToGrid w:val="0"/>
      <w:jc w:val="left"/>
    </w:pPr>
    <w:rPr>
      <w:sz w:val="18"/>
      <w:szCs w:val="18"/>
    </w:rPr>
  </w:style>
  <w:style w:type="paragraph" w:styleId="10">
    <w:name w:val="header"/>
    <w:basedOn w:val="1"/>
    <w:link w:val="2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12">
    <w:name w:val="annotation subject"/>
    <w:basedOn w:val="5"/>
    <w:next w:val="5"/>
    <w:link w:val="24"/>
    <w:autoRedefine/>
    <w:semiHidden/>
    <w:unhideWhenUsed/>
    <w:qFormat/>
    <w:uiPriority w:val="99"/>
    <w:rPr>
      <w:b/>
      <w:bCs/>
    </w:rPr>
  </w:style>
  <w:style w:type="character" w:styleId="15">
    <w:name w:val="Strong"/>
    <w:basedOn w:val="14"/>
    <w:autoRedefine/>
    <w:qFormat/>
    <w:uiPriority w:val="22"/>
    <w:rPr>
      <w:b/>
      <w:bCs/>
    </w:rPr>
  </w:style>
  <w:style w:type="character" w:styleId="16">
    <w:name w:val="annotation reference"/>
    <w:basedOn w:val="14"/>
    <w:autoRedefine/>
    <w:semiHidden/>
    <w:unhideWhenUsed/>
    <w:qFormat/>
    <w:uiPriority w:val="99"/>
    <w:rPr>
      <w:sz w:val="21"/>
      <w:szCs w:val="21"/>
    </w:rPr>
  </w:style>
  <w:style w:type="character" w:customStyle="1" w:styleId="17">
    <w:name w:val="页脚 Char"/>
    <w:basedOn w:val="14"/>
    <w:link w:val="9"/>
    <w:autoRedefine/>
    <w:qFormat/>
    <w:uiPriority w:val="99"/>
    <w:rPr>
      <w:rFonts w:ascii="Times New Roman" w:hAnsi="Times New Roman" w:eastAsia="宋体" w:cs="Times New Roman"/>
      <w:sz w:val="18"/>
      <w:szCs w:val="18"/>
    </w:rPr>
  </w:style>
  <w:style w:type="paragraph" w:styleId="18">
    <w:name w:val="List Paragraph"/>
    <w:basedOn w:val="1"/>
    <w:link w:val="20"/>
    <w:autoRedefine/>
    <w:qFormat/>
    <w:uiPriority w:val="34"/>
    <w:pPr>
      <w:ind w:firstLine="420" w:firstLineChars="200"/>
    </w:pPr>
  </w:style>
  <w:style w:type="character" w:customStyle="1" w:styleId="19">
    <w:name w:val="纯文本 Char"/>
    <w:basedOn w:val="14"/>
    <w:link w:val="7"/>
    <w:autoRedefine/>
    <w:qFormat/>
    <w:uiPriority w:val="0"/>
    <w:rPr>
      <w:rFonts w:ascii="宋体" w:hAnsi="Courier New" w:eastAsia="宋体" w:cs="Times New Roman"/>
      <w:szCs w:val="24"/>
    </w:rPr>
  </w:style>
  <w:style w:type="character" w:customStyle="1" w:styleId="20">
    <w:name w:val="列出段落 Char"/>
    <w:basedOn w:val="14"/>
    <w:link w:val="18"/>
    <w:autoRedefine/>
    <w:qFormat/>
    <w:uiPriority w:val="34"/>
    <w:rPr>
      <w:rFonts w:ascii="Times New Roman" w:hAnsi="Times New Roman" w:eastAsia="宋体" w:cs="Times New Roman"/>
      <w:szCs w:val="24"/>
    </w:rPr>
  </w:style>
  <w:style w:type="character" w:customStyle="1" w:styleId="21">
    <w:name w:val="页眉 Char"/>
    <w:basedOn w:val="14"/>
    <w:link w:val="10"/>
    <w:autoRedefine/>
    <w:qFormat/>
    <w:uiPriority w:val="99"/>
    <w:rPr>
      <w:rFonts w:ascii="Times New Roman" w:hAnsi="Times New Roman" w:eastAsia="宋体" w:cs="Times New Roman"/>
      <w:sz w:val="18"/>
      <w:szCs w:val="18"/>
    </w:rPr>
  </w:style>
  <w:style w:type="character" w:customStyle="1" w:styleId="22">
    <w:name w:val="批注框文本 Char"/>
    <w:basedOn w:val="14"/>
    <w:link w:val="8"/>
    <w:autoRedefine/>
    <w:semiHidden/>
    <w:qFormat/>
    <w:uiPriority w:val="99"/>
    <w:rPr>
      <w:rFonts w:ascii="Times New Roman" w:hAnsi="Times New Roman" w:eastAsia="宋体" w:cs="Times New Roman"/>
      <w:sz w:val="18"/>
      <w:szCs w:val="18"/>
    </w:rPr>
  </w:style>
  <w:style w:type="character" w:customStyle="1" w:styleId="23">
    <w:name w:val="批注文字 Char"/>
    <w:basedOn w:val="14"/>
    <w:link w:val="5"/>
    <w:autoRedefine/>
    <w:qFormat/>
    <w:uiPriority w:val="99"/>
    <w:rPr>
      <w:rFonts w:ascii="Times New Roman" w:hAnsi="Times New Roman" w:eastAsia="宋体" w:cs="Times New Roman"/>
      <w:szCs w:val="24"/>
    </w:rPr>
  </w:style>
  <w:style w:type="character" w:customStyle="1" w:styleId="24">
    <w:name w:val="批注主题 Char"/>
    <w:basedOn w:val="23"/>
    <w:link w:val="12"/>
    <w:autoRedefine/>
    <w:semiHidden/>
    <w:qFormat/>
    <w:uiPriority w:val="99"/>
    <w:rPr>
      <w:rFonts w:ascii="Times New Roman" w:hAnsi="Times New Roman" w:eastAsia="宋体" w:cs="Times New Roman"/>
      <w:b/>
      <w:bCs/>
      <w:szCs w:val="24"/>
    </w:rPr>
  </w:style>
  <w:style w:type="table" w:customStyle="1" w:styleId="25">
    <w:name w:val="TableGrid"/>
    <w:autoRedefine/>
    <w:qFormat/>
    <w:uiPriority w:val="0"/>
    <w:tblPr>
      <w:tblCellMar>
        <w:top w:w="0" w:type="dxa"/>
        <w:left w:w="0" w:type="dxa"/>
        <w:bottom w:w="0" w:type="dxa"/>
        <w:right w:w="0" w:type="dxa"/>
      </w:tblCellMar>
    </w:tblPr>
  </w:style>
  <w:style w:type="character" w:customStyle="1" w:styleId="26">
    <w:name w:val="标题 2 Char"/>
    <w:basedOn w:val="14"/>
    <w:link w:val="3"/>
    <w:autoRedefine/>
    <w:qFormat/>
    <w:uiPriority w:val="9"/>
    <w:rPr>
      <w:rFonts w:asciiTheme="majorHAnsi" w:hAnsiTheme="majorHAnsi" w:eastAsiaTheme="majorEastAsia" w:cstheme="majorBidi"/>
      <w:b/>
      <w:bCs/>
      <w:sz w:val="32"/>
      <w:szCs w:val="32"/>
    </w:rPr>
  </w:style>
  <w:style w:type="character" w:customStyle="1" w:styleId="27">
    <w:name w:val="正文文本 Char"/>
    <w:basedOn w:val="14"/>
    <w:link w:val="6"/>
    <w:autoRedefine/>
    <w:qFormat/>
    <w:uiPriority w:val="1"/>
    <w:rPr>
      <w:rFonts w:ascii="宋体" w:hAnsi="宋体" w:eastAsia="宋体"/>
      <w:kern w:val="0"/>
      <w:sz w:val="24"/>
      <w:szCs w:val="24"/>
      <w:lang w:eastAsia="en-US"/>
    </w:rPr>
  </w:style>
  <w:style w:type="character" w:customStyle="1" w:styleId="28">
    <w:name w:val="标题 1 Char"/>
    <w:basedOn w:val="14"/>
    <w:link w:val="2"/>
    <w:autoRedefine/>
    <w:qFormat/>
    <w:uiPriority w:val="9"/>
    <w:rPr>
      <w:b/>
      <w:bCs/>
      <w:kern w:val="44"/>
      <w:sz w:val="44"/>
      <w:szCs w:val="44"/>
    </w:rPr>
  </w:style>
  <w:style w:type="character" w:customStyle="1" w:styleId="29">
    <w:name w:val="005正文 Char"/>
    <w:link w:val="30"/>
    <w:autoRedefine/>
    <w:qFormat/>
    <w:locked/>
    <w:uiPriority w:val="0"/>
  </w:style>
  <w:style w:type="paragraph" w:customStyle="1" w:styleId="30">
    <w:name w:val="005正文"/>
    <w:basedOn w:val="1"/>
    <w:link w:val="29"/>
    <w:autoRedefine/>
    <w:qFormat/>
    <w:uiPriority w:val="0"/>
    <w:pPr>
      <w:spacing w:beforeLines="50" w:line="360" w:lineRule="auto"/>
      <w:ind w:firstLine="200" w:firstLineChars="200"/>
    </w:pPr>
    <w:rPr>
      <w:rFonts w:asciiTheme="minorHAnsi" w:hAnsiTheme="minorHAnsi" w:eastAsiaTheme="minorEastAsia" w:cstheme="minorBidi"/>
      <w:szCs w:val="22"/>
    </w:rPr>
  </w:style>
  <w:style w:type="paragraph" w:customStyle="1" w:styleId="31">
    <w:name w:val="Revision"/>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32">
    <w:name w:val="标题 4 Char"/>
    <w:basedOn w:val="14"/>
    <w:link w:val="4"/>
    <w:autoRedefine/>
    <w:qFormat/>
    <w:uiPriority w:val="9"/>
    <w:rPr>
      <w:rFonts w:ascii="宋体" w:hAnsi="宋体" w:eastAsia="宋体" w:cs="宋体"/>
      <w:b/>
      <w:bCs/>
      <w:kern w:val="0"/>
      <w:sz w:val="24"/>
      <w:szCs w:val="24"/>
    </w:rPr>
  </w:style>
  <w:style w:type="paragraph" w:customStyle="1" w:styleId="33">
    <w:name w:val="_Style 6"/>
    <w:basedOn w:val="1"/>
    <w:autoRedefine/>
    <w:qFormat/>
    <w:uiPriority w:val="0"/>
    <w:pPr>
      <w:ind w:firstLine="420" w:firstLineChars="200"/>
    </w:pPr>
    <w:rPr>
      <w:rFonts w:ascii="Calibri" w:hAnsi="Calibri"/>
      <w:szCs w:val="22"/>
    </w:rPr>
  </w:style>
  <w:style w:type="character" w:customStyle="1" w:styleId="34">
    <w:name w:val="font-gray1"/>
    <w:basedOn w:val="14"/>
    <w:autoRedefine/>
    <w:qFormat/>
    <w:uiPriority w:val="0"/>
    <w:rPr>
      <w:color w:val="A7A7A7"/>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D10C60-8F19-4470-90F4-7F025336A650}">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214</Words>
  <Characters>1221</Characters>
  <Lines>10</Lines>
  <Paragraphs>2</Paragraphs>
  <TotalTime>0</TotalTime>
  <ScaleCrop>false</ScaleCrop>
  <LinksUpToDate>false</LinksUpToDate>
  <CharactersWithSpaces>1433</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2024-03-13T01:06:00Z</dcterms:created>
  <dc:creator>Ge ch</dc:creator>
  <cp:lastModifiedBy>LHJ</cp:lastModifiedBy>
  <cp:lastPrinted>2020-09-29T07:07:00Z</cp:lastPrinted>
  <dcterms:modified xsi:type="dcterms:W3CDTF">2024-03-21T09:04:23Z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EB73129356BF480CB945ADA0F9098FCB_12</vt:lpwstr>
  </property>
</Properties>
</file>