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C927" w14:textId="4FDD08C2" w:rsidR="008F4460" w:rsidRDefault="00296E60">
      <w:pPr>
        <w:pStyle w:val="1"/>
        <w:rPr>
          <w:rFonts w:ascii="宋体" w:eastAsia="宋体" w:hAnsi="宋体" w:cs="宋体"/>
          <w:sz w:val="20"/>
          <w:szCs w:val="20"/>
          <w:lang w:val="en-US"/>
        </w:rPr>
      </w:pPr>
      <w:r>
        <w:rPr>
          <w:rFonts w:ascii="宋体" w:eastAsia="宋体" w:hAnsi="宋体" w:cs="宋体" w:hint="eastAsia"/>
          <w:sz w:val="20"/>
          <w:szCs w:val="20"/>
          <w:lang w:val="en-US"/>
        </w:rPr>
        <w:t xml:space="preserve">证券代码：603868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              </w:t>
      </w:r>
      <w:r w:rsidR="009F02AD">
        <w:rPr>
          <w:rFonts w:ascii="宋体" w:eastAsia="宋体" w:hAnsi="宋体" w:cs="宋体"/>
          <w:sz w:val="21"/>
          <w:szCs w:val="21"/>
          <w:lang w:val="en-US"/>
        </w:rPr>
        <w:t xml:space="preserve">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      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证券简称：飞科电器</w:t>
      </w:r>
    </w:p>
    <w:p w14:paraId="7104A3BF" w14:textId="77777777" w:rsidR="008F4460" w:rsidRPr="004963D6" w:rsidRDefault="00296E60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4963D6">
        <w:rPr>
          <w:rFonts w:ascii="宋体" w:eastAsia="宋体" w:hAnsi="宋体" w:cs="宋体" w:hint="eastAsia"/>
          <w:b/>
          <w:bCs/>
          <w:sz w:val="32"/>
          <w:szCs w:val="32"/>
        </w:rPr>
        <w:tab/>
      </w:r>
    </w:p>
    <w:p w14:paraId="5A0ADAA2" w14:textId="77777777" w:rsidR="008F4460" w:rsidRDefault="00296E60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上海飞科电器股份有限公司</w:t>
      </w:r>
    </w:p>
    <w:p w14:paraId="6D72699E" w14:textId="77777777" w:rsidR="008F4460" w:rsidRDefault="00296E60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投资者关系活动记录表</w:t>
      </w:r>
    </w:p>
    <w:p w14:paraId="594ABA66" w14:textId="3F67EA92" w:rsidR="008F4460" w:rsidRDefault="00296E60" w:rsidP="004963D6">
      <w:pPr>
        <w:spacing w:before="51" w:after="32"/>
        <w:ind w:right="230"/>
        <w:jc w:val="righ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编号：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202</w:t>
      </w:r>
      <w:r w:rsidR="00B0492A">
        <w:rPr>
          <w:rFonts w:ascii="宋体" w:eastAsia="宋体" w:hAnsi="宋体" w:cs="宋体" w:hint="eastAsia"/>
          <w:sz w:val="20"/>
          <w:szCs w:val="20"/>
          <w:lang w:val="en-US"/>
        </w:rPr>
        <w:t>4</w:t>
      </w:r>
      <w:r>
        <w:rPr>
          <w:rFonts w:ascii="宋体" w:eastAsia="宋体" w:hAnsi="宋体" w:cs="宋体" w:hint="eastAsia"/>
          <w:sz w:val="20"/>
          <w:szCs w:val="20"/>
        </w:rPr>
        <w:t>-</w:t>
      </w:r>
      <w:r w:rsidR="005C376C">
        <w:rPr>
          <w:rFonts w:ascii="宋体" w:eastAsia="宋体" w:hAnsi="宋体" w:cs="宋体"/>
          <w:sz w:val="20"/>
          <w:szCs w:val="20"/>
        </w:rPr>
        <w:t>001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403"/>
      </w:tblGrid>
      <w:tr w:rsidR="008F4460" w14:paraId="27818D7D" w14:textId="77777777" w:rsidTr="00055C69">
        <w:trPr>
          <w:trHeight w:val="567"/>
          <w:jc w:val="center"/>
        </w:trPr>
        <w:tc>
          <w:tcPr>
            <w:tcW w:w="2122" w:type="dxa"/>
          </w:tcPr>
          <w:p w14:paraId="22DDB964" w14:textId="77777777" w:rsidR="008F4460" w:rsidRDefault="008F4460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2F1DFF1B" w14:textId="77777777" w:rsidR="008F4460" w:rsidRDefault="00296E60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投资者关系活动类别</w:t>
            </w:r>
          </w:p>
        </w:tc>
        <w:tc>
          <w:tcPr>
            <w:tcW w:w="6403" w:type="dxa"/>
          </w:tcPr>
          <w:p w14:paraId="5476783D" w14:textId="1D59A7A6" w:rsidR="008F4460" w:rsidRDefault="00000000" w:rsidP="002E42AD">
            <w:pPr>
              <w:pStyle w:val="TableParagraph"/>
              <w:tabs>
                <w:tab w:val="left" w:pos="2418"/>
              </w:tabs>
              <w:spacing w:before="120"/>
              <w:ind w:left="108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249780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5911DF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特</w:t>
            </w:r>
            <w:r w:rsidR="00296E60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定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对</w:t>
            </w:r>
            <w:r w:rsidR="00296E60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象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调研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-416875725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="00D0573E">
                  <w:rPr>
                    <w:rFonts w:ascii="宋体" w:eastAsia="宋体" w:hAnsi="宋体" w:cs="宋体" w:hint="eastAsia"/>
                    <w:sz w:val="20"/>
                    <w:szCs w:val="20"/>
                  </w:rPr>
                  <w:sym w:font="Wingdings 2" w:char="F052"/>
                </w:r>
              </w:sdtContent>
            </w:sdt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分</w:t>
            </w:r>
            <w:r w:rsidR="00296E60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析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师</w:t>
            </w:r>
            <w:r w:rsidR="00296E60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会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议</w:t>
            </w:r>
          </w:p>
          <w:p w14:paraId="5FEF9ACB" w14:textId="77777777" w:rsidR="008F4460" w:rsidRDefault="008F4460">
            <w:pPr>
              <w:pStyle w:val="TableParagraph"/>
              <w:spacing w:before="11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06124766" w14:textId="316DFBB1" w:rsidR="008F4460" w:rsidRDefault="00000000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96E60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媒</w:t>
            </w:r>
            <w:r w:rsidR="00296E60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体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采访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-66658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B0492A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业</w:t>
            </w:r>
            <w:r w:rsidR="00296E60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绩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说</w:t>
            </w:r>
            <w:r w:rsidR="00296E60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明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会</w:t>
            </w:r>
          </w:p>
          <w:p w14:paraId="0649CBE1" w14:textId="77777777" w:rsidR="008F4460" w:rsidRDefault="008F4460">
            <w:pPr>
              <w:pStyle w:val="TableParagraph"/>
              <w:spacing w:before="8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581F3693" w14:textId="3FFC87D7" w:rsidR="008F4460" w:rsidRDefault="00000000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96E60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新</w:t>
            </w:r>
            <w:r w:rsidR="00296E60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闻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发</w:t>
            </w:r>
            <w:r w:rsidR="00296E60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布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会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C3BCC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路</w:t>
            </w:r>
            <w:r w:rsidR="00296E60"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演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活动</w:t>
            </w:r>
          </w:p>
          <w:p w14:paraId="407D9C50" w14:textId="77777777" w:rsidR="008F4460" w:rsidRDefault="008F4460">
            <w:pPr>
              <w:pStyle w:val="TableParagraph"/>
              <w:spacing w:before="8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2DE28D05" w14:textId="4E1DADF2" w:rsidR="008F4460" w:rsidRDefault="00000000">
            <w:pPr>
              <w:pStyle w:val="TableParagraph"/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A6B1D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现场参观</w:t>
            </w:r>
          </w:p>
          <w:p w14:paraId="6748B821" w14:textId="77777777" w:rsidR="008F4460" w:rsidRDefault="008F4460">
            <w:pPr>
              <w:pStyle w:val="TableParagraph"/>
              <w:spacing w:before="11"/>
              <w:rPr>
                <w:rFonts w:ascii="宋体" w:eastAsia="宋体" w:hAnsi="宋体" w:cs="宋体"/>
                <w:sz w:val="20"/>
                <w:szCs w:val="20"/>
              </w:rPr>
            </w:pPr>
          </w:p>
          <w:p w14:paraId="6BCCB67B" w14:textId="280A194C" w:rsidR="00FF1D37" w:rsidRPr="002E42AD" w:rsidRDefault="00000000" w:rsidP="002E42AD">
            <w:pPr>
              <w:pStyle w:val="TableParagraph"/>
              <w:spacing w:afterLines="50" w:after="120"/>
              <w:ind w:left="108"/>
              <w:rPr>
                <w:rFonts w:ascii="宋体" w:eastAsia="宋体" w:hAnsi="宋体" w:cs="宋体"/>
                <w:sz w:val="20"/>
                <w:szCs w:val="20"/>
                <w:u w:val="single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96E60"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 w:rsidR="00296E60">
              <w:rPr>
                <w:rFonts w:ascii="宋体" w:eastAsia="宋体" w:hAnsi="宋体" w:cs="宋体" w:hint="eastAsia"/>
                <w:sz w:val="20"/>
                <w:szCs w:val="20"/>
              </w:rPr>
              <w:t>其他（</w:t>
            </w:r>
            <w:r w:rsidR="00296E60"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请文字说明其他活动内容）</w:t>
            </w:r>
          </w:p>
        </w:tc>
      </w:tr>
      <w:tr w:rsidR="008F4460" w14:paraId="1D883F8D" w14:textId="77777777" w:rsidTr="00055C69">
        <w:trPr>
          <w:trHeight w:val="567"/>
          <w:jc w:val="center"/>
        </w:trPr>
        <w:tc>
          <w:tcPr>
            <w:tcW w:w="2122" w:type="dxa"/>
            <w:vAlign w:val="center"/>
          </w:tcPr>
          <w:p w14:paraId="301DB12E" w14:textId="599727DF" w:rsidR="008F4460" w:rsidRDefault="00296E60" w:rsidP="009E1159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t>参与单位名称</w:t>
            </w:r>
          </w:p>
        </w:tc>
        <w:tc>
          <w:tcPr>
            <w:tcW w:w="6403" w:type="dxa"/>
            <w:vAlign w:val="center"/>
          </w:tcPr>
          <w:p w14:paraId="7E22F119" w14:textId="26090B63" w:rsidR="008F4460" w:rsidRDefault="00EF7858" w:rsidP="00FF1D37">
            <w:pPr>
              <w:pStyle w:val="TableParagraph"/>
              <w:spacing w:beforeLines="50" w:before="120" w:line="360" w:lineRule="auto"/>
              <w:jc w:val="both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EF785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富国基金、</w:t>
            </w:r>
            <w:r w:rsidR="00296E60" w:rsidRPr="00EF785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交银施罗德基金、汇添富基金、博时基金</w:t>
            </w:r>
            <w:r w:rsidR="00296E6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、工银瑞信、</w:t>
            </w:r>
            <w:r w:rsidRPr="00EF785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招商基金、鹏华基金、嘉实基金、泰信基金、华安基金、东兴基金、大成基金、天弘基金、长城基金、建信基金、华泰柏瑞、浦银安盛、天治基金、长盛基金、融通基金、弘毅远方基金、鹏扬基金、东方阿尔法、兴业基金、</w:t>
            </w:r>
            <w:r w:rsidR="00296E60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兴全基金、</w:t>
            </w:r>
            <w:r w:rsidRPr="00EF785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光大保德信、国联安基金、贝莱德基金、中加基金、国金证券、汇百川基金、路博迈基金、富达利泰、青岛鸿竹、磐厚动量、上海合远私募、上海同犇、上海彤源、递归私募、北京源乐晟、上海臻宜、上海名禹、上海丹羿、懿德财富、上海翰潭、深圳日斗、上海世诚、上海正心谷、深圳易同、浙江旌安、北京星石、北京高信百诺、北京源峰私募、上海重阳、上海明河、上海海宸、远信（珠海）私募、深圳市中、上海煜德、上海紫阁、瀚川投资、浩成资管、上海汉泽私募、中信建投证券、国联证券、国信证券、国元证券、长城证券、太平洋证券、中金公司、东海证券、华安证券、方正证券、国泰君安证券、财信证券、西南证券、世纪证券、长江证券、</w:t>
            </w:r>
            <w:r w:rsidR="008208C6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国投</w:t>
            </w:r>
            <w:r w:rsidRPr="00EF7858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证券、首创证券、中泰证券、广发证券、华泰证券、天风证券、招商证券、浙商证券、开源证券、民生证券、山证（上海）资管、华西证券、德邦证券、华福证券、东北证券、东方证券、海通证券、光大证券、长江证券、中信证券、华泰证券、浙商资管、光大资管、国金证券、申万证券、中泰证券、国华人寿保险、太平养老保险、友邦人寿保险、和谐健康保险、华创证券、财通证券、华能贵诚、杭银理财、汇华理财、华创证券、农银汇理基金、中荷人寿保险、中信保诚资管、天风证券、弘鼎资本、狮城产业投资咨询、上海汇正、上海行知、碧云银霞、星泰投资</w:t>
            </w:r>
            <w: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。</w:t>
            </w:r>
          </w:p>
        </w:tc>
      </w:tr>
      <w:tr w:rsidR="008F4460" w14:paraId="6F33E872" w14:textId="77777777" w:rsidTr="00C72434">
        <w:trPr>
          <w:trHeight w:val="437"/>
          <w:jc w:val="center"/>
        </w:trPr>
        <w:tc>
          <w:tcPr>
            <w:tcW w:w="2122" w:type="dxa"/>
            <w:vAlign w:val="center"/>
          </w:tcPr>
          <w:p w14:paraId="0EFAB441" w14:textId="77777777" w:rsidR="008F4460" w:rsidRDefault="00296E60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lastRenderedPageBreak/>
              <w:t>时间</w:t>
            </w:r>
          </w:p>
        </w:tc>
        <w:tc>
          <w:tcPr>
            <w:tcW w:w="6403" w:type="dxa"/>
            <w:vAlign w:val="center"/>
          </w:tcPr>
          <w:p w14:paraId="42E1E5A6" w14:textId="5F1EF174" w:rsidR="008F4460" w:rsidRDefault="00296E60" w:rsidP="00FF1D37">
            <w:pPr>
              <w:spacing w:before="100" w:beforeAutospacing="1"/>
              <w:jc w:val="both"/>
              <w:rPr>
                <w:rFonts w:eastAsiaTheme="minorEastAsia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202</w:t>
            </w:r>
            <w:r w:rsidR="00B0492A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  <w:r w:rsidR="00B0492A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3</w:t>
            </w:r>
            <w:r w:rsidR="004C4FB4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月</w:t>
            </w:r>
          </w:p>
        </w:tc>
      </w:tr>
      <w:tr w:rsidR="008F4460" w14:paraId="26AF33C4" w14:textId="77777777" w:rsidTr="00C72434">
        <w:trPr>
          <w:trHeight w:val="414"/>
          <w:jc w:val="center"/>
        </w:trPr>
        <w:tc>
          <w:tcPr>
            <w:tcW w:w="2122" w:type="dxa"/>
            <w:vAlign w:val="center"/>
          </w:tcPr>
          <w:p w14:paraId="356940C5" w14:textId="77777777" w:rsidR="008F4460" w:rsidRDefault="00296E60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t>地点</w:t>
            </w:r>
          </w:p>
        </w:tc>
        <w:tc>
          <w:tcPr>
            <w:tcW w:w="6403" w:type="dxa"/>
            <w:vAlign w:val="center"/>
          </w:tcPr>
          <w:p w14:paraId="21E69A03" w14:textId="4121D80B" w:rsidR="008F4460" w:rsidRDefault="004F3D9A" w:rsidP="00FF1D37">
            <w:pPr>
              <w:pStyle w:val="TableParagraph"/>
              <w:spacing w:before="100" w:beforeAutospacing="1"/>
              <w:jc w:val="both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网络会议</w:t>
            </w:r>
            <w:r w:rsidR="005A654D"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（2023年年度报告交流会议）</w:t>
            </w:r>
          </w:p>
        </w:tc>
      </w:tr>
      <w:tr w:rsidR="008F4460" w14:paraId="1B82B80A" w14:textId="77777777" w:rsidTr="00C72434">
        <w:trPr>
          <w:trHeight w:val="406"/>
          <w:jc w:val="center"/>
        </w:trPr>
        <w:tc>
          <w:tcPr>
            <w:tcW w:w="2122" w:type="dxa"/>
            <w:vAlign w:val="center"/>
          </w:tcPr>
          <w:p w14:paraId="2A61B567" w14:textId="7FFC6D0C" w:rsidR="008F4460" w:rsidRDefault="00296E60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上市公司接待人员</w:t>
            </w:r>
          </w:p>
        </w:tc>
        <w:tc>
          <w:tcPr>
            <w:tcW w:w="6403" w:type="dxa"/>
            <w:vAlign w:val="center"/>
          </w:tcPr>
          <w:p w14:paraId="01790A09" w14:textId="77777777" w:rsidR="008F4460" w:rsidRDefault="00296E60" w:rsidP="00FF1D37">
            <w:pPr>
              <w:pStyle w:val="TableParagraph"/>
              <w:jc w:val="both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董事会秘书 郭加广</w:t>
            </w:r>
          </w:p>
        </w:tc>
      </w:tr>
      <w:tr w:rsidR="008F4460" w14:paraId="120A3782" w14:textId="77777777" w:rsidTr="00055C69">
        <w:trPr>
          <w:trHeight w:val="567"/>
          <w:jc w:val="center"/>
        </w:trPr>
        <w:tc>
          <w:tcPr>
            <w:tcW w:w="2122" w:type="dxa"/>
          </w:tcPr>
          <w:p w14:paraId="0E5CF2A0" w14:textId="77777777" w:rsidR="008F4460" w:rsidRDefault="008F4460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14:paraId="1ED4AD2F" w14:textId="77777777" w:rsidR="008F4460" w:rsidRDefault="00296E60">
            <w:pPr>
              <w:pStyle w:val="TableParagraph"/>
              <w:spacing w:before="1" w:line="499" w:lineRule="auto"/>
              <w:ind w:left="107" w:right="96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投资者关系活动主要内容介绍</w:t>
            </w:r>
          </w:p>
        </w:tc>
        <w:tc>
          <w:tcPr>
            <w:tcW w:w="6403" w:type="dxa"/>
          </w:tcPr>
          <w:p w14:paraId="60049B5F" w14:textId="16D9D76F" w:rsidR="008F4460" w:rsidRPr="00E62500" w:rsidRDefault="00F47D14" w:rsidP="00174063">
            <w:pPr>
              <w:pStyle w:val="TableParagraph"/>
              <w:spacing w:beforeLines="50" w:before="120"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  <w:lang w:val="en-US"/>
              </w:rPr>
            </w:pPr>
            <w:r w:rsidRPr="00E62500">
              <w:rPr>
                <w:rFonts w:ascii="宋体" w:eastAsia="宋体" w:hAnsi="宋体" w:cs="宋体" w:hint="eastAsia"/>
                <w:b/>
                <w:sz w:val="24"/>
                <w:szCs w:val="24"/>
                <w:lang w:val="en-US"/>
              </w:rPr>
              <w:t>主要交流情况如下：</w:t>
            </w:r>
          </w:p>
          <w:p w14:paraId="2BC9674D" w14:textId="534DEC27" w:rsidR="008F4460" w:rsidRPr="00E62500" w:rsidRDefault="00296E60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E6250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一、</w:t>
            </w:r>
            <w:r w:rsidR="00F47D14" w:rsidRPr="00E6250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介绍</w:t>
            </w:r>
            <w:r w:rsidR="002C2550" w:rsidRPr="00E6250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</w:t>
            </w:r>
            <w:r w:rsidR="002C2550" w:rsidRPr="00E62500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023</w:t>
            </w:r>
            <w:r w:rsidR="00716366" w:rsidRPr="00E6250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年度</w:t>
            </w:r>
            <w:r w:rsidRPr="00E6250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公司经营情况</w:t>
            </w:r>
          </w:p>
          <w:p w14:paraId="0440406D" w14:textId="086E19EF" w:rsidR="00974174" w:rsidRDefault="00DB29C7" w:rsidP="008D10A5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2023年</w:t>
            </w:r>
            <w:r w:rsidR="00AE6E10" w:rsidRPr="00AE6E10">
              <w:rPr>
                <w:rFonts w:ascii="宋体" w:eastAsia="宋体" w:hAnsi="宋体" w:cs="宋体" w:hint="eastAsia"/>
                <w:sz w:val="21"/>
                <w:szCs w:val="21"/>
              </w:rPr>
              <w:t>度，</w:t>
            </w:r>
            <w:r w:rsidRPr="00DB29C7">
              <w:rPr>
                <w:rFonts w:ascii="宋体" w:eastAsia="宋体" w:hAnsi="宋体" w:cs="宋体" w:hint="eastAsia"/>
                <w:sz w:val="21"/>
                <w:szCs w:val="21"/>
              </w:rPr>
              <w:t>公司坚持以技术创新和高颜值设计驱动产品高端化，实现品牌升级的发展战略，通过产品研发创新推动产品的智能化、时尚化、年轻化升级，通过营销管理创新推动营销模式的</w:t>
            </w:r>
            <w:r w:rsidRPr="00DB29C7">
              <w:rPr>
                <w:rFonts w:ascii="宋体" w:eastAsia="宋体" w:hAnsi="宋体" w:cs="宋体"/>
                <w:sz w:val="21"/>
                <w:szCs w:val="21"/>
              </w:rPr>
              <w:t>C端化、直供化和内容化升级，构建创新前沿的发展路径。</w:t>
            </w:r>
            <w:r w:rsidRPr="00DB29C7">
              <w:rPr>
                <w:rFonts w:ascii="宋体" w:eastAsia="宋体" w:hAnsi="宋体" w:cs="宋体" w:hint="eastAsia"/>
                <w:sz w:val="21"/>
                <w:szCs w:val="21"/>
              </w:rPr>
              <w:t>公司产品和品牌的升级获得了消费者的认可，推动公司业绩向好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，本年度</w:t>
            </w:r>
            <w:r w:rsidR="008D10A5" w:rsidRPr="008D10A5">
              <w:rPr>
                <w:rFonts w:ascii="宋体" w:eastAsia="宋体" w:hAnsi="宋体" w:cs="宋体" w:hint="eastAsia"/>
                <w:sz w:val="21"/>
                <w:szCs w:val="21"/>
              </w:rPr>
              <w:t>实现营业收入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50.6</w:t>
            </w:r>
            <w:r w:rsidR="00603DA9">
              <w:rPr>
                <w:rFonts w:ascii="宋体" w:eastAsia="宋体" w:hAnsi="宋体" w:cs="宋体" w:hint="eastAsia"/>
                <w:sz w:val="21"/>
                <w:szCs w:val="21"/>
              </w:rPr>
              <w:t>0</w:t>
            </w:r>
            <w:r w:rsidR="008D10A5">
              <w:rPr>
                <w:rFonts w:ascii="宋体" w:eastAsia="宋体" w:hAnsi="宋体" w:cs="宋体" w:hint="eastAsia"/>
                <w:sz w:val="21"/>
                <w:szCs w:val="21"/>
              </w:rPr>
              <w:t>亿</w:t>
            </w:r>
            <w:r w:rsidR="008D10A5" w:rsidRPr="008D10A5">
              <w:rPr>
                <w:rFonts w:ascii="宋体" w:eastAsia="宋体" w:hAnsi="宋体" w:cs="宋体"/>
                <w:sz w:val="21"/>
                <w:szCs w:val="21"/>
              </w:rPr>
              <w:t>元，同比增长</w:t>
            </w:r>
            <w:r w:rsidR="00603DA9" w:rsidRPr="00DE7544">
              <w:rPr>
                <w:rFonts w:ascii="宋体" w:eastAsia="宋体" w:hAnsi="宋体" w:cs="宋体"/>
                <w:sz w:val="21"/>
                <w:szCs w:val="21"/>
              </w:rPr>
              <w:t>9.35</w:t>
            </w:r>
            <w:r w:rsidR="008D10A5" w:rsidRPr="008D10A5">
              <w:rPr>
                <w:rFonts w:ascii="宋体" w:eastAsia="宋体" w:hAnsi="宋体" w:cs="宋体"/>
                <w:sz w:val="21"/>
                <w:szCs w:val="21"/>
              </w:rPr>
              <w:t>%；实现归母净利润</w:t>
            </w:r>
            <w:r w:rsidR="00603DA9">
              <w:rPr>
                <w:rFonts w:ascii="宋体" w:eastAsia="宋体" w:hAnsi="宋体" w:cs="宋体" w:hint="eastAsia"/>
                <w:sz w:val="21"/>
                <w:szCs w:val="21"/>
              </w:rPr>
              <w:t>10.20</w:t>
            </w:r>
            <w:r w:rsidR="008D10A5">
              <w:rPr>
                <w:rFonts w:ascii="宋体" w:eastAsia="宋体" w:hAnsi="宋体" w:cs="宋体" w:hint="eastAsia"/>
                <w:sz w:val="21"/>
                <w:szCs w:val="21"/>
              </w:rPr>
              <w:t>亿元</w:t>
            </w:r>
            <w:r w:rsidR="008D10A5" w:rsidRPr="008D10A5">
              <w:rPr>
                <w:rFonts w:ascii="宋体" w:eastAsia="宋体" w:hAnsi="宋体" w:cs="宋体"/>
                <w:sz w:val="21"/>
                <w:szCs w:val="21"/>
              </w:rPr>
              <w:t>，同比增长</w:t>
            </w:r>
            <w:r w:rsidR="00603DA9" w:rsidRPr="00DE7544">
              <w:rPr>
                <w:rFonts w:ascii="宋体" w:eastAsia="宋体" w:hAnsi="宋体" w:cs="宋体"/>
                <w:sz w:val="21"/>
                <w:szCs w:val="21"/>
              </w:rPr>
              <w:t>23.90</w:t>
            </w:r>
            <w:r w:rsidR="008D10A5" w:rsidRPr="008D10A5">
              <w:rPr>
                <w:rFonts w:ascii="宋体" w:eastAsia="宋体" w:hAnsi="宋体" w:cs="宋体"/>
                <w:sz w:val="21"/>
                <w:szCs w:val="21"/>
              </w:rPr>
              <w:t>%；实现扣非</w:t>
            </w:r>
            <w:r w:rsidR="00174063">
              <w:rPr>
                <w:rFonts w:ascii="宋体" w:eastAsia="宋体" w:hAnsi="宋体" w:cs="宋体" w:hint="eastAsia"/>
                <w:sz w:val="21"/>
                <w:szCs w:val="21"/>
              </w:rPr>
              <w:t>归母</w:t>
            </w:r>
            <w:r w:rsidR="008D10A5" w:rsidRPr="008D10A5">
              <w:rPr>
                <w:rFonts w:ascii="宋体" w:eastAsia="宋体" w:hAnsi="宋体" w:cs="宋体"/>
                <w:sz w:val="21"/>
                <w:szCs w:val="21"/>
              </w:rPr>
              <w:t>净利润</w:t>
            </w:r>
            <w:r w:rsidR="00603DA9">
              <w:rPr>
                <w:rFonts w:ascii="宋体" w:eastAsia="宋体" w:hAnsi="宋体" w:cs="宋体" w:hint="eastAsia"/>
                <w:sz w:val="21"/>
                <w:szCs w:val="21"/>
              </w:rPr>
              <w:t>8.86</w:t>
            </w:r>
            <w:r w:rsidR="00974174">
              <w:rPr>
                <w:rFonts w:ascii="宋体" w:eastAsia="宋体" w:hAnsi="宋体" w:cs="宋体" w:hint="eastAsia"/>
                <w:sz w:val="21"/>
                <w:szCs w:val="21"/>
              </w:rPr>
              <w:t>亿</w:t>
            </w:r>
            <w:r w:rsidR="008D10A5" w:rsidRPr="008D10A5">
              <w:rPr>
                <w:rFonts w:ascii="宋体" w:eastAsia="宋体" w:hAnsi="宋体" w:cs="宋体"/>
                <w:sz w:val="21"/>
                <w:szCs w:val="21"/>
              </w:rPr>
              <w:t>元，同比增长</w:t>
            </w:r>
            <w:r w:rsidR="00603DA9" w:rsidRPr="00DE7544">
              <w:rPr>
                <w:rFonts w:ascii="宋体" w:eastAsia="宋体" w:hAnsi="宋体" w:cs="宋体"/>
                <w:sz w:val="21"/>
                <w:szCs w:val="21"/>
              </w:rPr>
              <w:t>14.88</w:t>
            </w:r>
            <w:r w:rsidR="008D10A5" w:rsidRPr="008D10A5">
              <w:rPr>
                <w:rFonts w:ascii="宋体" w:eastAsia="宋体" w:hAnsi="宋体" w:cs="宋体"/>
                <w:sz w:val="21"/>
                <w:szCs w:val="21"/>
              </w:rPr>
              <w:t>%。</w:t>
            </w:r>
            <w:r w:rsidR="00AE6E10" w:rsidRPr="00AE6E10">
              <w:rPr>
                <w:rFonts w:ascii="宋体" w:eastAsia="宋体" w:hAnsi="宋体" w:cs="宋体" w:hint="eastAsia"/>
                <w:sz w:val="21"/>
                <w:szCs w:val="21"/>
              </w:rPr>
              <w:t>从单季度看，</w:t>
            </w:r>
            <w:r w:rsidR="00603DA9">
              <w:rPr>
                <w:rFonts w:ascii="宋体" w:eastAsia="宋体" w:hAnsi="宋体" w:cs="宋体" w:hint="eastAsia"/>
                <w:sz w:val="21"/>
                <w:szCs w:val="21"/>
              </w:rPr>
              <w:t>2023Q4公司实现</w:t>
            </w:r>
            <w:r w:rsidR="00603DA9" w:rsidRPr="008D10A5">
              <w:rPr>
                <w:rFonts w:ascii="宋体" w:eastAsia="宋体" w:hAnsi="宋体" w:cs="宋体" w:hint="eastAsia"/>
                <w:sz w:val="21"/>
                <w:szCs w:val="21"/>
              </w:rPr>
              <w:t>营业收入</w:t>
            </w:r>
            <w:r w:rsidR="00603DA9">
              <w:rPr>
                <w:rFonts w:ascii="宋体" w:eastAsia="宋体" w:hAnsi="宋体" w:cs="宋体" w:hint="eastAsia"/>
                <w:sz w:val="21"/>
                <w:szCs w:val="21"/>
              </w:rPr>
              <w:t>10.66亿</w:t>
            </w:r>
            <w:r w:rsidR="00603DA9" w:rsidRPr="008D10A5">
              <w:rPr>
                <w:rFonts w:ascii="宋体" w:eastAsia="宋体" w:hAnsi="宋体" w:cs="宋体"/>
                <w:sz w:val="21"/>
                <w:szCs w:val="21"/>
              </w:rPr>
              <w:t>元，同比增长</w:t>
            </w:r>
            <w:r w:rsidR="00603DA9">
              <w:rPr>
                <w:rFonts w:ascii="宋体" w:eastAsia="宋体" w:hAnsi="宋体" w:cs="宋体" w:hint="eastAsia"/>
                <w:sz w:val="21"/>
                <w:szCs w:val="21"/>
              </w:rPr>
              <w:t>16.72</w:t>
            </w:r>
            <w:r w:rsidR="00603DA9" w:rsidRPr="008D10A5">
              <w:rPr>
                <w:rFonts w:ascii="宋体" w:eastAsia="宋体" w:hAnsi="宋体" w:cs="宋体"/>
                <w:sz w:val="21"/>
                <w:szCs w:val="21"/>
              </w:rPr>
              <w:t>%；实现归母净利润</w:t>
            </w:r>
            <w:r w:rsidR="00603DA9">
              <w:rPr>
                <w:rFonts w:ascii="宋体" w:eastAsia="宋体" w:hAnsi="宋体" w:cs="宋体" w:hint="eastAsia"/>
                <w:sz w:val="21"/>
                <w:szCs w:val="21"/>
              </w:rPr>
              <w:t>1.93亿元</w:t>
            </w:r>
            <w:r w:rsidR="00603DA9" w:rsidRPr="008D10A5">
              <w:rPr>
                <w:rFonts w:ascii="宋体" w:eastAsia="宋体" w:hAnsi="宋体" w:cs="宋体"/>
                <w:sz w:val="21"/>
                <w:szCs w:val="21"/>
              </w:rPr>
              <w:t>，同比增长</w:t>
            </w:r>
            <w:r w:rsidR="00603DA9">
              <w:rPr>
                <w:rFonts w:ascii="宋体" w:eastAsia="宋体" w:hAnsi="宋体" w:cs="宋体" w:hint="eastAsia"/>
                <w:sz w:val="21"/>
                <w:szCs w:val="21"/>
              </w:rPr>
              <w:t>138</w:t>
            </w:r>
            <w:r w:rsidR="00603DA9" w:rsidRPr="00DE7544">
              <w:rPr>
                <w:rFonts w:ascii="宋体" w:eastAsia="宋体" w:hAnsi="宋体" w:cs="宋体"/>
                <w:sz w:val="21"/>
                <w:szCs w:val="21"/>
              </w:rPr>
              <w:t>.</w:t>
            </w:r>
            <w:r w:rsidR="00603DA9">
              <w:rPr>
                <w:rFonts w:ascii="宋体" w:eastAsia="宋体" w:hAnsi="宋体" w:cs="宋体" w:hint="eastAsia"/>
                <w:sz w:val="21"/>
                <w:szCs w:val="21"/>
              </w:rPr>
              <w:t>02</w:t>
            </w:r>
            <w:r w:rsidR="00603DA9" w:rsidRPr="008D10A5">
              <w:rPr>
                <w:rFonts w:ascii="宋体" w:eastAsia="宋体" w:hAnsi="宋体" w:cs="宋体"/>
                <w:sz w:val="21"/>
                <w:szCs w:val="21"/>
              </w:rPr>
              <w:t>%；实现扣非</w:t>
            </w:r>
            <w:r w:rsidR="00603DA9">
              <w:rPr>
                <w:rFonts w:ascii="宋体" w:eastAsia="宋体" w:hAnsi="宋体" w:cs="宋体" w:hint="eastAsia"/>
                <w:sz w:val="21"/>
                <w:szCs w:val="21"/>
              </w:rPr>
              <w:t>归母</w:t>
            </w:r>
            <w:r w:rsidR="00603DA9" w:rsidRPr="008D10A5">
              <w:rPr>
                <w:rFonts w:ascii="宋体" w:eastAsia="宋体" w:hAnsi="宋体" w:cs="宋体"/>
                <w:sz w:val="21"/>
                <w:szCs w:val="21"/>
              </w:rPr>
              <w:t>净利润</w:t>
            </w:r>
            <w:r w:rsidR="00603DA9">
              <w:rPr>
                <w:rFonts w:ascii="宋体" w:eastAsia="宋体" w:hAnsi="宋体" w:cs="宋体" w:hint="eastAsia"/>
                <w:sz w:val="21"/>
                <w:szCs w:val="21"/>
              </w:rPr>
              <w:t>1.72亿</w:t>
            </w:r>
            <w:r w:rsidR="00603DA9" w:rsidRPr="008D10A5">
              <w:rPr>
                <w:rFonts w:ascii="宋体" w:eastAsia="宋体" w:hAnsi="宋体" w:cs="宋体"/>
                <w:sz w:val="21"/>
                <w:szCs w:val="21"/>
              </w:rPr>
              <w:t>元，同比增长</w:t>
            </w:r>
            <w:r w:rsidR="00603DA9" w:rsidRPr="00DE7544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="00603DA9">
              <w:rPr>
                <w:rFonts w:ascii="宋体" w:eastAsia="宋体" w:hAnsi="宋体" w:cs="宋体" w:hint="eastAsia"/>
                <w:sz w:val="21"/>
                <w:szCs w:val="21"/>
              </w:rPr>
              <w:t>38.61</w:t>
            </w:r>
            <w:r w:rsidR="00603DA9" w:rsidRPr="008D10A5">
              <w:rPr>
                <w:rFonts w:ascii="宋体" w:eastAsia="宋体" w:hAnsi="宋体" w:cs="宋体"/>
                <w:sz w:val="21"/>
                <w:szCs w:val="21"/>
              </w:rPr>
              <w:t>%。</w:t>
            </w:r>
          </w:p>
          <w:p w14:paraId="26B642AB" w14:textId="4393BBF5" w:rsidR="00DE7544" w:rsidRDefault="00603DA9" w:rsidP="005E7D03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603DA9">
              <w:rPr>
                <w:rFonts w:ascii="宋体" w:eastAsia="宋体" w:hAnsi="宋体" w:cs="宋体" w:hint="eastAsia"/>
                <w:sz w:val="21"/>
                <w:szCs w:val="21"/>
              </w:rPr>
              <w:t>公司销售结构进一步发生变化，中高端产品销售占比继续提升，销售占比达到</w:t>
            </w:r>
            <w:r w:rsidRPr="00603DA9">
              <w:rPr>
                <w:rFonts w:ascii="宋体" w:eastAsia="宋体" w:hAnsi="宋体" w:cs="宋体"/>
                <w:sz w:val="21"/>
                <w:szCs w:val="21"/>
              </w:rPr>
              <w:t>50.95%，较去年提升5.73个百分点。子品牌博锐销售额占比提升至17.17%，较去年提升8.44个百分点。</w:t>
            </w:r>
          </w:p>
          <w:p w14:paraId="10D6BD7E" w14:textId="6336A691" w:rsidR="00603DA9" w:rsidRDefault="00002770" w:rsidP="005E7D03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002770">
              <w:rPr>
                <w:rFonts w:ascii="宋体" w:eastAsia="宋体" w:hAnsi="宋体" w:cs="宋体" w:hint="eastAsia"/>
                <w:sz w:val="21"/>
                <w:szCs w:val="21"/>
              </w:rPr>
              <w:t>公司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坚持</w:t>
            </w:r>
            <w:r w:rsidRPr="00002770">
              <w:rPr>
                <w:rFonts w:ascii="宋体" w:eastAsia="宋体" w:hAnsi="宋体" w:cs="宋体" w:hint="eastAsia"/>
                <w:sz w:val="21"/>
                <w:szCs w:val="21"/>
              </w:rPr>
              <w:t>以“研发创新”和“品牌运营”为两大核心竞争力，经过</w:t>
            </w:r>
            <w:r w:rsidRPr="00002770">
              <w:rPr>
                <w:rFonts w:ascii="宋体" w:eastAsia="宋体" w:hAnsi="宋体" w:cs="宋体"/>
                <w:sz w:val="21"/>
                <w:szCs w:val="21"/>
              </w:rPr>
              <w:t>25年的发展，在技术研发和品牌建设中持续投入，凭借领先的产品技术、稳定的产品质量、较高的性价比和完善的营销网络，树立起了良好的品牌形象和品牌认知度。</w:t>
            </w:r>
          </w:p>
          <w:p w14:paraId="00A565A8" w14:textId="77777777" w:rsidR="0087016F" w:rsidRDefault="0087016F" w:rsidP="005E7D03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40030F8D" w14:textId="77777777" w:rsidR="00696F69" w:rsidRPr="005E7D03" w:rsidRDefault="00696F69" w:rsidP="005E7D03">
            <w:pPr>
              <w:spacing w:line="360" w:lineRule="auto"/>
              <w:ind w:firstLineChars="200" w:firstLine="420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2466C2A7" w14:textId="42FD1C53" w:rsidR="00996247" w:rsidRDefault="00F47D14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二、</w:t>
            </w:r>
            <w:r w:rsidR="00E6250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解答投资者的提问</w:t>
            </w:r>
          </w:p>
          <w:p w14:paraId="056FA9ED" w14:textId="286AFB35" w:rsidR="00787552" w:rsidRDefault="00787552" w:rsidP="00787552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问题一：“</w:t>
            </w:r>
            <w:r w:rsidRPr="007674DC">
              <w:rPr>
                <w:rFonts w:ascii="宋体" w:eastAsia="宋体" w:hAnsi="宋体" w:cs="宋体" w:hint="eastAsia"/>
                <w:b/>
                <w:sz w:val="21"/>
                <w:szCs w:val="21"/>
              </w:rPr>
              <w:t>博锐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”</w:t>
            </w:r>
            <w:r w:rsidRPr="007674DC">
              <w:rPr>
                <w:rFonts w:ascii="宋体" w:eastAsia="宋体" w:hAnsi="宋体" w:cs="宋体" w:hint="eastAsia"/>
                <w:b/>
                <w:sz w:val="21"/>
                <w:szCs w:val="21"/>
              </w:rPr>
              <w:t>子品牌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增长的原因有哪些</w:t>
            </w:r>
            <w:r w:rsidRPr="007674DC">
              <w:rPr>
                <w:rFonts w:ascii="宋体" w:eastAsia="宋体" w:hAnsi="宋体" w:cs="宋体" w:hint="eastAsia"/>
                <w:b/>
                <w:sz w:val="21"/>
                <w:szCs w:val="21"/>
              </w:rPr>
              <w:t>？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14:paraId="27D68AD1" w14:textId="77777777" w:rsidR="00787552" w:rsidRDefault="00787552" w:rsidP="00787552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答：</w:t>
            </w:r>
            <w:r w:rsidRPr="007674DC">
              <w:rPr>
                <w:rFonts w:ascii="宋体" w:eastAsia="宋体" w:hAnsi="宋体" w:cs="宋体" w:hint="eastAsia"/>
                <w:sz w:val="21"/>
                <w:szCs w:val="21"/>
              </w:rPr>
              <w:t>公司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在2023年度</w:t>
            </w:r>
            <w:r w:rsidRPr="005578B6">
              <w:rPr>
                <w:rFonts w:ascii="宋体" w:eastAsia="宋体" w:hAnsi="宋体" w:cs="宋体" w:hint="eastAsia"/>
                <w:sz w:val="21"/>
                <w:szCs w:val="21"/>
              </w:rPr>
              <w:t>贯彻执行前期制定的“博锐”品牌定位提升，在推动“飞科”品牌进一步年轻化和高端化升级的同时，推动子品牌“博锐”有序承接“飞科”品牌部分原有性价比市场的战略功能，并对营销策略和营销渠道进行了相应调整，使品牌定位和运营策略更契合公司后续发展规划。博锐</w:t>
            </w:r>
            <w:r w:rsidRPr="005578B6">
              <w:rPr>
                <w:rFonts w:ascii="宋体" w:eastAsia="宋体" w:hAnsi="宋体" w:cs="宋体"/>
                <w:sz w:val="21"/>
                <w:szCs w:val="21"/>
              </w:rPr>
              <w:t>2023年度实现营业收入8.69亿元，同比增加115.48%，市场份额亦得到显著提升。</w:t>
            </w:r>
          </w:p>
          <w:p w14:paraId="38FA9847" w14:textId="77777777" w:rsidR="00696F69" w:rsidRDefault="00696F69" w:rsidP="00787552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31EE69B8" w14:textId="31DD6C50" w:rsidR="00787552" w:rsidRDefault="00787552" w:rsidP="00787552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lastRenderedPageBreak/>
              <w:t>问题二：公司在产品研发和销售上的优势在哪里</w:t>
            </w:r>
            <w:r w:rsidRPr="00C33D5D">
              <w:rPr>
                <w:rFonts w:ascii="宋体" w:eastAsia="宋体" w:hAnsi="宋体" w:cs="宋体" w:hint="eastAsia"/>
                <w:b/>
                <w:sz w:val="21"/>
                <w:szCs w:val="21"/>
              </w:rPr>
              <w:t>？</w:t>
            </w:r>
          </w:p>
          <w:p w14:paraId="225A7A3C" w14:textId="77777777" w:rsidR="00787552" w:rsidRDefault="00787552" w:rsidP="00787552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答：</w:t>
            </w:r>
            <w:r w:rsidRPr="007674DC">
              <w:rPr>
                <w:rFonts w:ascii="宋体" w:eastAsia="宋体" w:hAnsi="宋体" w:cs="宋体" w:hint="eastAsia"/>
                <w:sz w:val="21"/>
                <w:szCs w:val="21"/>
              </w:rPr>
              <w:t>公司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近年来</w:t>
            </w:r>
            <w:r w:rsidRPr="0030508E">
              <w:rPr>
                <w:rFonts w:ascii="宋体" w:eastAsia="宋体" w:hAnsi="宋体" w:cs="宋体" w:hint="eastAsia"/>
                <w:sz w:val="21"/>
                <w:szCs w:val="21"/>
              </w:rPr>
              <w:t>着力打造“智能感应”剃须刀、便携式“太空小飞碟剃须刀”、“银河星环”高速电吹风等差异化科技创新产品的爆款模式，继续加强和优化内容媒体平台的多账号多店铺同播矩阵运营，结合持续强化的节假日情感营销策略，加大内容营销投入，提升内容生产和内容运营水平，深度挖掘个护电器的礼品属性，满足消费者在“情人节”、“</w:t>
            </w:r>
            <w:r w:rsidRPr="0030508E">
              <w:rPr>
                <w:rFonts w:ascii="宋体" w:eastAsia="宋体" w:hAnsi="宋体" w:cs="宋体"/>
                <w:sz w:val="21"/>
                <w:szCs w:val="21"/>
              </w:rPr>
              <w:t>5.20”、“父亲节”、“七夕”等情感节假日的情感诉求，通过产品传递情感并融入品牌文化，在提升品牌温度、品牌内涵、品牌形象的同时助推产品销售，实现品效合一营销。</w:t>
            </w:r>
          </w:p>
          <w:p w14:paraId="3AAFCD9C" w14:textId="77777777" w:rsidR="00787552" w:rsidRDefault="00787552" w:rsidP="007674DC">
            <w:pPr>
              <w:spacing w:line="360" w:lineRule="auto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14:paraId="5B06AC21" w14:textId="4738E213" w:rsidR="007674DC" w:rsidRDefault="007674DC" w:rsidP="007674DC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问题</w:t>
            </w:r>
            <w:r w:rsidR="00787552">
              <w:rPr>
                <w:rFonts w:ascii="宋体" w:eastAsia="宋体" w:hAnsi="宋体" w:cs="宋体" w:hint="eastAsia"/>
                <w:b/>
                <w:sz w:val="21"/>
                <w:szCs w:val="21"/>
              </w:rPr>
              <w:t>三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：</w:t>
            </w:r>
            <w:r w:rsidR="001E0A94">
              <w:rPr>
                <w:rFonts w:ascii="宋体" w:eastAsia="宋体" w:hAnsi="宋体" w:cs="宋体" w:hint="eastAsia"/>
                <w:b/>
                <w:sz w:val="21"/>
                <w:szCs w:val="21"/>
              </w:rPr>
              <w:t>目前公司</w:t>
            </w:r>
            <w:r w:rsidR="00787552">
              <w:rPr>
                <w:rFonts w:ascii="宋体" w:eastAsia="宋体" w:hAnsi="宋体" w:cs="宋体" w:hint="eastAsia"/>
                <w:b/>
                <w:sz w:val="21"/>
                <w:szCs w:val="21"/>
              </w:rPr>
              <w:t>产品综合</w:t>
            </w:r>
            <w:r w:rsidR="001E0A94">
              <w:rPr>
                <w:rFonts w:ascii="宋体" w:eastAsia="宋体" w:hAnsi="宋体" w:cs="宋体" w:hint="eastAsia"/>
                <w:b/>
                <w:sz w:val="21"/>
                <w:szCs w:val="21"/>
              </w:rPr>
              <w:t>毛利率情况</w:t>
            </w:r>
            <w:r w:rsidR="00787552">
              <w:rPr>
                <w:rFonts w:ascii="宋体" w:eastAsia="宋体" w:hAnsi="宋体" w:cs="宋体" w:hint="eastAsia"/>
                <w:b/>
                <w:sz w:val="21"/>
                <w:szCs w:val="21"/>
              </w:rPr>
              <w:t>以及品类的销售占比</w:t>
            </w:r>
            <w:r w:rsidR="001E0A94">
              <w:rPr>
                <w:rFonts w:ascii="宋体" w:eastAsia="宋体" w:hAnsi="宋体" w:cs="宋体" w:hint="eastAsia"/>
                <w:b/>
                <w:sz w:val="21"/>
                <w:szCs w:val="21"/>
              </w:rPr>
              <w:t>是怎么样的？</w:t>
            </w:r>
          </w:p>
          <w:p w14:paraId="2A0657F0" w14:textId="3A40CC7D" w:rsidR="007674DC" w:rsidRDefault="007674DC" w:rsidP="007674DC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答：</w:t>
            </w:r>
            <w:r w:rsidR="00002770" w:rsidRPr="00002770">
              <w:rPr>
                <w:rFonts w:ascii="宋体" w:eastAsia="宋体" w:hAnsi="宋体" w:cs="宋体" w:hint="eastAsia"/>
                <w:sz w:val="21"/>
                <w:szCs w:val="21"/>
              </w:rPr>
              <w:t>公司</w:t>
            </w:r>
            <w:r w:rsidR="00002770">
              <w:rPr>
                <w:rFonts w:ascii="宋体" w:eastAsia="宋体" w:hAnsi="宋体" w:cs="宋体" w:hint="eastAsia"/>
                <w:sz w:val="21"/>
                <w:szCs w:val="21"/>
              </w:rPr>
              <w:t>专注于小家电领域内的</w:t>
            </w:r>
            <w:r w:rsidR="00002770" w:rsidRPr="00002770">
              <w:rPr>
                <w:rFonts w:ascii="宋体" w:eastAsia="宋体" w:hAnsi="宋体" w:cs="宋体" w:hint="eastAsia"/>
                <w:sz w:val="21"/>
                <w:szCs w:val="21"/>
              </w:rPr>
              <w:t>同心多品类战略</w:t>
            </w:r>
            <w:r w:rsidR="00002770">
              <w:rPr>
                <w:rFonts w:ascii="宋体" w:eastAsia="宋体" w:hAnsi="宋体" w:cs="宋体" w:hint="eastAsia"/>
                <w:sz w:val="21"/>
                <w:szCs w:val="21"/>
              </w:rPr>
              <w:t>规划，不断</w:t>
            </w:r>
            <w:r w:rsidR="00002770" w:rsidRPr="00002770">
              <w:rPr>
                <w:rFonts w:ascii="宋体" w:eastAsia="宋体" w:hAnsi="宋体" w:cs="宋体" w:hint="eastAsia"/>
                <w:sz w:val="21"/>
                <w:szCs w:val="21"/>
              </w:rPr>
              <w:t>加大研发投入，推动产品升级，持续开拓新品，优化产品结构</w:t>
            </w:r>
            <w:r w:rsidR="00706EF7">
              <w:rPr>
                <w:rFonts w:ascii="宋体" w:eastAsia="宋体" w:hAnsi="宋体" w:cs="宋体" w:hint="eastAsia"/>
                <w:sz w:val="21"/>
                <w:szCs w:val="21"/>
              </w:rPr>
              <w:t>。2023年公司产品综合毛利率为57.07%，较上年增加3.47个百分点。个护电器产品实现营业收入47.69亿元，占主营业务收入比94.46%；生活电器产品实现营业收入0.99亿元，占主营业务收入比</w:t>
            </w:r>
            <w:r w:rsidR="00A1607B">
              <w:rPr>
                <w:rFonts w:ascii="宋体" w:eastAsia="宋体" w:hAnsi="宋体" w:cs="宋体" w:hint="eastAsia"/>
                <w:sz w:val="21"/>
                <w:szCs w:val="21"/>
              </w:rPr>
              <w:t>1.97%；其他产品实现营业收入1.80亿元，占主营业务收入比3.58%。</w:t>
            </w:r>
          </w:p>
          <w:p w14:paraId="47F0FD48" w14:textId="77777777" w:rsidR="00143A50" w:rsidRDefault="00143A50" w:rsidP="007674DC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1C446F21" w14:textId="4D058783" w:rsidR="00143A50" w:rsidRDefault="00143A50" w:rsidP="00143A50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问题</w:t>
            </w:r>
            <w:r w:rsidR="00787552">
              <w:rPr>
                <w:rFonts w:ascii="宋体" w:eastAsia="宋体" w:hAnsi="宋体" w:cs="宋体" w:hint="eastAsia"/>
                <w:b/>
                <w:sz w:val="21"/>
                <w:szCs w:val="21"/>
              </w:rPr>
              <w:t>四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：公司</w:t>
            </w:r>
            <w:r w:rsidR="005578B6">
              <w:rPr>
                <w:rFonts w:ascii="宋体" w:eastAsia="宋体" w:hAnsi="宋体" w:cs="宋体" w:hint="eastAsia"/>
                <w:b/>
                <w:sz w:val="21"/>
                <w:szCs w:val="21"/>
              </w:rPr>
              <w:t>如何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布局海外市场</w:t>
            </w:r>
            <w:r w:rsidRPr="00996247">
              <w:rPr>
                <w:rFonts w:ascii="宋体" w:eastAsia="宋体" w:hAnsi="宋体" w:cs="宋体" w:hint="eastAsia"/>
                <w:b/>
                <w:sz w:val="21"/>
                <w:szCs w:val="21"/>
              </w:rPr>
              <w:t>，如何发力形成新的增长点</w:t>
            </w:r>
            <w:r w:rsidRPr="00C33D5D">
              <w:rPr>
                <w:rFonts w:ascii="宋体" w:eastAsia="宋体" w:hAnsi="宋体" w:cs="宋体" w:hint="eastAsia"/>
                <w:b/>
                <w:sz w:val="21"/>
                <w:szCs w:val="21"/>
              </w:rPr>
              <w:t>？</w:t>
            </w:r>
          </w:p>
          <w:p w14:paraId="086800B6" w14:textId="040E6595" w:rsidR="00143A50" w:rsidRDefault="00143A50" w:rsidP="00143A50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答：</w:t>
            </w:r>
            <w:r w:rsidR="008328A4" w:rsidRPr="008328A4">
              <w:rPr>
                <w:rFonts w:ascii="宋体" w:eastAsia="宋体" w:hAnsi="宋体" w:cs="宋体"/>
                <w:sz w:val="21"/>
                <w:szCs w:val="21"/>
              </w:rPr>
              <w:t>公司</w:t>
            </w:r>
            <w:r w:rsidR="0038018B">
              <w:rPr>
                <w:rFonts w:ascii="宋体" w:eastAsia="宋体" w:hAnsi="宋体" w:cs="宋体" w:hint="eastAsia"/>
                <w:sz w:val="21"/>
                <w:szCs w:val="21"/>
              </w:rPr>
              <w:t>已</w:t>
            </w:r>
            <w:r w:rsidR="008328A4" w:rsidRPr="008328A4">
              <w:rPr>
                <w:rFonts w:ascii="宋体" w:eastAsia="宋体" w:hAnsi="宋体" w:cs="宋体"/>
                <w:sz w:val="21"/>
                <w:szCs w:val="21"/>
              </w:rPr>
              <w:t>进一步优化海外市场策略，重点聚焦</w:t>
            </w:r>
            <w:r w:rsidR="006E340F">
              <w:rPr>
                <w:rFonts w:ascii="宋体" w:eastAsia="宋体" w:hAnsi="宋体" w:cs="宋体" w:hint="eastAsia"/>
                <w:sz w:val="21"/>
                <w:szCs w:val="21"/>
              </w:rPr>
              <w:t>在</w:t>
            </w:r>
            <w:r w:rsidR="008328A4" w:rsidRPr="008328A4">
              <w:rPr>
                <w:rFonts w:ascii="宋体" w:eastAsia="宋体" w:hAnsi="宋体" w:cs="宋体"/>
                <w:sz w:val="21"/>
                <w:szCs w:val="21"/>
              </w:rPr>
              <w:t>东南亚、非洲、中东等新兴市场，</w:t>
            </w:r>
            <w:r w:rsidR="006E340F">
              <w:rPr>
                <w:rFonts w:ascii="宋体" w:eastAsia="宋体" w:hAnsi="宋体" w:cs="宋体" w:hint="eastAsia"/>
                <w:sz w:val="21"/>
                <w:szCs w:val="21"/>
              </w:rPr>
              <w:t>已</w:t>
            </w:r>
            <w:r w:rsidR="008328A4" w:rsidRPr="008328A4">
              <w:rPr>
                <w:rFonts w:ascii="宋体" w:eastAsia="宋体" w:hAnsi="宋体" w:cs="宋体"/>
                <w:sz w:val="21"/>
                <w:szCs w:val="21"/>
              </w:rPr>
              <w:t>组建新的海外业务团队，全面布局重点海外市场的渠道建设，针对当地市场特性与经销商共同制定产品和营销策略，实现海外市场新的突破。</w:t>
            </w:r>
          </w:p>
          <w:p w14:paraId="4419E0C8" w14:textId="77777777" w:rsidR="00996247" w:rsidRDefault="00996247">
            <w:pPr>
              <w:spacing w:line="360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14:paraId="0855A1C1" w14:textId="7BF7AD5B" w:rsidR="007674DC" w:rsidRDefault="007674DC" w:rsidP="007674DC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问题</w:t>
            </w:r>
            <w:r w:rsidR="00787552">
              <w:rPr>
                <w:rFonts w:ascii="宋体" w:eastAsia="宋体" w:hAnsi="宋体" w:cs="宋体" w:hint="eastAsia"/>
                <w:b/>
                <w:sz w:val="21"/>
                <w:szCs w:val="21"/>
              </w:rPr>
              <w:t>五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：</w:t>
            </w:r>
            <w:r w:rsidR="0030508E">
              <w:rPr>
                <w:rFonts w:ascii="宋体" w:eastAsia="宋体" w:hAnsi="宋体" w:cs="宋体" w:hint="eastAsia"/>
                <w:b/>
                <w:sz w:val="21"/>
                <w:szCs w:val="21"/>
              </w:rPr>
              <w:t>公司目前线下的销售模式和策略是怎么样的？</w:t>
            </w:r>
          </w:p>
          <w:p w14:paraId="27A8BDDF" w14:textId="50BEBF6F" w:rsidR="00996247" w:rsidRPr="0087675A" w:rsidRDefault="007674DC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答：</w:t>
            </w:r>
            <w:r w:rsidR="00F56424">
              <w:rPr>
                <w:rFonts w:ascii="宋体" w:eastAsia="宋体" w:hAnsi="宋体" w:cs="宋体" w:hint="eastAsia"/>
                <w:sz w:val="21"/>
                <w:szCs w:val="21"/>
              </w:rPr>
              <w:t>公司构建了以KA终端、区域分销、飞科体验店、礼品团购相结合的线下销售体系。</w:t>
            </w:r>
            <w:r w:rsidR="00F56424" w:rsidRPr="00F56424">
              <w:rPr>
                <w:rFonts w:ascii="宋体" w:eastAsia="宋体" w:hAnsi="宋体" w:cs="宋体" w:hint="eastAsia"/>
                <w:sz w:val="21"/>
                <w:szCs w:val="21"/>
              </w:rPr>
              <w:t>公司线下</w:t>
            </w:r>
            <w:r w:rsidR="00F56424" w:rsidRPr="00F56424">
              <w:rPr>
                <w:rFonts w:ascii="宋体" w:eastAsia="宋体" w:hAnsi="宋体" w:cs="宋体"/>
                <w:sz w:val="21"/>
                <w:szCs w:val="21"/>
              </w:rPr>
              <w:t>KA渠道已覆盖全国31个省、自治区、直辖市，与沃尔玛、大润发、永辉、五星、国美等知名KA卖场保持良好的合作关系，建立</w:t>
            </w:r>
            <w:r w:rsidR="00F56424">
              <w:rPr>
                <w:rFonts w:ascii="宋体" w:eastAsia="宋体" w:hAnsi="宋体" w:cs="宋体" w:hint="eastAsia"/>
                <w:sz w:val="21"/>
                <w:szCs w:val="21"/>
              </w:rPr>
              <w:t>了</w:t>
            </w:r>
            <w:r w:rsidR="00F56424" w:rsidRPr="00F56424">
              <w:rPr>
                <w:rFonts w:ascii="宋体" w:eastAsia="宋体" w:hAnsi="宋体" w:cs="宋体"/>
                <w:sz w:val="21"/>
                <w:szCs w:val="21"/>
              </w:rPr>
              <w:t>数量庞大、关系稳定的终端网络。区域分销渠道进一步将全国细分为12个大区进行扁平化和网格化管理，以地级市为单位，采用经销商直配为主，一级分销为辅的模式，对中小商超、电器店、便利店、礼赠品店、美容美妆店、办公用品店等网点进行分级分</w:t>
            </w:r>
            <w:r w:rsidR="00F56424" w:rsidRPr="00F56424">
              <w:rPr>
                <w:rFonts w:ascii="宋体" w:eastAsia="宋体" w:hAnsi="宋体" w:cs="宋体"/>
                <w:sz w:val="21"/>
                <w:szCs w:val="21"/>
              </w:rPr>
              <w:lastRenderedPageBreak/>
              <w:t>类扫街式覆盖，同时不断加大对3C数码店、潮品店、书店等新</w:t>
            </w:r>
            <w:r w:rsidR="00296E60">
              <w:rPr>
                <w:rFonts w:ascii="宋体" w:eastAsia="宋体" w:hAnsi="宋体" w:cs="宋体" w:hint="eastAsia"/>
                <w:sz w:val="21"/>
                <w:szCs w:val="21"/>
              </w:rPr>
              <w:t>型</w:t>
            </w:r>
            <w:r w:rsidR="00F56424" w:rsidRPr="00F56424">
              <w:rPr>
                <w:rFonts w:ascii="宋体" w:eastAsia="宋体" w:hAnsi="宋体" w:cs="宋体"/>
                <w:sz w:val="21"/>
                <w:szCs w:val="21"/>
              </w:rPr>
              <w:t>终端的开发力度</w:t>
            </w:r>
            <w:r w:rsidR="00F56424"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 w:rsidR="00F56424" w:rsidRPr="00052B2A">
              <w:rPr>
                <w:rFonts w:ascii="宋体" w:eastAsia="宋体" w:hAnsi="宋体" w:cs="宋体" w:hint="eastAsia"/>
                <w:sz w:val="21"/>
                <w:szCs w:val="21"/>
              </w:rPr>
              <w:t>利用自身线下渠道管理的优势，增加品牌曝光度。</w:t>
            </w:r>
          </w:p>
          <w:p w14:paraId="11E5A400" w14:textId="77777777" w:rsidR="00020B7C" w:rsidRDefault="00020B7C" w:rsidP="008328A4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  <w:p w14:paraId="723BF353" w14:textId="24DA62EB" w:rsidR="0038018B" w:rsidRDefault="0038018B" w:rsidP="0038018B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问题六：公司线下体验式零售店的开设情况如何？</w:t>
            </w:r>
          </w:p>
          <w:p w14:paraId="711A4CEB" w14:textId="59DE3C84" w:rsidR="00BC7E73" w:rsidRPr="00BC7E73" w:rsidRDefault="0038018B" w:rsidP="008328A4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答：</w:t>
            </w:r>
            <w:r w:rsidRPr="0038018B">
              <w:rPr>
                <w:rFonts w:ascii="宋体" w:eastAsia="宋体" w:hAnsi="宋体" w:cs="宋体" w:hint="eastAsia"/>
                <w:sz w:val="21"/>
                <w:szCs w:val="21"/>
              </w:rPr>
              <w:t>截止</w:t>
            </w:r>
            <w:r w:rsidRPr="0038018B">
              <w:rPr>
                <w:rFonts w:ascii="宋体" w:eastAsia="宋体" w:hAnsi="宋体" w:cs="宋体"/>
                <w:sz w:val="21"/>
                <w:szCs w:val="21"/>
              </w:rPr>
              <w:t>2023年底，公司已在全国</w:t>
            </w:r>
            <w:r w:rsidR="00DA5638">
              <w:rPr>
                <w:rFonts w:ascii="宋体" w:eastAsia="宋体" w:hAnsi="宋体" w:cs="宋体" w:hint="eastAsia"/>
                <w:sz w:val="21"/>
                <w:szCs w:val="21"/>
              </w:rPr>
              <w:t>46个城市</w:t>
            </w:r>
            <w:r w:rsidRPr="0038018B">
              <w:rPr>
                <w:rFonts w:ascii="宋体" w:eastAsia="宋体" w:hAnsi="宋体" w:cs="宋体"/>
                <w:sz w:val="21"/>
                <w:szCs w:val="21"/>
              </w:rPr>
              <w:t>开设体验式零售形象店55家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 w:rsidR="00DA5638">
              <w:rPr>
                <w:rFonts w:ascii="宋体" w:eastAsia="宋体" w:hAnsi="宋体" w:cs="宋体" w:hint="eastAsia"/>
                <w:sz w:val="21"/>
                <w:szCs w:val="21"/>
              </w:rPr>
              <w:t>未来还将计划</w:t>
            </w:r>
            <w:r w:rsidRPr="0038018B">
              <w:rPr>
                <w:rFonts w:ascii="宋体" w:eastAsia="宋体" w:hAnsi="宋体" w:cs="宋体" w:hint="eastAsia"/>
                <w:sz w:val="21"/>
                <w:szCs w:val="21"/>
              </w:rPr>
              <w:t>以长三角为中心在全国范围内</w:t>
            </w:r>
            <w:r w:rsidR="00DA5638">
              <w:rPr>
                <w:rFonts w:ascii="宋体" w:eastAsia="宋体" w:hAnsi="宋体" w:cs="宋体" w:hint="eastAsia"/>
                <w:sz w:val="21"/>
                <w:szCs w:val="21"/>
              </w:rPr>
              <w:t>加大</w:t>
            </w:r>
            <w:r w:rsidRPr="0038018B">
              <w:rPr>
                <w:rFonts w:ascii="宋体" w:eastAsia="宋体" w:hAnsi="宋体" w:cs="宋体" w:hint="eastAsia"/>
                <w:sz w:val="21"/>
                <w:szCs w:val="21"/>
              </w:rPr>
              <w:t>开设线下飞科体验店</w:t>
            </w:r>
            <w:r w:rsidR="00DA5638">
              <w:rPr>
                <w:rFonts w:ascii="宋体" w:eastAsia="宋体" w:hAnsi="宋体" w:cs="宋体" w:hint="eastAsia"/>
                <w:sz w:val="21"/>
                <w:szCs w:val="21"/>
              </w:rPr>
              <w:t>的拓展力度</w:t>
            </w:r>
            <w:r w:rsidRPr="0038018B">
              <w:rPr>
                <w:rFonts w:ascii="宋体" w:eastAsia="宋体" w:hAnsi="宋体" w:cs="宋体" w:hint="eastAsia"/>
                <w:sz w:val="21"/>
                <w:szCs w:val="21"/>
              </w:rPr>
              <w:t>，同时将体验店结合抖音直播、京东到家、美团、饿了么等平台引流，增强消费者黏性，培育线上线下一体化、销售服务一体化的新零售模式，打造公司在年轻消费群体中的品牌形象，给予消费者最直观的产品体验，并对消费者需求进行精准分析，以便为消费者提供更好的产品，更有助于提升飞科在多品类的品牌认知和消费者黏性，推动公司品牌升级。</w:t>
            </w:r>
            <w:r w:rsidRPr="0038018B">
              <w:rPr>
                <w:rFonts w:ascii="宋体" w:eastAsia="宋体" w:hAnsi="宋体" w:cs="宋体"/>
                <w:sz w:val="21"/>
                <w:szCs w:val="21"/>
              </w:rPr>
              <w:cr/>
            </w:r>
          </w:p>
          <w:p w14:paraId="28365976" w14:textId="666B470C" w:rsidR="00BC7E73" w:rsidRDefault="00BC7E73" w:rsidP="00BC7E73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问题七：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  <w:lang w:val="en-US"/>
              </w:rPr>
              <w:t>去年公司剃须刀和电吹风的销售量情况如何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？</w:t>
            </w:r>
            <w:r w:rsidR="00B67A0B">
              <w:rPr>
                <w:rFonts w:ascii="宋体" w:eastAsia="宋体" w:hAnsi="宋体" w:cs="宋体" w:hint="eastAsia"/>
                <w:b/>
                <w:sz w:val="21"/>
                <w:szCs w:val="21"/>
              </w:rPr>
              <w:t>在品类上有何规划？</w:t>
            </w:r>
          </w:p>
          <w:p w14:paraId="0A91AF99" w14:textId="78378352" w:rsidR="0038018B" w:rsidRPr="00B67A0B" w:rsidRDefault="00BC7E73" w:rsidP="003E0A55">
            <w:pPr>
              <w:spacing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答：2023年度，公司共销售电动剃须刀4940.90万</w:t>
            </w:r>
            <w:r w:rsidR="00EB5098">
              <w:rPr>
                <w:rFonts w:ascii="宋体" w:eastAsia="宋体" w:hAnsi="宋体" w:cs="宋体" w:hint="eastAsia"/>
                <w:sz w:val="21"/>
                <w:szCs w:val="21"/>
              </w:rPr>
              <w:t>台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，同比增加3.49%；共销售电吹风1523.00万</w:t>
            </w:r>
            <w:r w:rsidR="00EB5098">
              <w:rPr>
                <w:rFonts w:ascii="宋体" w:eastAsia="宋体" w:hAnsi="宋体" w:cs="宋体" w:hint="eastAsia"/>
                <w:sz w:val="21"/>
                <w:szCs w:val="21"/>
              </w:rPr>
              <w:t>台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，同比增加16.97%。</w:t>
            </w:r>
            <w:r w:rsidR="003E0A55" w:rsidRPr="003E0A55">
              <w:rPr>
                <w:rFonts w:ascii="宋体" w:eastAsia="宋体" w:hAnsi="宋体" w:cs="宋体"/>
                <w:sz w:val="21"/>
                <w:szCs w:val="21"/>
              </w:rPr>
              <w:t>公司将进一步聚焦</w:t>
            </w:r>
            <w:r w:rsidR="00EB5098">
              <w:rPr>
                <w:rFonts w:ascii="宋体" w:eastAsia="宋体" w:hAnsi="宋体" w:cs="宋体" w:hint="eastAsia"/>
                <w:sz w:val="21"/>
                <w:szCs w:val="21"/>
              </w:rPr>
              <w:t>个人护理电器</w:t>
            </w:r>
            <w:r w:rsidR="00EB5098" w:rsidRPr="003E0A55">
              <w:rPr>
                <w:rFonts w:ascii="宋体" w:eastAsia="宋体" w:hAnsi="宋体" w:cs="宋体"/>
                <w:sz w:val="21"/>
                <w:szCs w:val="21"/>
              </w:rPr>
              <w:t>主业</w:t>
            </w:r>
            <w:r w:rsidR="00EB5098">
              <w:rPr>
                <w:rFonts w:ascii="宋体" w:eastAsia="宋体" w:hAnsi="宋体" w:cs="宋体" w:hint="eastAsia"/>
                <w:sz w:val="21"/>
                <w:szCs w:val="21"/>
              </w:rPr>
              <w:t>，</w:t>
            </w:r>
            <w:r w:rsidR="00EB5098" w:rsidRPr="003E0A55">
              <w:rPr>
                <w:rFonts w:ascii="宋体" w:eastAsia="宋体" w:hAnsi="宋体" w:cs="宋体"/>
                <w:sz w:val="21"/>
                <w:szCs w:val="21"/>
              </w:rPr>
              <w:t>深入挖掘</w:t>
            </w:r>
            <w:r w:rsidR="003E0A55">
              <w:rPr>
                <w:rFonts w:ascii="宋体" w:eastAsia="宋体" w:hAnsi="宋体" w:cs="宋体" w:hint="eastAsia"/>
                <w:sz w:val="21"/>
                <w:szCs w:val="21"/>
              </w:rPr>
              <w:t>以电动剃须刀，高速电吹风和电动牙刷为</w:t>
            </w:r>
            <w:r w:rsidR="00296E60">
              <w:rPr>
                <w:rFonts w:ascii="宋体" w:eastAsia="宋体" w:hAnsi="宋体" w:cs="宋体" w:hint="eastAsia"/>
                <w:sz w:val="21"/>
                <w:szCs w:val="21"/>
              </w:rPr>
              <w:t>核心</w:t>
            </w:r>
            <w:r w:rsidR="003E0A55">
              <w:rPr>
                <w:rFonts w:ascii="宋体" w:eastAsia="宋体" w:hAnsi="宋体" w:cs="宋体" w:hint="eastAsia"/>
                <w:sz w:val="21"/>
                <w:szCs w:val="21"/>
              </w:rPr>
              <w:t>的</w:t>
            </w:r>
            <w:r w:rsidR="00EB5098">
              <w:rPr>
                <w:rFonts w:ascii="宋体" w:eastAsia="宋体" w:hAnsi="宋体" w:cs="宋体" w:hint="eastAsia"/>
                <w:sz w:val="21"/>
                <w:szCs w:val="21"/>
              </w:rPr>
              <w:t>理容电器、美姿电器和口腔护理电器三大版块业务潜力</w:t>
            </w:r>
            <w:r w:rsidR="003E0A55" w:rsidRPr="003E0A55">
              <w:rPr>
                <w:rFonts w:ascii="宋体" w:eastAsia="宋体" w:hAnsi="宋体" w:cs="宋体"/>
                <w:sz w:val="21"/>
                <w:szCs w:val="21"/>
              </w:rPr>
              <w:t>，以更大力度推动产品</w:t>
            </w:r>
            <w:r w:rsidR="00EB5098">
              <w:rPr>
                <w:rFonts w:ascii="宋体" w:eastAsia="宋体" w:hAnsi="宋体" w:cs="宋体" w:hint="eastAsia"/>
                <w:sz w:val="21"/>
                <w:szCs w:val="21"/>
              </w:rPr>
              <w:t>的</w:t>
            </w:r>
            <w:r w:rsidR="003E0A55" w:rsidRPr="003E0A55">
              <w:rPr>
                <w:rFonts w:ascii="宋体" w:eastAsia="宋体" w:hAnsi="宋体" w:cs="宋体"/>
                <w:sz w:val="21"/>
                <w:szCs w:val="21"/>
              </w:rPr>
              <w:t>研发创新升级</w:t>
            </w:r>
            <w:r w:rsidRPr="00B10D5B"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</w:p>
        </w:tc>
      </w:tr>
      <w:tr w:rsidR="008F4460" w14:paraId="5D1F6138" w14:textId="77777777" w:rsidTr="00055C69">
        <w:trPr>
          <w:trHeight w:val="567"/>
          <w:jc w:val="center"/>
        </w:trPr>
        <w:tc>
          <w:tcPr>
            <w:tcW w:w="2122" w:type="dxa"/>
            <w:vAlign w:val="center"/>
          </w:tcPr>
          <w:p w14:paraId="2D002F2C" w14:textId="77777777" w:rsidR="008F4460" w:rsidRDefault="00296E60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lastRenderedPageBreak/>
              <w:t>附件清单（如有）</w:t>
            </w:r>
          </w:p>
        </w:tc>
        <w:tc>
          <w:tcPr>
            <w:tcW w:w="6403" w:type="dxa"/>
            <w:vAlign w:val="center"/>
          </w:tcPr>
          <w:p w14:paraId="7B1E869E" w14:textId="6E49B523" w:rsidR="008F4460" w:rsidRDefault="00EF30E8">
            <w:pPr>
              <w:pStyle w:val="TableParagraph"/>
              <w:spacing w:before="100" w:beforeAutospacing="1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无</w:t>
            </w:r>
          </w:p>
        </w:tc>
      </w:tr>
      <w:tr w:rsidR="00CA611B" w14:paraId="369D82A7" w14:textId="77777777" w:rsidTr="00F47D14">
        <w:trPr>
          <w:trHeight w:val="1169"/>
          <w:jc w:val="center"/>
        </w:trPr>
        <w:tc>
          <w:tcPr>
            <w:tcW w:w="2122" w:type="dxa"/>
            <w:vAlign w:val="center"/>
          </w:tcPr>
          <w:p w14:paraId="6F0CC65A" w14:textId="7CE920A9" w:rsidR="00CA611B" w:rsidRDefault="00ED3563" w:rsidP="00ED3563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D356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关于本次活动是否涉及应披露重大信息的说明</w:t>
            </w:r>
          </w:p>
        </w:tc>
        <w:tc>
          <w:tcPr>
            <w:tcW w:w="6403" w:type="dxa"/>
            <w:vAlign w:val="center"/>
          </w:tcPr>
          <w:p w14:paraId="58224AD4" w14:textId="30154B97" w:rsidR="00CA611B" w:rsidRDefault="00CA611B">
            <w:pPr>
              <w:pStyle w:val="TableParagraph"/>
              <w:spacing w:before="100" w:beforeAutospacing="1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不涉及</w:t>
            </w:r>
          </w:p>
        </w:tc>
      </w:tr>
      <w:tr w:rsidR="00ED3563" w14:paraId="23F691EB" w14:textId="77777777" w:rsidTr="00130F8A">
        <w:trPr>
          <w:trHeight w:val="1323"/>
          <w:jc w:val="center"/>
        </w:trPr>
        <w:tc>
          <w:tcPr>
            <w:tcW w:w="2122" w:type="dxa"/>
            <w:vAlign w:val="center"/>
          </w:tcPr>
          <w:p w14:paraId="0F596807" w14:textId="78925551" w:rsidR="00ED3563" w:rsidRPr="00CA611B" w:rsidRDefault="00ED3563" w:rsidP="00CA611B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ED3563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活动过程中所使用的演示文稿、提供的文档等附件</w:t>
            </w:r>
            <w:r w:rsidRPr="00ED3563">
              <w:rPr>
                <w:rFonts w:ascii="宋体" w:eastAsia="宋体" w:hAnsi="宋体" w:cs="宋体"/>
                <w:b/>
                <w:bCs/>
                <w:sz w:val="20"/>
                <w:szCs w:val="20"/>
              </w:rPr>
              <w:t>(如有，可作为附件)</w:t>
            </w:r>
          </w:p>
        </w:tc>
        <w:tc>
          <w:tcPr>
            <w:tcW w:w="6403" w:type="dxa"/>
            <w:vAlign w:val="center"/>
          </w:tcPr>
          <w:p w14:paraId="73F89EF2" w14:textId="20DFFD4A" w:rsidR="00ED3563" w:rsidRDefault="00ED3563">
            <w:pPr>
              <w:pStyle w:val="TableParagraph"/>
              <w:spacing w:before="100" w:beforeAutospacing="1" w:line="36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无</w:t>
            </w:r>
          </w:p>
        </w:tc>
      </w:tr>
    </w:tbl>
    <w:p w14:paraId="6CC0C681" w14:textId="504F75F8" w:rsidR="008F4460" w:rsidRDefault="008F4460" w:rsidP="00130F8A">
      <w:pPr>
        <w:rPr>
          <w:rFonts w:ascii="宋体" w:eastAsia="宋体" w:hAnsi="宋体" w:cs="宋体"/>
          <w:sz w:val="28"/>
          <w:szCs w:val="36"/>
        </w:rPr>
      </w:pPr>
    </w:p>
    <w:sectPr w:rsidR="008F4460">
      <w:type w:val="continuous"/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1B56" w14:textId="77777777" w:rsidR="0040523A" w:rsidRDefault="0040523A" w:rsidP="009D5ADE">
      <w:r>
        <w:separator/>
      </w:r>
    </w:p>
  </w:endnote>
  <w:endnote w:type="continuationSeparator" w:id="0">
    <w:p w14:paraId="5D426585" w14:textId="77777777" w:rsidR="0040523A" w:rsidRDefault="0040523A" w:rsidP="009D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BC2C" w14:textId="77777777" w:rsidR="0040523A" w:rsidRDefault="0040523A" w:rsidP="009D5ADE">
      <w:r>
        <w:separator/>
      </w:r>
    </w:p>
  </w:footnote>
  <w:footnote w:type="continuationSeparator" w:id="0">
    <w:p w14:paraId="041461DD" w14:textId="77777777" w:rsidR="0040523A" w:rsidRDefault="0040523A" w:rsidP="009D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cxYzY1ZjczOGFjMDQ3ZmRiZmM2NTQwNjRlNDU1YmMifQ=="/>
  </w:docVars>
  <w:rsids>
    <w:rsidRoot w:val="00301D32"/>
    <w:rsid w:val="00002770"/>
    <w:rsid w:val="00006357"/>
    <w:rsid w:val="00020B7C"/>
    <w:rsid w:val="00026CC3"/>
    <w:rsid w:val="00036089"/>
    <w:rsid w:val="00052B2A"/>
    <w:rsid w:val="00053CFA"/>
    <w:rsid w:val="00055C69"/>
    <w:rsid w:val="000600ED"/>
    <w:rsid w:val="0006126A"/>
    <w:rsid w:val="000633EC"/>
    <w:rsid w:val="00063804"/>
    <w:rsid w:val="00065853"/>
    <w:rsid w:val="000665A2"/>
    <w:rsid w:val="00072E6F"/>
    <w:rsid w:val="000760E9"/>
    <w:rsid w:val="000877AB"/>
    <w:rsid w:val="000959AB"/>
    <w:rsid w:val="000A04CD"/>
    <w:rsid w:val="000A08D5"/>
    <w:rsid w:val="000A364E"/>
    <w:rsid w:val="000A4103"/>
    <w:rsid w:val="000B1255"/>
    <w:rsid w:val="000B7C08"/>
    <w:rsid w:val="000B7C52"/>
    <w:rsid w:val="000C2B03"/>
    <w:rsid w:val="000D12CF"/>
    <w:rsid w:val="000D2D88"/>
    <w:rsid w:val="000D4AE0"/>
    <w:rsid w:val="000D6E81"/>
    <w:rsid w:val="000E450E"/>
    <w:rsid w:val="000E4B20"/>
    <w:rsid w:val="000F5542"/>
    <w:rsid w:val="00102D3A"/>
    <w:rsid w:val="00110A22"/>
    <w:rsid w:val="0011418F"/>
    <w:rsid w:val="00127122"/>
    <w:rsid w:val="00130ED1"/>
    <w:rsid w:val="00130F8A"/>
    <w:rsid w:val="00143A50"/>
    <w:rsid w:val="00172C24"/>
    <w:rsid w:val="00174063"/>
    <w:rsid w:val="00176031"/>
    <w:rsid w:val="0017614F"/>
    <w:rsid w:val="001763F2"/>
    <w:rsid w:val="00176DDF"/>
    <w:rsid w:val="001908FE"/>
    <w:rsid w:val="001A06C2"/>
    <w:rsid w:val="001B4AD0"/>
    <w:rsid w:val="001C1D37"/>
    <w:rsid w:val="001C1DFF"/>
    <w:rsid w:val="001C79F7"/>
    <w:rsid w:val="001E0A94"/>
    <w:rsid w:val="001E3D57"/>
    <w:rsid w:val="001E497D"/>
    <w:rsid w:val="001E59D1"/>
    <w:rsid w:val="001E5EA4"/>
    <w:rsid w:val="001F442B"/>
    <w:rsid w:val="001F5EEA"/>
    <w:rsid w:val="002023B4"/>
    <w:rsid w:val="002042A7"/>
    <w:rsid w:val="00205911"/>
    <w:rsid w:val="002146AD"/>
    <w:rsid w:val="00235205"/>
    <w:rsid w:val="002363CC"/>
    <w:rsid w:val="00275CB6"/>
    <w:rsid w:val="00276C46"/>
    <w:rsid w:val="002800B5"/>
    <w:rsid w:val="00284EB9"/>
    <w:rsid w:val="00291459"/>
    <w:rsid w:val="00295B29"/>
    <w:rsid w:val="00296E60"/>
    <w:rsid w:val="00297403"/>
    <w:rsid w:val="002A649E"/>
    <w:rsid w:val="002C2273"/>
    <w:rsid w:val="002C2550"/>
    <w:rsid w:val="002C3BCC"/>
    <w:rsid w:val="002D4073"/>
    <w:rsid w:val="002E42AD"/>
    <w:rsid w:val="002E7098"/>
    <w:rsid w:val="00301D32"/>
    <w:rsid w:val="0030508E"/>
    <w:rsid w:val="003102D5"/>
    <w:rsid w:val="0033332C"/>
    <w:rsid w:val="00333F42"/>
    <w:rsid w:val="00334E93"/>
    <w:rsid w:val="00343599"/>
    <w:rsid w:val="0036184F"/>
    <w:rsid w:val="00366FAD"/>
    <w:rsid w:val="0037105B"/>
    <w:rsid w:val="00375B94"/>
    <w:rsid w:val="0038018B"/>
    <w:rsid w:val="00385314"/>
    <w:rsid w:val="003975BA"/>
    <w:rsid w:val="003A1E41"/>
    <w:rsid w:val="003A74E6"/>
    <w:rsid w:val="003A7F05"/>
    <w:rsid w:val="003B6CD8"/>
    <w:rsid w:val="003B73DD"/>
    <w:rsid w:val="003C7AF2"/>
    <w:rsid w:val="003D0026"/>
    <w:rsid w:val="003D011C"/>
    <w:rsid w:val="003D1C91"/>
    <w:rsid w:val="003D79BB"/>
    <w:rsid w:val="003E0A55"/>
    <w:rsid w:val="003F0033"/>
    <w:rsid w:val="003F2B76"/>
    <w:rsid w:val="0040523A"/>
    <w:rsid w:val="004108C7"/>
    <w:rsid w:val="00412DC2"/>
    <w:rsid w:val="00420F84"/>
    <w:rsid w:val="004373B3"/>
    <w:rsid w:val="00440041"/>
    <w:rsid w:val="0044120B"/>
    <w:rsid w:val="00451268"/>
    <w:rsid w:val="004515AD"/>
    <w:rsid w:val="00451857"/>
    <w:rsid w:val="00453516"/>
    <w:rsid w:val="00457548"/>
    <w:rsid w:val="0046768D"/>
    <w:rsid w:val="00470DB2"/>
    <w:rsid w:val="00480C0E"/>
    <w:rsid w:val="004903AB"/>
    <w:rsid w:val="0049125F"/>
    <w:rsid w:val="004925E7"/>
    <w:rsid w:val="00495B11"/>
    <w:rsid w:val="004963D6"/>
    <w:rsid w:val="00497208"/>
    <w:rsid w:val="00497D40"/>
    <w:rsid w:val="004C4FB4"/>
    <w:rsid w:val="004C5451"/>
    <w:rsid w:val="004E088F"/>
    <w:rsid w:val="004E36B6"/>
    <w:rsid w:val="004E53CF"/>
    <w:rsid w:val="004E7A42"/>
    <w:rsid w:val="004F3D9A"/>
    <w:rsid w:val="004F6FF3"/>
    <w:rsid w:val="005266B3"/>
    <w:rsid w:val="00542551"/>
    <w:rsid w:val="00542AAF"/>
    <w:rsid w:val="005517D6"/>
    <w:rsid w:val="005578B6"/>
    <w:rsid w:val="0057040B"/>
    <w:rsid w:val="00571B49"/>
    <w:rsid w:val="005743AE"/>
    <w:rsid w:val="00576C59"/>
    <w:rsid w:val="0057748E"/>
    <w:rsid w:val="005911DF"/>
    <w:rsid w:val="005920CA"/>
    <w:rsid w:val="00593345"/>
    <w:rsid w:val="005A654D"/>
    <w:rsid w:val="005B2189"/>
    <w:rsid w:val="005B5E7B"/>
    <w:rsid w:val="005B7C64"/>
    <w:rsid w:val="005C199B"/>
    <w:rsid w:val="005C376C"/>
    <w:rsid w:val="005D1585"/>
    <w:rsid w:val="005D21D4"/>
    <w:rsid w:val="005D64CA"/>
    <w:rsid w:val="005E43AB"/>
    <w:rsid w:val="005E53F3"/>
    <w:rsid w:val="005E5717"/>
    <w:rsid w:val="005E6DB2"/>
    <w:rsid w:val="005E7D03"/>
    <w:rsid w:val="005F128B"/>
    <w:rsid w:val="006018E2"/>
    <w:rsid w:val="00603DA9"/>
    <w:rsid w:val="0060443F"/>
    <w:rsid w:val="006067E3"/>
    <w:rsid w:val="00610094"/>
    <w:rsid w:val="00611BB6"/>
    <w:rsid w:val="0061433E"/>
    <w:rsid w:val="00620871"/>
    <w:rsid w:val="0062751D"/>
    <w:rsid w:val="006354AA"/>
    <w:rsid w:val="006441D8"/>
    <w:rsid w:val="00661AFA"/>
    <w:rsid w:val="006726BF"/>
    <w:rsid w:val="00677B77"/>
    <w:rsid w:val="0068718A"/>
    <w:rsid w:val="00696F69"/>
    <w:rsid w:val="006A2739"/>
    <w:rsid w:val="006B5C95"/>
    <w:rsid w:val="006B764C"/>
    <w:rsid w:val="006C032A"/>
    <w:rsid w:val="006E14B0"/>
    <w:rsid w:val="006E340F"/>
    <w:rsid w:val="006F0108"/>
    <w:rsid w:val="00704AE6"/>
    <w:rsid w:val="00706EF7"/>
    <w:rsid w:val="007153A2"/>
    <w:rsid w:val="00716366"/>
    <w:rsid w:val="00722212"/>
    <w:rsid w:val="00724A68"/>
    <w:rsid w:val="007271BF"/>
    <w:rsid w:val="00727492"/>
    <w:rsid w:val="00730A54"/>
    <w:rsid w:val="00730DD3"/>
    <w:rsid w:val="00733224"/>
    <w:rsid w:val="00740760"/>
    <w:rsid w:val="00764128"/>
    <w:rsid w:val="007674DC"/>
    <w:rsid w:val="007824B8"/>
    <w:rsid w:val="00787552"/>
    <w:rsid w:val="00787875"/>
    <w:rsid w:val="007910DD"/>
    <w:rsid w:val="007A3EC1"/>
    <w:rsid w:val="007A7E25"/>
    <w:rsid w:val="007B3368"/>
    <w:rsid w:val="007B4D0A"/>
    <w:rsid w:val="007B570C"/>
    <w:rsid w:val="007C0B93"/>
    <w:rsid w:val="007D0A69"/>
    <w:rsid w:val="007D6DC4"/>
    <w:rsid w:val="00812A0A"/>
    <w:rsid w:val="008208C6"/>
    <w:rsid w:val="008311BC"/>
    <w:rsid w:val="008328A4"/>
    <w:rsid w:val="00836A3B"/>
    <w:rsid w:val="00843A18"/>
    <w:rsid w:val="00853463"/>
    <w:rsid w:val="00863353"/>
    <w:rsid w:val="0087016F"/>
    <w:rsid w:val="0087675A"/>
    <w:rsid w:val="008844B1"/>
    <w:rsid w:val="0088563D"/>
    <w:rsid w:val="008876A8"/>
    <w:rsid w:val="00893F25"/>
    <w:rsid w:val="00895035"/>
    <w:rsid w:val="0089620B"/>
    <w:rsid w:val="008A5C47"/>
    <w:rsid w:val="008B2B14"/>
    <w:rsid w:val="008C6AED"/>
    <w:rsid w:val="008C7604"/>
    <w:rsid w:val="008D10A5"/>
    <w:rsid w:val="008D1E60"/>
    <w:rsid w:val="008D1E92"/>
    <w:rsid w:val="008D5349"/>
    <w:rsid w:val="008E1B27"/>
    <w:rsid w:val="008F2BC1"/>
    <w:rsid w:val="008F4460"/>
    <w:rsid w:val="00903379"/>
    <w:rsid w:val="00906975"/>
    <w:rsid w:val="00915068"/>
    <w:rsid w:val="00917F0B"/>
    <w:rsid w:val="00917F8B"/>
    <w:rsid w:val="00921F05"/>
    <w:rsid w:val="009256C9"/>
    <w:rsid w:val="00930B27"/>
    <w:rsid w:val="00932A20"/>
    <w:rsid w:val="009373E8"/>
    <w:rsid w:val="00956944"/>
    <w:rsid w:val="009601E3"/>
    <w:rsid w:val="00960964"/>
    <w:rsid w:val="00963F8D"/>
    <w:rsid w:val="00965E4D"/>
    <w:rsid w:val="00974174"/>
    <w:rsid w:val="00974B72"/>
    <w:rsid w:val="009762A2"/>
    <w:rsid w:val="00986BD8"/>
    <w:rsid w:val="009879AB"/>
    <w:rsid w:val="00996247"/>
    <w:rsid w:val="009B1CA3"/>
    <w:rsid w:val="009B1D5C"/>
    <w:rsid w:val="009B3ADF"/>
    <w:rsid w:val="009C2E31"/>
    <w:rsid w:val="009D53DA"/>
    <w:rsid w:val="009D5ADE"/>
    <w:rsid w:val="009E1159"/>
    <w:rsid w:val="009E1955"/>
    <w:rsid w:val="009F02AD"/>
    <w:rsid w:val="009F17DC"/>
    <w:rsid w:val="00A03E65"/>
    <w:rsid w:val="00A10D46"/>
    <w:rsid w:val="00A1607B"/>
    <w:rsid w:val="00A21386"/>
    <w:rsid w:val="00A23B14"/>
    <w:rsid w:val="00A40B69"/>
    <w:rsid w:val="00A51EB5"/>
    <w:rsid w:val="00A52724"/>
    <w:rsid w:val="00A527AA"/>
    <w:rsid w:val="00A5684D"/>
    <w:rsid w:val="00A74176"/>
    <w:rsid w:val="00A75C61"/>
    <w:rsid w:val="00A81497"/>
    <w:rsid w:val="00A9601B"/>
    <w:rsid w:val="00AA3992"/>
    <w:rsid w:val="00AB26CE"/>
    <w:rsid w:val="00AD100E"/>
    <w:rsid w:val="00AE1E36"/>
    <w:rsid w:val="00AE5866"/>
    <w:rsid w:val="00AE6E10"/>
    <w:rsid w:val="00AF74AA"/>
    <w:rsid w:val="00B03C2F"/>
    <w:rsid w:val="00B0492A"/>
    <w:rsid w:val="00B053E4"/>
    <w:rsid w:val="00B06672"/>
    <w:rsid w:val="00B10D5B"/>
    <w:rsid w:val="00B130E5"/>
    <w:rsid w:val="00B15064"/>
    <w:rsid w:val="00B22D1E"/>
    <w:rsid w:val="00B2307B"/>
    <w:rsid w:val="00B340A3"/>
    <w:rsid w:val="00B410F5"/>
    <w:rsid w:val="00B6280C"/>
    <w:rsid w:val="00B671A4"/>
    <w:rsid w:val="00B67A0B"/>
    <w:rsid w:val="00B72CD4"/>
    <w:rsid w:val="00B85B00"/>
    <w:rsid w:val="00B92540"/>
    <w:rsid w:val="00B97648"/>
    <w:rsid w:val="00BA4A3B"/>
    <w:rsid w:val="00BA5A44"/>
    <w:rsid w:val="00BB5D91"/>
    <w:rsid w:val="00BC7E73"/>
    <w:rsid w:val="00BD1C5B"/>
    <w:rsid w:val="00BF132F"/>
    <w:rsid w:val="00C05991"/>
    <w:rsid w:val="00C13878"/>
    <w:rsid w:val="00C24691"/>
    <w:rsid w:val="00C24A79"/>
    <w:rsid w:val="00C33D5D"/>
    <w:rsid w:val="00C35FC2"/>
    <w:rsid w:val="00C43CB2"/>
    <w:rsid w:val="00C530A9"/>
    <w:rsid w:val="00C56851"/>
    <w:rsid w:val="00C57E12"/>
    <w:rsid w:val="00C72434"/>
    <w:rsid w:val="00CA09B9"/>
    <w:rsid w:val="00CA1705"/>
    <w:rsid w:val="00CA611B"/>
    <w:rsid w:val="00CD27CA"/>
    <w:rsid w:val="00CE1A54"/>
    <w:rsid w:val="00CE63A1"/>
    <w:rsid w:val="00CE78DE"/>
    <w:rsid w:val="00CF5FB6"/>
    <w:rsid w:val="00D02518"/>
    <w:rsid w:val="00D02D0C"/>
    <w:rsid w:val="00D0573E"/>
    <w:rsid w:val="00D05D5D"/>
    <w:rsid w:val="00D17454"/>
    <w:rsid w:val="00D20A8A"/>
    <w:rsid w:val="00D21421"/>
    <w:rsid w:val="00D33FBC"/>
    <w:rsid w:val="00D56FC8"/>
    <w:rsid w:val="00D7535C"/>
    <w:rsid w:val="00D76302"/>
    <w:rsid w:val="00DA5638"/>
    <w:rsid w:val="00DA5CE2"/>
    <w:rsid w:val="00DB29C7"/>
    <w:rsid w:val="00DB5C1C"/>
    <w:rsid w:val="00DC2327"/>
    <w:rsid w:val="00DD260D"/>
    <w:rsid w:val="00DE10E8"/>
    <w:rsid w:val="00DE570F"/>
    <w:rsid w:val="00DE5C65"/>
    <w:rsid w:val="00DE7224"/>
    <w:rsid w:val="00DE7544"/>
    <w:rsid w:val="00E16FDA"/>
    <w:rsid w:val="00E17815"/>
    <w:rsid w:val="00E27B4F"/>
    <w:rsid w:val="00E351C7"/>
    <w:rsid w:val="00E35F58"/>
    <w:rsid w:val="00E361B8"/>
    <w:rsid w:val="00E45BD9"/>
    <w:rsid w:val="00E46B5D"/>
    <w:rsid w:val="00E46C44"/>
    <w:rsid w:val="00E474AD"/>
    <w:rsid w:val="00E514B7"/>
    <w:rsid w:val="00E62500"/>
    <w:rsid w:val="00E66FFC"/>
    <w:rsid w:val="00E759D6"/>
    <w:rsid w:val="00E82CF1"/>
    <w:rsid w:val="00E84A8C"/>
    <w:rsid w:val="00E915F3"/>
    <w:rsid w:val="00E976DE"/>
    <w:rsid w:val="00EB5098"/>
    <w:rsid w:val="00EC0F83"/>
    <w:rsid w:val="00EC58DC"/>
    <w:rsid w:val="00ED3563"/>
    <w:rsid w:val="00ED3F37"/>
    <w:rsid w:val="00ED6763"/>
    <w:rsid w:val="00EE16E2"/>
    <w:rsid w:val="00EE3187"/>
    <w:rsid w:val="00EE3AE5"/>
    <w:rsid w:val="00EF30E8"/>
    <w:rsid w:val="00EF499B"/>
    <w:rsid w:val="00EF7858"/>
    <w:rsid w:val="00F04426"/>
    <w:rsid w:val="00F051D4"/>
    <w:rsid w:val="00F14977"/>
    <w:rsid w:val="00F47D14"/>
    <w:rsid w:val="00F56424"/>
    <w:rsid w:val="00F564A6"/>
    <w:rsid w:val="00F631FE"/>
    <w:rsid w:val="00F672C3"/>
    <w:rsid w:val="00F76A49"/>
    <w:rsid w:val="00F87185"/>
    <w:rsid w:val="00F87F5F"/>
    <w:rsid w:val="00F975C3"/>
    <w:rsid w:val="00FA6B1D"/>
    <w:rsid w:val="00FA728E"/>
    <w:rsid w:val="00FB463C"/>
    <w:rsid w:val="00FB4A08"/>
    <w:rsid w:val="00FC0C2A"/>
    <w:rsid w:val="00FD7F8E"/>
    <w:rsid w:val="00FF11E4"/>
    <w:rsid w:val="00FF1D37"/>
    <w:rsid w:val="04B072D4"/>
    <w:rsid w:val="05F575D4"/>
    <w:rsid w:val="064249C6"/>
    <w:rsid w:val="08641132"/>
    <w:rsid w:val="09186774"/>
    <w:rsid w:val="0945438F"/>
    <w:rsid w:val="0A71587A"/>
    <w:rsid w:val="0B792C38"/>
    <w:rsid w:val="0C28640C"/>
    <w:rsid w:val="0E90599A"/>
    <w:rsid w:val="0ED720CD"/>
    <w:rsid w:val="12070CAE"/>
    <w:rsid w:val="132D00A4"/>
    <w:rsid w:val="145F688C"/>
    <w:rsid w:val="15DD2205"/>
    <w:rsid w:val="17072842"/>
    <w:rsid w:val="17A67110"/>
    <w:rsid w:val="1864189B"/>
    <w:rsid w:val="18D73A7D"/>
    <w:rsid w:val="19557370"/>
    <w:rsid w:val="1BD06B6A"/>
    <w:rsid w:val="1F782BDE"/>
    <w:rsid w:val="204A6A53"/>
    <w:rsid w:val="23317869"/>
    <w:rsid w:val="246C1F9B"/>
    <w:rsid w:val="25650CAE"/>
    <w:rsid w:val="26406598"/>
    <w:rsid w:val="28080056"/>
    <w:rsid w:val="28734C1A"/>
    <w:rsid w:val="28C72DDD"/>
    <w:rsid w:val="29EE0E64"/>
    <w:rsid w:val="2BC4020A"/>
    <w:rsid w:val="2EF90F16"/>
    <w:rsid w:val="2F125C63"/>
    <w:rsid w:val="302C3D0A"/>
    <w:rsid w:val="3104598F"/>
    <w:rsid w:val="33DE31BB"/>
    <w:rsid w:val="33F57174"/>
    <w:rsid w:val="389C49C0"/>
    <w:rsid w:val="39BC78F4"/>
    <w:rsid w:val="3B35486F"/>
    <w:rsid w:val="3EF1250A"/>
    <w:rsid w:val="40567DB0"/>
    <w:rsid w:val="40FF5CD2"/>
    <w:rsid w:val="42511E67"/>
    <w:rsid w:val="42DB40B0"/>
    <w:rsid w:val="43B71B0A"/>
    <w:rsid w:val="44FA0589"/>
    <w:rsid w:val="45A663E3"/>
    <w:rsid w:val="469F09AF"/>
    <w:rsid w:val="4B756271"/>
    <w:rsid w:val="4C8E1CA8"/>
    <w:rsid w:val="4D6D36A4"/>
    <w:rsid w:val="510903EF"/>
    <w:rsid w:val="53F137F4"/>
    <w:rsid w:val="543A6906"/>
    <w:rsid w:val="56850CBB"/>
    <w:rsid w:val="59D8738A"/>
    <w:rsid w:val="5A666D76"/>
    <w:rsid w:val="5B2253C2"/>
    <w:rsid w:val="5CF02E0F"/>
    <w:rsid w:val="603269D2"/>
    <w:rsid w:val="60F24430"/>
    <w:rsid w:val="61A52BCA"/>
    <w:rsid w:val="62952B77"/>
    <w:rsid w:val="665C02AC"/>
    <w:rsid w:val="67095496"/>
    <w:rsid w:val="67ED7463"/>
    <w:rsid w:val="681A546A"/>
    <w:rsid w:val="696467A5"/>
    <w:rsid w:val="69CB37D4"/>
    <w:rsid w:val="6A0D5B9B"/>
    <w:rsid w:val="6A3B23B1"/>
    <w:rsid w:val="6AEA32DC"/>
    <w:rsid w:val="6CC24AB5"/>
    <w:rsid w:val="6D9271B2"/>
    <w:rsid w:val="6F134790"/>
    <w:rsid w:val="6FE81F5F"/>
    <w:rsid w:val="72446028"/>
    <w:rsid w:val="73076EC0"/>
    <w:rsid w:val="74210CA6"/>
    <w:rsid w:val="746F4E76"/>
    <w:rsid w:val="74E1170D"/>
    <w:rsid w:val="788C25F5"/>
    <w:rsid w:val="79F72AA9"/>
    <w:rsid w:val="7A144529"/>
    <w:rsid w:val="7DD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096592"/>
  <w15:docId w15:val="{749E08FF-8FE4-455E-B364-6350DFF1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38018B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2914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ab">
    <w:name w:val="页眉 字符"/>
    <w:basedOn w:val="a0"/>
    <w:link w:val="aa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9">
    <w:name w:val="页脚 字符"/>
    <w:basedOn w:val="a0"/>
    <w:link w:val="a8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ad">
    <w:name w:val="批注主题 字符"/>
    <w:basedOn w:val="a4"/>
    <w:link w:val="ac"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a7">
    <w:name w:val="批注框文本 字符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30">
    <w:name w:val="标题 3 字符"/>
    <w:basedOn w:val="a0"/>
    <w:link w:val="3"/>
    <w:semiHidden/>
    <w:rsid w:val="00291459"/>
    <w:rPr>
      <w:rFonts w:ascii="仿宋" w:eastAsia="仿宋" w:hAnsi="仿宋" w:cs="仿宋"/>
      <w:b/>
      <w:bCs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6454-D52C-4974-A468-5D02FFFC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jie.huang</dc:creator>
  <cp:lastModifiedBy> admin</cp:lastModifiedBy>
  <cp:revision>6</cp:revision>
  <dcterms:created xsi:type="dcterms:W3CDTF">2024-03-22T06:37:00Z</dcterms:created>
  <dcterms:modified xsi:type="dcterms:W3CDTF">2024-03-22T08:20:00Z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25A96B4C5ED84607A6EEAE146C407D92_13</vt:lpwstr>
  </property>
</Properties>
</file>