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8F19" w14:textId="77777777" w:rsidR="006121FB" w:rsidRDefault="00000000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证券代码：605598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证券简称：上海港湾</w:t>
      </w:r>
    </w:p>
    <w:p w14:paraId="32A671FF" w14:textId="77777777" w:rsidR="006121FB" w:rsidRDefault="00000000" w:rsidP="00F37AA1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36701B27" w14:textId="77777777" w:rsidR="006121FB" w:rsidRDefault="00000000" w:rsidP="00F37AA1">
      <w:pPr>
        <w:spacing w:line="360" w:lineRule="auto"/>
        <w:ind w:firstLine="198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p w14:paraId="0FDB2139" w14:textId="1BFC37D3" w:rsidR="00F37AA1" w:rsidRDefault="00F37AA1" w:rsidP="00F37AA1">
      <w:pPr>
        <w:spacing w:line="360" w:lineRule="auto"/>
        <w:ind w:firstLine="198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（2024年3月）</w:t>
      </w:r>
    </w:p>
    <w:p w14:paraId="05CE8701" w14:textId="77777777" w:rsidR="006121FB" w:rsidRDefault="00000000">
      <w:pPr>
        <w:spacing w:afterLines="50" w:after="156" w:line="360" w:lineRule="auto"/>
        <w:ind w:firstLine="200"/>
        <w:jc w:val="left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黑体"/>
          <w:b/>
          <w:bCs/>
          <w:sz w:val="24"/>
          <w:szCs w:val="24"/>
        </w:rPr>
        <w:t xml:space="preserve">  </w:t>
      </w:r>
      <w:r>
        <w:rPr>
          <w:rFonts w:ascii="宋体" w:eastAsia="宋体" w:hAnsi="宋体" w:cs="黑体" w:hint="eastAsia"/>
          <w:sz w:val="24"/>
          <w:szCs w:val="24"/>
        </w:rPr>
        <w:t>上海港湾基础建设（集团）有限公司于近期以线上和线下的方式与投资者、券商分析师等就公司生产经营情况进行交流，现将投资者关系活动的主要情况汇总发布如下：</w:t>
      </w:r>
    </w:p>
    <w:tbl>
      <w:tblPr>
        <w:tblStyle w:val="a7"/>
        <w:tblW w:w="8298" w:type="dxa"/>
        <w:tblLayout w:type="fixed"/>
        <w:tblLook w:val="04A0" w:firstRow="1" w:lastRow="0" w:firstColumn="1" w:lastColumn="0" w:noHBand="0" w:noVBand="1"/>
      </w:tblPr>
      <w:tblGrid>
        <w:gridCol w:w="1838"/>
        <w:gridCol w:w="6460"/>
      </w:tblGrid>
      <w:tr w:rsidR="006121FB" w14:paraId="55966A6B" w14:textId="77777777">
        <w:trPr>
          <w:trHeight w:val="1474"/>
        </w:trPr>
        <w:tc>
          <w:tcPr>
            <w:tcW w:w="1838" w:type="dxa"/>
            <w:vAlign w:val="center"/>
          </w:tcPr>
          <w:p w14:paraId="5F1DF10D" w14:textId="77777777" w:rsidR="006121FB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投资者关系</w:t>
            </w:r>
          </w:p>
          <w:p w14:paraId="1AB568B3" w14:textId="77777777" w:rsidR="006121FB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460" w:type="dxa"/>
            <w:tcBorders>
              <w:bottom w:val="single" w:sz="4" w:space="0" w:color="auto"/>
            </w:tcBorders>
            <w:vAlign w:val="center"/>
          </w:tcPr>
          <w:p w14:paraId="3C7E60DC" w14:textId="77777777" w:rsidR="006121FB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756BCD9" w14:textId="77777777" w:rsidR="006121FB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3597C45F" w14:textId="77777777" w:rsidR="006121FB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1A554DCD" w14:textId="77777777" w:rsidR="006121FB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6121FB" w14:paraId="0A06EB27" w14:textId="77777777">
        <w:trPr>
          <w:trHeight w:val="523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067D6683" w14:textId="77777777" w:rsidR="006121FB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参与机构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268B0" w14:textId="53182B89" w:rsidR="006121FB" w:rsidRDefault="00431D8E" w:rsidP="00431D8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Morgan Stanley</w:t>
            </w:r>
            <w:r w:rsidR="00C038B7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T</w:t>
            </w:r>
            <w:r w:rsidR="00C038B7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Rowe</w:t>
            </w:r>
            <w:proofErr w:type="spell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Price、Matthews Asia、</w:t>
            </w:r>
            <w:r w:rsidR="0066787E">
              <w:rPr>
                <w:rFonts w:ascii="宋体" w:eastAsia="宋体" w:hAnsi="宋体" w:cs="Times New Roman" w:hint="eastAsia"/>
                <w:sz w:val="24"/>
                <w:szCs w:val="24"/>
              </w:rPr>
              <w:t>Library Group、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嘉实基金、建信基金、申万菱信、华商基金、诺安基金、景顺长城、国联基金、湘财基金、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国投瑞银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、中邮基金、银华基金、泰达宏利、</w:t>
            </w:r>
            <w:proofErr w:type="gramStart"/>
            <w:r w:rsidR="00C038B7">
              <w:rPr>
                <w:rFonts w:ascii="宋体" w:eastAsia="宋体" w:hAnsi="宋体" w:cs="Times New Roman" w:hint="eastAsia"/>
                <w:sz w:val="24"/>
                <w:szCs w:val="24"/>
              </w:rPr>
              <w:t>瀚</w:t>
            </w:r>
            <w:proofErr w:type="gramEnd"/>
            <w:r w:rsidR="00C038B7">
              <w:rPr>
                <w:rFonts w:ascii="宋体" w:eastAsia="宋体" w:hAnsi="宋体" w:cs="Times New Roman" w:hint="eastAsia"/>
                <w:sz w:val="24"/>
                <w:szCs w:val="24"/>
              </w:rPr>
              <w:t>亚投资、平安基金、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新华资产、中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金资管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、中信资管、泰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康资管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、大家资管、平安资管、中英人寿、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众安在线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、国寿养老、民生证券、东吴证券、国盛证券、长江证券、中信证券、天风证券、国海证券、国信证券</w:t>
            </w:r>
            <w:r w:rsidR="00C038B7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="00C038B7">
              <w:rPr>
                <w:rFonts w:ascii="宋体" w:eastAsia="宋体" w:hAnsi="宋体" w:cs="Times New Roman" w:hint="eastAsia"/>
                <w:sz w:val="24"/>
                <w:szCs w:val="24"/>
              </w:rPr>
              <w:t>甬兴证券</w:t>
            </w:r>
            <w:proofErr w:type="gramEnd"/>
            <w:r w:rsidR="00657166">
              <w:rPr>
                <w:rFonts w:ascii="宋体" w:eastAsia="宋体" w:hAnsi="宋体" w:cs="Times New Roman" w:hint="eastAsia"/>
                <w:sz w:val="24"/>
                <w:szCs w:val="24"/>
              </w:rPr>
              <w:t>、上海</w:t>
            </w:r>
            <w:proofErr w:type="gramStart"/>
            <w:r w:rsidR="00657166">
              <w:rPr>
                <w:rFonts w:ascii="宋体" w:eastAsia="宋体" w:hAnsi="宋体" w:cs="Times New Roman" w:hint="eastAsia"/>
                <w:sz w:val="24"/>
                <w:szCs w:val="24"/>
              </w:rPr>
              <w:t>亘</w:t>
            </w:r>
            <w:proofErr w:type="gramEnd"/>
            <w:r w:rsidR="00657166">
              <w:rPr>
                <w:rFonts w:ascii="宋体" w:eastAsia="宋体" w:hAnsi="宋体" w:cs="Times New Roman" w:hint="eastAsia"/>
                <w:sz w:val="24"/>
                <w:szCs w:val="24"/>
              </w:rPr>
              <w:t>曦、</w:t>
            </w:r>
            <w:proofErr w:type="gramStart"/>
            <w:r w:rsidR="00657166">
              <w:rPr>
                <w:rFonts w:ascii="宋体" w:eastAsia="宋体" w:hAnsi="宋体" w:cs="Times New Roman" w:hint="eastAsia"/>
                <w:sz w:val="24"/>
                <w:szCs w:val="24"/>
              </w:rPr>
              <w:t>上海盘京投资</w:t>
            </w:r>
            <w:proofErr w:type="gramEnd"/>
            <w:r w:rsidR="00657166">
              <w:rPr>
                <w:rFonts w:ascii="宋体" w:eastAsia="宋体" w:hAnsi="宋体" w:cs="Times New Roman" w:hint="eastAsia"/>
                <w:sz w:val="24"/>
                <w:szCs w:val="24"/>
              </w:rPr>
              <w:t>、圆石投资</w:t>
            </w:r>
          </w:p>
        </w:tc>
      </w:tr>
      <w:tr w:rsidR="006121FB" w14:paraId="68B21F40" w14:textId="77777777">
        <w:trPr>
          <w:trHeight w:val="788"/>
        </w:trPr>
        <w:tc>
          <w:tcPr>
            <w:tcW w:w="1838" w:type="dxa"/>
            <w:vAlign w:val="center"/>
          </w:tcPr>
          <w:p w14:paraId="4677E805" w14:textId="77777777" w:rsidR="006121FB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460" w:type="dxa"/>
            <w:vAlign w:val="center"/>
          </w:tcPr>
          <w:p w14:paraId="010CF225" w14:textId="50529D36" w:rsidR="006121FB" w:rsidRDefault="0099346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公司会议室、各策略会现场等</w:t>
            </w:r>
          </w:p>
        </w:tc>
      </w:tr>
      <w:tr w:rsidR="006121FB" w14:paraId="74270639" w14:textId="77777777">
        <w:trPr>
          <w:trHeight w:val="854"/>
        </w:trPr>
        <w:tc>
          <w:tcPr>
            <w:tcW w:w="1838" w:type="dxa"/>
            <w:vAlign w:val="center"/>
          </w:tcPr>
          <w:p w14:paraId="1465C1BB" w14:textId="77777777" w:rsidR="006121FB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上市公司</w:t>
            </w:r>
          </w:p>
          <w:p w14:paraId="1EC5DBF5" w14:textId="77777777" w:rsidR="006121FB" w:rsidRDefault="00000000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6460" w:type="dxa"/>
            <w:vAlign w:val="center"/>
          </w:tcPr>
          <w:p w14:paraId="27940240" w14:textId="77777777" w:rsidR="006121FB" w:rsidRDefault="0000000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董事会秘书王懿倩、证券事务代表朱彦青</w:t>
            </w:r>
          </w:p>
        </w:tc>
      </w:tr>
      <w:tr w:rsidR="006121FB" w14:paraId="46AC6758" w14:textId="77777777">
        <w:tc>
          <w:tcPr>
            <w:tcW w:w="1838" w:type="dxa"/>
            <w:vAlign w:val="center"/>
          </w:tcPr>
          <w:p w14:paraId="1826A2A9" w14:textId="77777777" w:rsidR="006121FB" w:rsidRDefault="0000000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460" w:type="dxa"/>
            <w:vAlign w:val="center"/>
          </w:tcPr>
          <w:p w14:paraId="1D3ADAE1" w14:textId="74E7C8D0" w:rsidR="006121FB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公司2023年整体</w:t>
            </w:r>
            <w:r w:rsidR="0066787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情况和2024年第一季度</w:t>
            </w:r>
            <w:r w:rsidR="0066787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情况？</w:t>
            </w:r>
          </w:p>
          <w:p w14:paraId="5A826C2C" w14:textId="5C45E615" w:rsidR="00644727" w:rsidRDefault="0066787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答：2023年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</w:t>
            </w:r>
            <w:r w:rsidR="00EF6EC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专注主营业务的发展，坚持走技术出口、标准出口的高质量“一带一路”。公司持续深耕海内外优势区域，根据下游市场的需求和变化情况及时调整公司经营节奏，在保持</w:t>
            </w:r>
            <w:r w:rsidR="00216FAB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东南亚、中东</w:t>
            </w:r>
            <w:r w:rsidR="00EF6EC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优势区域的基础上，努力探索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世界新格局下的新市场。</w:t>
            </w:r>
            <w:r w:rsidR="00E33ED5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在2022年较高基数的背景下2023年</w:t>
            </w:r>
            <w:r w:rsidR="00EF6EC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实现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各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区域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业务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的稳定增长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。</w:t>
            </w:r>
          </w:p>
          <w:p w14:paraId="75EBA707" w14:textId="21239A4F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lastRenderedPageBreak/>
              <w:t>进入2024年，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受益于重点市场的不稳定因素消除及相关国家</w:t>
            </w:r>
            <w:proofErr w:type="gramStart"/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愿景计划</w:t>
            </w:r>
            <w:proofErr w:type="gramEnd"/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的推进，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海外市场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的基础设施建设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需求旺盛，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区域基建投资人气高涨，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公司海外业务保持了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积极向上的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发展态势，公司对完成年度经营计划目标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充满信心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。</w:t>
            </w:r>
            <w:r w:rsidR="00337D9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未来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公司将积极加强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海外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市场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业务开拓，力争获取更多</w:t>
            </w:r>
            <w:r w:rsidR="0064472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优质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项目订单，以更好的业绩回报股东和投资者。</w:t>
            </w:r>
          </w:p>
          <w:p w14:paraId="6C73A7B5" w14:textId="581EBC3A" w:rsidR="006121FB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公司应收</w:t>
            </w:r>
            <w:r w:rsidR="006627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款</w:t>
            </w:r>
            <w:r w:rsidR="006627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情况如何？</w:t>
            </w:r>
          </w:p>
          <w:p w14:paraId="2BF5C7D0" w14:textId="796E5258" w:rsidR="006121FB" w:rsidRDefault="00C651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答：公司严格按照《企业会计准则》及公司相关会计政策的规定</w:t>
            </w:r>
            <w:r w:rsidR="00DA258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管理应收账款，并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计提坏账准备</w:t>
            </w:r>
            <w:r w:rsidR="00DA258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。</w:t>
            </w:r>
          </w:p>
          <w:p w14:paraId="0EFF3030" w14:textId="15E23A94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公司客户主要为全球知名跨国企业集团、上市公司或境外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大型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企业等。这些客户一般拥有良好的商业信用和充裕的资金保障，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能有效保证公司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项目按进度结算和款项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按时支付。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自IPO阶段开始，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公司经营性现金流</w:t>
            </w:r>
            <w:r w:rsidR="003A403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和利润相匹配</w:t>
            </w:r>
            <w:r w:rsidR="0066271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，总体来看，公司应收账款发生坏账的实际风险较小。未来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公司将</w:t>
            </w:r>
            <w:r w:rsidR="00533737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保持对应收账款的高度关注，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加强回款管理，降低经营风险。</w:t>
            </w:r>
          </w:p>
          <w:p w14:paraId="6FB2B003" w14:textId="5B502E71" w:rsidR="0007705B" w:rsidRDefault="0007705B" w:rsidP="0007705B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公司汇兑损益情况如何？</w:t>
            </w:r>
          </w:p>
          <w:p w14:paraId="2B301C19" w14:textId="68392705" w:rsidR="0007705B" w:rsidRPr="0007705B" w:rsidRDefault="0007705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答：公司在海外</w:t>
            </w:r>
            <w:r w:rsidR="006F494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采用控股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子公司的形式开展业务，营收和成本发生均采用当地货币计量，</w:t>
            </w:r>
            <w:r w:rsidR="006F494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且项目订单转换速度较快，涉及的国家较多，所以汇兑敞口较小，不会对公司产生较大不利影响。未来随着公司规模的增长，公司将积极探索汇兑损益的新型管理工具，降低汇兑风险。</w:t>
            </w:r>
          </w:p>
          <w:p w14:paraId="6EE848B3" w14:textId="77777777" w:rsidR="006121FB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公司2023年在海外市场的业务如何？</w:t>
            </w:r>
          </w:p>
          <w:p w14:paraId="6039DBC2" w14:textId="71E19FEE" w:rsidR="006121FB" w:rsidRDefault="00C651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答：公司持续聚焦“一带一路”沿线国际市场，</w:t>
            </w:r>
            <w:r w:rsidR="00884C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坚持走高附加值的技术输出路线，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集中资源</w:t>
            </w:r>
            <w:r w:rsidR="00DC76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主攻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中东和东南亚两个海外重点市场。同时，在规避海外市场风险的前提下，一方面巩固</w:t>
            </w:r>
            <w:r w:rsidR="00884C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并壮大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现有优势市场，另一方面积极寻求合作机会，努力新辟增量市场。</w:t>
            </w:r>
          </w:p>
          <w:p w14:paraId="26B08E80" w14:textId="2C76DD56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lastRenderedPageBreak/>
              <w:t>2023年，公司积极响应沙特“2030 愿景”、“2045黄金印尼”</w:t>
            </w:r>
            <w:r w:rsidR="00884C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并及时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跟进“一带一路”倡议，拓展公司在东南亚</w:t>
            </w:r>
            <w:r w:rsidR="00884C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中东</w:t>
            </w:r>
            <w:r w:rsidR="00884C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地区的市场份额，更好地服务当地客户，在充分利用沙特、印尼的广阔市场及公司本身技术优势，推动公司在东南亚和中东</w:t>
            </w:r>
            <w:r w:rsidR="00884C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地区的业务发展，加强公司国际化市场布局，增强公司国际市场竞争力。</w:t>
            </w:r>
            <w:r w:rsidR="00DC76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近期以来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公司在东南亚和中东市场均中标了不少项目，包括印尼SGAR氧化铝赤泥临时堆场、印尼三宝垄-淡目高速路地基处理工程、沙特O</w:t>
            </w:r>
            <w:r w:rsidR="00E64CFE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xagon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Port Development、沙特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Mukaab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Excavation Phase 、沙特SAAD2 Solar PV Independent Power Plant等。</w:t>
            </w:r>
          </w:p>
          <w:p w14:paraId="5E5782FD" w14:textId="41D9C350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未来，公司将继续深入海外市场，聚焦东南亚、中东等地区，通过积极参与海外展会、增加行业交流、组建技术团队等措施，持续拓展海外市场，完成更多优质工程业绩，打造高质量“一带一路”</w:t>
            </w:r>
            <w:r w:rsidR="00DC7613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标杆企业形象。</w:t>
            </w:r>
          </w:p>
          <w:p w14:paraId="5E49107B" w14:textId="77777777" w:rsidR="006121FB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公司的竞争优势在哪些方面？</w:t>
            </w:r>
          </w:p>
          <w:p w14:paraId="340A2017" w14:textId="530B881D" w:rsidR="006121FB" w:rsidRDefault="00A0009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答：1、技术研发和方案优化能力优势。与欧美竞争对手相比，公司在复杂地基处理上拥有更强的方案优化、</w:t>
            </w:r>
            <w:r w:rsidR="009220AF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项目实施、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技术以及成本控制能力。针对不同的地质条件和设计要求，基于丰富的技术储备、成熟的研发体系和大量的项目经验，公司为客户提供</w:t>
            </w:r>
            <w:r w:rsidR="009220AF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集产业链一体化的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定制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化综合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方案。</w:t>
            </w:r>
          </w:p>
          <w:p w14:paraId="037DF14B" w14:textId="3D7D6629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2、“一带一路”</w:t>
            </w:r>
            <w:r w:rsidR="00870C05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出海的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先发优势。公司早在2008年开始</w:t>
            </w:r>
            <w:r w:rsidR="00A0009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出海，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稳步实施“植根国内，放眼海外”总体发展战略。</w:t>
            </w:r>
            <w:r w:rsidR="00A0009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经过15年的努力，公司在海外的盈利模式和业务模式得到全方位的认可。未来，公司将努力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扩大境外市场规模</w:t>
            </w:r>
            <w:r w:rsidR="00FD72E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和市场占比</w:t>
            </w:r>
            <w:r w:rsidR="00A0009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做大做强为出发点，巩固公司在岩土工程行业中的市场地位。</w:t>
            </w:r>
          </w:p>
          <w:p w14:paraId="119E830B" w14:textId="3598EB5D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3、国际化优质客户及全球化采购能力。公司已和众多境内外知名企业形成了良好的合作关系，其良好的商业信用和充裕的资金保障，有利于公司的资金周转和再投入。</w:t>
            </w:r>
            <w:r w:rsidR="00FD72E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成本</w:t>
            </w:r>
            <w:r w:rsidR="00FD72E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lastRenderedPageBreak/>
              <w:t>方面，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</w:t>
            </w:r>
            <w:r w:rsidR="00FD72E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工程管理部牵头、成本控制部配合，统一安排调度全球项目人员、机械设备、物资供应等资源，</w:t>
            </w:r>
            <w:r w:rsidR="00FD72E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有效控制项目成本</w:t>
            </w:r>
            <w:r w:rsidR="00FD72E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，避免成本波动对公司的影响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。</w:t>
            </w:r>
          </w:p>
          <w:p w14:paraId="2DA5365E" w14:textId="74803607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4、本土化人才优势。公司境外员工人数占比</w:t>
            </w:r>
            <w:r w:rsidR="00A0009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约为80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%。境外员工精通当地的语言，熟悉当地的文化、法律法规、行业标准，能够高效地与业主方</w:t>
            </w:r>
            <w:r w:rsidR="00092E64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进行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沟通，为业主提供专业化、定制化</w:t>
            </w:r>
            <w:r w:rsidR="00E86B56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、高附加值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的服务。</w:t>
            </w:r>
          </w:p>
          <w:p w14:paraId="3623769C" w14:textId="77777777" w:rsidR="006121FB" w:rsidRDefault="0000000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品牌知名度优势。公司上市后品牌、资金实力提升，有利于公司推广具备竞争力的技术处理方案，获取优质项目。公司在“一带一路”沿线国家形成了良好的工程业绩，已在当地国家树立起高质量“一带一路”标杆企业的品牌形象。</w:t>
            </w:r>
          </w:p>
          <w:p w14:paraId="098A1CEF" w14:textId="77777777" w:rsidR="006121FB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如何看待海外市场的未来？</w:t>
            </w:r>
          </w:p>
          <w:p w14:paraId="1284C3A2" w14:textId="14B89491" w:rsidR="006121FB" w:rsidRDefault="003D182E" w:rsidP="00EF6EC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答：</w:t>
            </w:r>
            <w:r w:rsidR="0030722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随着各区域/国家转型升级、人口压力、落后的工业化/基础设施配置等因素的综合影响，全球基建市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场</w:t>
            </w:r>
            <w:r w:rsidR="0030722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需求</w:t>
            </w:r>
            <w:r w:rsidR="0030722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持续旺盛，且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呈现上升态势。</w:t>
            </w:r>
            <w:r w:rsidR="0030722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海外市场以东南亚、中东市场为主，东南亚</w:t>
            </w:r>
            <w:r w:rsidR="0084555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区域的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软土地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占比较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高，明显高于全球的软土地占比。东南亚国家的城市多分布于河流沿岸及河口三角洲以及沿海平原，也决定了这些国家的</w:t>
            </w:r>
            <w:r w:rsidR="0084555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工业化、城镇化进程中更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容易遇到软土地基问题。同时，东南亚地区多为人口密集的发展中国家，受益于人口红利释放和当地资源禀赋，发展势头强劲，叠加疫后</w:t>
            </w:r>
            <w:r w:rsidR="0030722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东南亚国家基础设施普遍薄弱和疫情复苏等原因，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基建需求正快速攀升。近年来印尼、马来西亚、越南等国纷纷推出中长期基建规划。</w:t>
            </w:r>
          </w:p>
          <w:p w14:paraId="0A51EA48" w14:textId="0C7CECC9" w:rsidR="006121FB" w:rsidRDefault="0000000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中东</w:t>
            </w:r>
            <w:r w:rsidR="00D549EB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国家的</w:t>
            </w:r>
            <w:r w:rsidR="003D182E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基建起步较晚</w:t>
            </w:r>
            <w:r w:rsidR="00D549EB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，设施落后</w:t>
            </w:r>
            <w:r w:rsidR="003D182E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</w:t>
            </w:r>
            <w:r w:rsidR="00D549EB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沿线国家过去依赖石油等资源的出口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</w:t>
            </w:r>
            <w:r w:rsidR="00D549EB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现阶段有着国家升级转型的需求。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在沙特“2030愿景”的规划下，</w:t>
            </w:r>
            <w:r w:rsidR="0084555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诞生大量的基础设施建设需求，这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为地基行业</w:t>
            </w:r>
            <w:r w:rsidR="0084555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的发展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提供</w:t>
            </w:r>
            <w:r w:rsidR="0084555D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新的机遇。</w:t>
            </w:r>
          </w:p>
          <w:p w14:paraId="03958A20" w14:textId="367C20A4" w:rsidR="006121FB" w:rsidRDefault="0000000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公司未来几年</w:t>
            </w:r>
            <w:r w:rsidR="004406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经营</w:t>
            </w:r>
            <w:r w:rsidR="004406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指引是什么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？</w:t>
            </w:r>
          </w:p>
          <w:p w14:paraId="1AE0A96C" w14:textId="0E604320" w:rsidR="006121FB" w:rsidRDefault="0026621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lastRenderedPageBreak/>
              <w:t>答：在综合考虑</w:t>
            </w:r>
            <w:r w:rsidR="00532D85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全球范围内下游需求情况、公司竞争优势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及发展规划等因素的基础上</w:t>
            </w:r>
            <w:r w:rsidR="00532D85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公司</w:t>
            </w:r>
            <w:r w:rsidR="004E2436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2023年限制性股票激励计划公司层面的绩效考核</w:t>
            </w:r>
            <w:r w:rsidR="004E2436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作为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未来三年的基本经营目标，</w:t>
            </w:r>
            <w:r w:rsidR="004E2436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充分彰显了公司及管理层对未来发展的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信心。</w:t>
            </w:r>
            <w:r w:rsidR="004E2436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未来，公司将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继续发挥公司在技术、品牌、管理</w:t>
            </w:r>
            <w:r w:rsidR="004406FC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、人才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等方面的竞争优势，加强成本管控和精细化管理能力，完善海外业务布局，努力培育新的盈利增长点，争取以更好的业绩来回报股东。</w:t>
            </w:r>
          </w:p>
          <w:p w14:paraId="37D045C3" w14:textId="603FEB97" w:rsidR="006121FB" w:rsidRDefault="00392291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公司的招聘计划是什么？</w:t>
            </w:r>
            <w:r w:rsidR="00C145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如何将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人才</w:t>
            </w:r>
            <w:r w:rsidR="00C145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>发展和企业战略结合？</w:t>
            </w:r>
            <w:r w:rsidR="00C145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</w:t>
            </w:r>
          </w:p>
          <w:p w14:paraId="4C112627" w14:textId="33067865" w:rsidR="006121FB" w:rsidRDefault="00C1459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outlineLvl w:val="1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答：伴随公司海外业务的快速</w:t>
            </w:r>
            <w:r w:rsidR="006410F4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发展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，公司加大了在海外的招聘力度，尤其是区域基建投资高涨的中东区域。公司自成立以来，高度重视人才队伍的建设，持续吸收、培养、引进优秀的行业人才和境外经营人才，重视人才、科研和企业战略的结合，构建了一只以高层次境内外管理人才牵头、研究院为核心技术支撑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各队伍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相互协同的创新联合队伍。2023年公司</w:t>
            </w:r>
            <w:r w:rsidR="00D43A52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统筹推进了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核心科研及骨干人员</w:t>
            </w:r>
            <w:r w:rsidR="00D43A52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bidi="ar"/>
              </w:rPr>
              <w:t>限制性股票激励计划和员工持股计划，鼓励科技创新，充分调动核心员工的积极性，构建股东、公司与员工之间的利益共同体，建立健全持续、稳定的激励约束机制，支持公司的长期发展和战略实现。</w:t>
            </w:r>
          </w:p>
          <w:p w14:paraId="33A334B1" w14:textId="35C7B1EE" w:rsidR="006121FB" w:rsidRDefault="006121F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7293502" w14:textId="77777777" w:rsidR="006121FB" w:rsidRDefault="00000000">
            <w:pPr>
              <w:spacing w:line="360" w:lineRule="auto"/>
              <w:ind w:firstLineChars="200" w:firstLine="480"/>
              <w:rPr>
                <w:rFonts w:ascii="Arial" w:eastAsia="宋体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  <w:shd w:val="clear" w:color="auto" w:fill="FFFFFF"/>
              </w:rPr>
              <w:t>特此发布。请广大投资者注意投资风险。</w:t>
            </w:r>
          </w:p>
          <w:p w14:paraId="22E344E0" w14:textId="77777777" w:rsidR="006121FB" w:rsidRDefault="006121F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 w:themeColor="text1"/>
                <w:sz w:val="24"/>
                <w:shd w:val="clear" w:color="auto" w:fill="FFFFFF"/>
              </w:rPr>
            </w:pPr>
          </w:p>
          <w:p w14:paraId="03D6133B" w14:textId="77777777" w:rsidR="006121FB" w:rsidRDefault="00000000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 w:cs="宋体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上海港湾基础建设（集团）股份有限公司</w:t>
            </w:r>
          </w:p>
        </w:tc>
      </w:tr>
      <w:tr w:rsidR="006121FB" w14:paraId="6E8C508F" w14:textId="77777777">
        <w:tc>
          <w:tcPr>
            <w:tcW w:w="1838" w:type="dxa"/>
            <w:vAlign w:val="center"/>
          </w:tcPr>
          <w:p w14:paraId="5F057B8D" w14:textId="77777777" w:rsidR="006121FB" w:rsidRDefault="00000000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460" w:type="dxa"/>
            <w:vAlign w:val="center"/>
          </w:tcPr>
          <w:p w14:paraId="7061AF3B" w14:textId="452C7BD1" w:rsidR="006121FB" w:rsidRDefault="00074409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F749CE">
              <w:rPr>
                <w:rFonts w:ascii="宋体" w:eastAsia="宋体" w:hAnsi="宋体" w:cs="Times New Roman" w:hint="eastAsia"/>
                <w:sz w:val="24"/>
                <w:szCs w:val="24"/>
              </w:rPr>
              <w:t>024年</w:t>
            </w:r>
            <w:r w:rsidR="00993461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="00F749CE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</w:tr>
    </w:tbl>
    <w:p w14:paraId="17FB6DF8" w14:textId="77777777" w:rsidR="006121FB" w:rsidRDefault="006121FB">
      <w:pPr>
        <w:rPr>
          <w:rFonts w:ascii="宋体" w:eastAsia="宋体" w:hAnsi="宋体" w:cs="宋体"/>
          <w:sz w:val="24"/>
          <w:szCs w:val="24"/>
        </w:rPr>
      </w:pPr>
    </w:p>
    <w:p w14:paraId="23B68BDA" w14:textId="77777777" w:rsidR="006121FB" w:rsidRDefault="006121FB">
      <w:pPr>
        <w:rPr>
          <w:rFonts w:ascii="宋体" w:eastAsia="宋体" w:hAnsi="宋体" w:cs="宋体"/>
          <w:sz w:val="24"/>
          <w:szCs w:val="24"/>
        </w:rPr>
      </w:pPr>
    </w:p>
    <w:p w14:paraId="2D1FEBFC" w14:textId="77777777" w:rsidR="006121FB" w:rsidRDefault="006121FB">
      <w:pPr>
        <w:rPr>
          <w:rFonts w:ascii="宋体" w:eastAsia="宋体" w:hAnsi="宋体" w:cs="宋体"/>
          <w:sz w:val="24"/>
          <w:szCs w:val="24"/>
        </w:rPr>
      </w:pPr>
    </w:p>
    <w:p w14:paraId="3CACE875" w14:textId="77777777" w:rsidR="006121FB" w:rsidRDefault="006121FB">
      <w:pPr>
        <w:rPr>
          <w:rFonts w:ascii="宋体" w:eastAsia="宋体" w:hAnsi="宋体" w:cs="宋体"/>
          <w:sz w:val="24"/>
          <w:szCs w:val="24"/>
        </w:rPr>
      </w:pPr>
    </w:p>
    <w:sectPr w:rsidR="0061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0087C" w14:textId="77777777" w:rsidR="001A6340" w:rsidRDefault="001A6340" w:rsidP="00431D8E">
      <w:r>
        <w:separator/>
      </w:r>
    </w:p>
  </w:endnote>
  <w:endnote w:type="continuationSeparator" w:id="0">
    <w:p w14:paraId="6795E26B" w14:textId="77777777" w:rsidR="001A6340" w:rsidRDefault="001A6340" w:rsidP="0043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53E88" w14:textId="77777777" w:rsidR="001A6340" w:rsidRDefault="001A6340" w:rsidP="00431D8E">
      <w:r>
        <w:separator/>
      </w:r>
    </w:p>
  </w:footnote>
  <w:footnote w:type="continuationSeparator" w:id="0">
    <w:p w14:paraId="29169799" w14:textId="77777777" w:rsidR="001A6340" w:rsidRDefault="001A6340" w:rsidP="0043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20DB88"/>
    <w:multiLevelType w:val="singleLevel"/>
    <w:tmpl w:val="CE20DB8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4CC3B218"/>
    <w:multiLevelType w:val="singleLevel"/>
    <w:tmpl w:val="4CC3B218"/>
    <w:lvl w:ilvl="0">
      <w:start w:val="5"/>
      <w:numFmt w:val="decimal"/>
      <w:suff w:val="nothing"/>
      <w:lvlText w:val="%1、"/>
      <w:lvlJc w:val="left"/>
    </w:lvl>
  </w:abstractNum>
  <w:num w:numId="1" w16cid:durableId="1983731723">
    <w:abstractNumId w:val="0"/>
  </w:num>
  <w:num w:numId="2" w16cid:durableId="31846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1NWE4ZWUyZjM1NjRhMGMzZGU3NWYyZDU5MWFjM2UifQ=="/>
  </w:docVars>
  <w:rsids>
    <w:rsidRoot w:val="00703536"/>
    <w:rsid w:val="00015270"/>
    <w:rsid w:val="00022E46"/>
    <w:rsid w:val="00027946"/>
    <w:rsid w:val="00027B7F"/>
    <w:rsid w:val="000368B8"/>
    <w:rsid w:val="00037098"/>
    <w:rsid w:val="00045DE1"/>
    <w:rsid w:val="0005101D"/>
    <w:rsid w:val="0005283D"/>
    <w:rsid w:val="0005541B"/>
    <w:rsid w:val="00055476"/>
    <w:rsid w:val="000630E0"/>
    <w:rsid w:val="00074409"/>
    <w:rsid w:val="0007705B"/>
    <w:rsid w:val="00092E64"/>
    <w:rsid w:val="00093AC7"/>
    <w:rsid w:val="000A26F6"/>
    <w:rsid w:val="000A4D30"/>
    <w:rsid w:val="000B0223"/>
    <w:rsid w:val="000C3AB2"/>
    <w:rsid w:val="000C4E1D"/>
    <w:rsid w:val="000D03AF"/>
    <w:rsid w:val="000D6ABF"/>
    <w:rsid w:val="000E1095"/>
    <w:rsid w:val="000E2349"/>
    <w:rsid w:val="00102C14"/>
    <w:rsid w:val="00103582"/>
    <w:rsid w:val="001035E8"/>
    <w:rsid w:val="001061D4"/>
    <w:rsid w:val="001126BC"/>
    <w:rsid w:val="001257B6"/>
    <w:rsid w:val="00136A96"/>
    <w:rsid w:val="0014531A"/>
    <w:rsid w:val="0016040B"/>
    <w:rsid w:val="00174C89"/>
    <w:rsid w:val="00177302"/>
    <w:rsid w:val="00184A1B"/>
    <w:rsid w:val="00186E59"/>
    <w:rsid w:val="00190B19"/>
    <w:rsid w:val="00191915"/>
    <w:rsid w:val="00195D47"/>
    <w:rsid w:val="001A4524"/>
    <w:rsid w:val="001A5635"/>
    <w:rsid w:val="001A6340"/>
    <w:rsid w:val="001B08D3"/>
    <w:rsid w:val="001B7AB1"/>
    <w:rsid w:val="001C5762"/>
    <w:rsid w:val="001E1E66"/>
    <w:rsid w:val="002005A1"/>
    <w:rsid w:val="00204779"/>
    <w:rsid w:val="002072BB"/>
    <w:rsid w:val="00211AC0"/>
    <w:rsid w:val="00216FAB"/>
    <w:rsid w:val="00222548"/>
    <w:rsid w:val="00231D9A"/>
    <w:rsid w:val="00254513"/>
    <w:rsid w:val="00264493"/>
    <w:rsid w:val="00266213"/>
    <w:rsid w:val="00273A7F"/>
    <w:rsid w:val="00277263"/>
    <w:rsid w:val="00285FE6"/>
    <w:rsid w:val="00290CE4"/>
    <w:rsid w:val="002949D3"/>
    <w:rsid w:val="00296718"/>
    <w:rsid w:val="002A268E"/>
    <w:rsid w:val="002A2D53"/>
    <w:rsid w:val="002A3354"/>
    <w:rsid w:val="002C1B1D"/>
    <w:rsid w:val="002C56C5"/>
    <w:rsid w:val="002D409A"/>
    <w:rsid w:val="002E0281"/>
    <w:rsid w:val="002F4613"/>
    <w:rsid w:val="002F5D42"/>
    <w:rsid w:val="00306CE6"/>
    <w:rsid w:val="0030722D"/>
    <w:rsid w:val="00315155"/>
    <w:rsid w:val="003151FA"/>
    <w:rsid w:val="00317012"/>
    <w:rsid w:val="00327C65"/>
    <w:rsid w:val="00330241"/>
    <w:rsid w:val="003379D6"/>
    <w:rsid w:val="00337D98"/>
    <w:rsid w:val="00340F9C"/>
    <w:rsid w:val="00343674"/>
    <w:rsid w:val="00353481"/>
    <w:rsid w:val="00353DAE"/>
    <w:rsid w:val="0038116C"/>
    <w:rsid w:val="00383D2B"/>
    <w:rsid w:val="00392291"/>
    <w:rsid w:val="003A34EF"/>
    <w:rsid w:val="003A4038"/>
    <w:rsid w:val="003C2DC4"/>
    <w:rsid w:val="003D182E"/>
    <w:rsid w:val="003E683A"/>
    <w:rsid w:val="003F2B18"/>
    <w:rsid w:val="00403A43"/>
    <w:rsid w:val="004076CE"/>
    <w:rsid w:val="00415593"/>
    <w:rsid w:val="004251B2"/>
    <w:rsid w:val="00425745"/>
    <w:rsid w:val="00430B96"/>
    <w:rsid w:val="00431D8E"/>
    <w:rsid w:val="00437A36"/>
    <w:rsid w:val="004406FC"/>
    <w:rsid w:val="0047176F"/>
    <w:rsid w:val="004726D2"/>
    <w:rsid w:val="0049211B"/>
    <w:rsid w:val="0049445E"/>
    <w:rsid w:val="00496243"/>
    <w:rsid w:val="004C2E7F"/>
    <w:rsid w:val="004C67FA"/>
    <w:rsid w:val="004E2436"/>
    <w:rsid w:val="004E6138"/>
    <w:rsid w:val="004E71E1"/>
    <w:rsid w:val="004E7402"/>
    <w:rsid w:val="004F0874"/>
    <w:rsid w:val="004F185A"/>
    <w:rsid w:val="00500C2E"/>
    <w:rsid w:val="00522186"/>
    <w:rsid w:val="00532D85"/>
    <w:rsid w:val="00533737"/>
    <w:rsid w:val="00535492"/>
    <w:rsid w:val="005364C0"/>
    <w:rsid w:val="005404C3"/>
    <w:rsid w:val="005406E5"/>
    <w:rsid w:val="00546379"/>
    <w:rsid w:val="00570C53"/>
    <w:rsid w:val="00572B26"/>
    <w:rsid w:val="00586E15"/>
    <w:rsid w:val="0059288F"/>
    <w:rsid w:val="005D3613"/>
    <w:rsid w:val="005D55D2"/>
    <w:rsid w:val="005D7D7A"/>
    <w:rsid w:val="005E079C"/>
    <w:rsid w:val="005E56F8"/>
    <w:rsid w:val="005E794D"/>
    <w:rsid w:val="005F3B33"/>
    <w:rsid w:val="00611D1B"/>
    <w:rsid w:val="006121FB"/>
    <w:rsid w:val="00617EBE"/>
    <w:rsid w:val="00626400"/>
    <w:rsid w:val="006266C8"/>
    <w:rsid w:val="00634486"/>
    <w:rsid w:val="006346B9"/>
    <w:rsid w:val="006410F4"/>
    <w:rsid w:val="00644727"/>
    <w:rsid w:val="006506E8"/>
    <w:rsid w:val="0065557E"/>
    <w:rsid w:val="00657166"/>
    <w:rsid w:val="00662717"/>
    <w:rsid w:val="0066787E"/>
    <w:rsid w:val="006711A8"/>
    <w:rsid w:val="00673058"/>
    <w:rsid w:val="00680206"/>
    <w:rsid w:val="00686CED"/>
    <w:rsid w:val="00687146"/>
    <w:rsid w:val="00693C1A"/>
    <w:rsid w:val="006A745E"/>
    <w:rsid w:val="006B259E"/>
    <w:rsid w:val="006B3E28"/>
    <w:rsid w:val="006B51EE"/>
    <w:rsid w:val="006B533D"/>
    <w:rsid w:val="006B7DDB"/>
    <w:rsid w:val="006D0C61"/>
    <w:rsid w:val="006D2953"/>
    <w:rsid w:val="006D6333"/>
    <w:rsid w:val="006F494D"/>
    <w:rsid w:val="00703536"/>
    <w:rsid w:val="00715985"/>
    <w:rsid w:val="00720EFC"/>
    <w:rsid w:val="00721572"/>
    <w:rsid w:val="00724E9E"/>
    <w:rsid w:val="00732351"/>
    <w:rsid w:val="0075400F"/>
    <w:rsid w:val="00766F7E"/>
    <w:rsid w:val="007720F6"/>
    <w:rsid w:val="0077320A"/>
    <w:rsid w:val="00783599"/>
    <w:rsid w:val="007B2FEC"/>
    <w:rsid w:val="007C38CB"/>
    <w:rsid w:val="007C5601"/>
    <w:rsid w:val="007D34D8"/>
    <w:rsid w:val="007D5D55"/>
    <w:rsid w:val="007F2A2A"/>
    <w:rsid w:val="008034B9"/>
    <w:rsid w:val="00805B6E"/>
    <w:rsid w:val="00807B7F"/>
    <w:rsid w:val="008122AA"/>
    <w:rsid w:val="008175E5"/>
    <w:rsid w:val="0084555D"/>
    <w:rsid w:val="00855A0A"/>
    <w:rsid w:val="00861F0F"/>
    <w:rsid w:val="008638FC"/>
    <w:rsid w:val="00864FA6"/>
    <w:rsid w:val="00870C05"/>
    <w:rsid w:val="00884C13"/>
    <w:rsid w:val="008A13A0"/>
    <w:rsid w:val="008A418C"/>
    <w:rsid w:val="008B0551"/>
    <w:rsid w:val="008C7E93"/>
    <w:rsid w:val="008D18F7"/>
    <w:rsid w:val="008E7D9B"/>
    <w:rsid w:val="008F2693"/>
    <w:rsid w:val="008F5E28"/>
    <w:rsid w:val="00910C0D"/>
    <w:rsid w:val="00913941"/>
    <w:rsid w:val="0091504A"/>
    <w:rsid w:val="009220AF"/>
    <w:rsid w:val="009447F2"/>
    <w:rsid w:val="00954E94"/>
    <w:rsid w:val="00972A18"/>
    <w:rsid w:val="00976035"/>
    <w:rsid w:val="0098166F"/>
    <w:rsid w:val="00993461"/>
    <w:rsid w:val="009A105C"/>
    <w:rsid w:val="009A351D"/>
    <w:rsid w:val="009A428F"/>
    <w:rsid w:val="009B47FC"/>
    <w:rsid w:val="009C6F26"/>
    <w:rsid w:val="009D338D"/>
    <w:rsid w:val="009D3521"/>
    <w:rsid w:val="009D73F0"/>
    <w:rsid w:val="009E1425"/>
    <w:rsid w:val="009E42DF"/>
    <w:rsid w:val="009E705E"/>
    <w:rsid w:val="00A00098"/>
    <w:rsid w:val="00A140DD"/>
    <w:rsid w:val="00A24897"/>
    <w:rsid w:val="00A26B64"/>
    <w:rsid w:val="00A33A73"/>
    <w:rsid w:val="00A61895"/>
    <w:rsid w:val="00A63B8B"/>
    <w:rsid w:val="00A66416"/>
    <w:rsid w:val="00A7136A"/>
    <w:rsid w:val="00A95A8B"/>
    <w:rsid w:val="00AA3123"/>
    <w:rsid w:val="00AB2591"/>
    <w:rsid w:val="00AC5195"/>
    <w:rsid w:val="00AD3CFC"/>
    <w:rsid w:val="00AF4B6C"/>
    <w:rsid w:val="00B142A3"/>
    <w:rsid w:val="00B14DD7"/>
    <w:rsid w:val="00B15814"/>
    <w:rsid w:val="00B178C8"/>
    <w:rsid w:val="00B3706D"/>
    <w:rsid w:val="00B4090D"/>
    <w:rsid w:val="00B43155"/>
    <w:rsid w:val="00B43FCE"/>
    <w:rsid w:val="00B44A75"/>
    <w:rsid w:val="00B44BD2"/>
    <w:rsid w:val="00B5002B"/>
    <w:rsid w:val="00B94037"/>
    <w:rsid w:val="00B95A82"/>
    <w:rsid w:val="00BB52D6"/>
    <w:rsid w:val="00BC36B5"/>
    <w:rsid w:val="00BD71C1"/>
    <w:rsid w:val="00BF4612"/>
    <w:rsid w:val="00C038B7"/>
    <w:rsid w:val="00C1303E"/>
    <w:rsid w:val="00C14596"/>
    <w:rsid w:val="00C34389"/>
    <w:rsid w:val="00C42B34"/>
    <w:rsid w:val="00C5549D"/>
    <w:rsid w:val="00C605E8"/>
    <w:rsid w:val="00C65132"/>
    <w:rsid w:val="00C72207"/>
    <w:rsid w:val="00C77696"/>
    <w:rsid w:val="00C84ABE"/>
    <w:rsid w:val="00CA3088"/>
    <w:rsid w:val="00CB2455"/>
    <w:rsid w:val="00CB3E50"/>
    <w:rsid w:val="00CD007D"/>
    <w:rsid w:val="00CE5358"/>
    <w:rsid w:val="00CF1347"/>
    <w:rsid w:val="00CF4DD4"/>
    <w:rsid w:val="00CF57A1"/>
    <w:rsid w:val="00CF5D55"/>
    <w:rsid w:val="00D051B7"/>
    <w:rsid w:val="00D331A3"/>
    <w:rsid w:val="00D33E89"/>
    <w:rsid w:val="00D41A69"/>
    <w:rsid w:val="00D43A52"/>
    <w:rsid w:val="00D47049"/>
    <w:rsid w:val="00D549EB"/>
    <w:rsid w:val="00D56BED"/>
    <w:rsid w:val="00D60884"/>
    <w:rsid w:val="00D65BBF"/>
    <w:rsid w:val="00D732BA"/>
    <w:rsid w:val="00D94906"/>
    <w:rsid w:val="00D97082"/>
    <w:rsid w:val="00DA0B44"/>
    <w:rsid w:val="00DA249C"/>
    <w:rsid w:val="00DA2587"/>
    <w:rsid w:val="00DC1719"/>
    <w:rsid w:val="00DC37E1"/>
    <w:rsid w:val="00DC6EAC"/>
    <w:rsid w:val="00DC7613"/>
    <w:rsid w:val="00DD1EC2"/>
    <w:rsid w:val="00DD6C6C"/>
    <w:rsid w:val="00DE2772"/>
    <w:rsid w:val="00DE5765"/>
    <w:rsid w:val="00DE7843"/>
    <w:rsid w:val="00E01E88"/>
    <w:rsid w:val="00E12960"/>
    <w:rsid w:val="00E12A39"/>
    <w:rsid w:val="00E24DE0"/>
    <w:rsid w:val="00E26BB4"/>
    <w:rsid w:val="00E33ED5"/>
    <w:rsid w:val="00E343C4"/>
    <w:rsid w:val="00E35C40"/>
    <w:rsid w:val="00E43A77"/>
    <w:rsid w:val="00E529ED"/>
    <w:rsid w:val="00E63F32"/>
    <w:rsid w:val="00E64CFE"/>
    <w:rsid w:val="00E6692C"/>
    <w:rsid w:val="00E8656F"/>
    <w:rsid w:val="00E86B56"/>
    <w:rsid w:val="00E91E69"/>
    <w:rsid w:val="00EC3DED"/>
    <w:rsid w:val="00EE3C77"/>
    <w:rsid w:val="00EE4EBD"/>
    <w:rsid w:val="00EF4170"/>
    <w:rsid w:val="00EF64CD"/>
    <w:rsid w:val="00EF6EC8"/>
    <w:rsid w:val="00F10002"/>
    <w:rsid w:val="00F247AE"/>
    <w:rsid w:val="00F247D6"/>
    <w:rsid w:val="00F33E8D"/>
    <w:rsid w:val="00F37AA1"/>
    <w:rsid w:val="00F40345"/>
    <w:rsid w:val="00F458D2"/>
    <w:rsid w:val="00F54083"/>
    <w:rsid w:val="00F62104"/>
    <w:rsid w:val="00F66A74"/>
    <w:rsid w:val="00F66CB3"/>
    <w:rsid w:val="00F725C2"/>
    <w:rsid w:val="00F749CE"/>
    <w:rsid w:val="00F826A0"/>
    <w:rsid w:val="00F95881"/>
    <w:rsid w:val="00F95C0E"/>
    <w:rsid w:val="00FA2CC9"/>
    <w:rsid w:val="00FA7950"/>
    <w:rsid w:val="00FA7BB9"/>
    <w:rsid w:val="00FB0FFD"/>
    <w:rsid w:val="00FB15DC"/>
    <w:rsid w:val="00FB4C11"/>
    <w:rsid w:val="00FB591E"/>
    <w:rsid w:val="00FB5A6B"/>
    <w:rsid w:val="00FD1C91"/>
    <w:rsid w:val="00FD72ED"/>
    <w:rsid w:val="00FD7389"/>
    <w:rsid w:val="00FF0ED0"/>
    <w:rsid w:val="00FF2908"/>
    <w:rsid w:val="01B35B8E"/>
    <w:rsid w:val="01C44D9D"/>
    <w:rsid w:val="02385327"/>
    <w:rsid w:val="04E733FC"/>
    <w:rsid w:val="061567A2"/>
    <w:rsid w:val="07554285"/>
    <w:rsid w:val="07994CE0"/>
    <w:rsid w:val="07FA4B11"/>
    <w:rsid w:val="08707B78"/>
    <w:rsid w:val="08F27B49"/>
    <w:rsid w:val="0BC67C13"/>
    <w:rsid w:val="0D5613EC"/>
    <w:rsid w:val="0D92714F"/>
    <w:rsid w:val="0E802B47"/>
    <w:rsid w:val="0E835AAA"/>
    <w:rsid w:val="1107071A"/>
    <w:rsid w:val="12EC5225"/>
    <w:rsid w:val="13D11606"/>
    <w:rsid w:val="14B16280"/>
    <w:rsid w:val="1743234C"/>
    <w:rsid w:val="188625BD"/>
    <w:rsid w:val="18FA3D58"/>
    <w:rsid w:val="1B5543FC"/>
    <w:rsid w:val="1E780B2E"/>
    <w:rsid w:val="1E9430BB"/>
    <w:rsid w:val="23DF164F"/>
    <w:rsid w:val="24207C9D"/>
    <w:rsid w:val="248A15BB"/>
    <w:rsid w:val="24D434BF"/>
    <w:rsid w:val="255D6241"/>
    <w:rsid w:val="263E5760"/>
    <w:rsid w:val="267B5785"/>
    <w:rsid w:val="283770FF"/>
    <w:rsid w:val="28F96D0F"/>
    <w:rsid w:val="2A007C29"/>
    <w:rsid w:val="2B286A75"/>
    <w:rsid w:val="2C363DD6"/>
    <w:rsid w:val="2D6C0259"/>
    <w:rsid w:val="30D575D4"/>
    <w:rsid w:val="315471D8"/>
    <w:rsid w:val="318D3E9E"/>
    <w:rsid w:val="32801B67"/>
    <w:rsid w:val="338F274A"/>
    <w:rsid w:val="33A9517B"/>
    <w:rsid w:val="34B87A7E"/>
    <w:rsid w:val="3938121A"/>
    <w:rsid w:val="3CEE7BCE"/>
    <w:rsid w:val="3D365C25"/>
    <w:rsid w:val="3D595B76"/>
    <w:rsid w:val="42641245"/>
    <w:rsid w:val="43F263DD"/>
    <w:rsid w:val="43FD54AD"/>
    <w:rsid w:val="444255B6"/>
    <w:rsid w:val="449556E6"/>
    <w:rsid w:val="44AE49FA"/>
    <w:rsid w:val="46FA2178"/>
    <w:rsid w:val="471A0124"/>
    <w:rsid w:val="4B291F84"/>
    <w:rsid w:val="4CAB7309"/>
    <w:rsid w:val="4DE36B56"/>
    <w:rsid w:val="4ECD3CCE"/>
    <w:rsid w:val="50942CF5"/>
    <w:rsid w:val="50AA2519"/>
    <w:rsid w:val="51CB0999"/>
    <w:rsid w:val="52C97FC2"/>
    <w:rsid w:val="536B03A4"/>
    <w:rsid w:val="53DB3592"/>
    <w:rsid w:val="54A64A25"/>
    <w:rsid w:val="55682BFC"/>
    <w:rsid w:val="57554D6E"/>
    <w:rsid w:val="576D0AF8"/>
    <w:rsid w:val="59266DFD"/>
    <w:rsid w:val="595B5299"/>
    <w:rsid w:val="5D0905C7"/>
    <w:rsid w:val="5D261179"/>
    <w:rsid w:val="5D79399F"/>
    <w:rsid w:val="5DE828D3"/>
    <w:rsid w:val="61E57855"/>
    <w:rsid w:val="63C82A1C"/>
    <w:rsid w:val="64F17533"/>
    <w:rsid w:val="66287A2C"/>
    <w:rsid w:val="669C4B1E"/>
    <w:rsid w:val="66A422DA"/>
    <w:rsid w:val="679715F1"/>
    <w:rsid w:val="6CBD6116"/>
    <w:rsid w:val="704443AA"/>
    <w:rsid w:val="70FE4184"/>
    <w:rsid w:val="71193077"/>
    <w:rsid w:val="72514A93"/>
    <w:rsid w:val="73371C29"/>
    <w:rsid w:val="738D5634"/>
    <w:rsid w:val="75306BE1"/>
    <w:rsid w:val="754E0E15"/>
    <w:rsid w:val="78D750CC"/>
    <w:rsid w:val="78DC5E22"/>
    <w:rsid w:val="7C831CEC"/>
    <w:rsid w:val="7E90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063AD"/>
  <w15:docId w15:val="{2C0F076E-0F08-44AB-B32D-C8AD4B9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431D8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294499578@qq.com</cp:lastModifiedBy>
  <cp:revision>44</cp:revision>
  <cp:lastPrinted>2023-09-04T04:58:00Z</cp:lastPrinted>
  <dcterms:created xsi:type="dcterms:W3CDTF">2024-03-19T15:47:00Z</dcterms:created>
  <dcterms:modified xsi:type="dcterms:W3CDTF">2024-03-26T07:45:00Z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0215CC905FBB47558B9D84C5CA1FF6C3_13</vt:lpwstr>
  </property>
</Properties>
</file>