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A" w:rsidRDefault="00471638">
      <w:pPr>
        <w:pStyle w:val="1"/>
        <w:rPr>
          <w:rFonts w:ascii="宋体" w:eastAsia="宋体" w:hAnsi="宋体" w:cs="宋体"/>
          <w:sz w:val="24"/>
          <w:szCs w:val="24"/>
          <w:lang w:val="en-US"/>
        </w:rPr>
      </w:pPr>
      <w:r>
        <w:rPr>
          <w:rFonts w:ascii="宋体" w:eastAsia="宋体" w:hAnsi="宋体" w:cs="宋体" w:hint="eastAsia"/>
          <w:sz w:val="24"/>
          <w:szCs w:val="24"/>
          <w:lang w:val="en-US"/>
        </w:rPr>
        <w:t>证券代码：601107                               证券简称：四川成渝</w:t>
      </w:r>
    </w:p>
    <w:p w:rsidR="0059577A" w:rsidRDefault="0059577A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59577A" w:rsidRDefault="00471638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四川成渝高速公路股份有限公司</w:t>
      </w:r>
    </w:p>
    <w:p w:rsidR="0059577A" w:rsidRDefault="00471638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59577A">
        <w:trPr>
          <w:trHeight w:val="2801"/>
          <w:jc w:val="center"/>
        </w:trPr>
        <w:tc>
          <w:tcPr>
            <w:tcW w:w="2580" w:type="dxa"/>
          </w:tcPr>
          <w:p w:rsidR="0059577A" w:rsidRDefault="0059577A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8"/>
              </w:rPr>
            </w:pPr>
          </w:p>
          <w:p w:rsidR="0059577A" w:rsidRDefault="00471638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投资者关系活动类别</w:t>
            </w:r>
          </w:p>
        </w:tc>
        <w:tc>
          <w:tcPr>
            <w:tcW w:w="5945" w:type="dxa"/>
          </w:tcPr>
          <w:p w:rsidR="0059577A" w:rsidRDefault="0059577A">
            <w:pPr>
              <w:pStyle w:val="TableParagraph"/>
              <w:spacing w:before="7"/>
              <w:rPr>
                <w:rFonts w:ascii="宋体" w:eastAsia="宋体" w:hAnsi="宋体" w:cs="宋体"/>
                <w:sz w:val="18"/>
              </w:rPr>
            </w:pPr>
          </w:p>
          <w:p w:rsidR="0059577A" w:rsidRDefault="00FA178F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24978044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EC5">
                  <w:rPr>
                    <w:rFonts w:ascii="宋体" w:eastAsia="宋体" w:hAnsi="宋体" w:cs="宋体" w:hint="eastAsia"/>
                    <w:sz w:val="21"/>
                  </w:rPr>
                  <w:sym w:font="Wingdings 2" w:char="F052"/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特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定</w:t>
            </w:r>
            <w:r w:rsidR="00471638">
              <w:rPr>
                <w:rFonts w:ascii="宋体" w:eastAsia="宋体" w:hAnsi="宋体" w:cs="宋体" w:hint="eastAsia"/>
                <w:sz w:val="21"/>
              </w:rPr>
              <w:t>对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象</w:t>
            </w:r>
            <w:r w:rsidR="00471638">
              <w:rPr>
                <w:rFonts w:ascii="宋体" w:eastAsia="宋体" w:hAnsi="宋体" w:cs="宋体" w:hint="eastAsia"/>
                <w:sz w:val="21"/>
              </w:rPr>
              <w:t>调研</w:t>
            </w:r>
            <w:r w:rsidR="00471638">
              <w:rPr>
                <w:rFonts w:ascii="宋体" w:eastAsia="宋体" w:hAnsi="宋体" w:cs="宋体" w:hint="eastAsia"/>
                <w:sz w:val="21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分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析</w:t>
            </w:r>
            <w:r w:rsidR="00471638">
              <w:rPr>
                <w:rFonts w:ascii="宋体" w:eastAsia="宋体" w:hAnsi="宋体" w:cs="宋体" w:hint="eastAsia"/>
                <w:sz w:val="21"/>
              </w:rPr>
              <w:t>师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会</w:t>
            </w:r>
            <w:r w:rsidR="00471638">
              <w:rPr>
                <w:rFonts w:ascii="宋体" w:eastAsia="宋体" w:hAnsi="宋体" w:cs="宋体" w:hint="eastAsia"/>
                <w:sz w:val="21"/>
              </w:rPr>
              <w:t>议</w:t>
            </w:r>
          </w:p>
          <w:p w:rsidR="0059577A" w:rsidRDefault="0059577A">
            <w:pPr>
              <w:pStyle w:val="TableParagraph"/>
              <w:spacing w:before="11"/>
              <w:rPr>
                <w:rFonts w:ascii="宋体" w:eastAsia="宋体" w:hAnsi="宋体" w:cs="宋体"/>
              </w:rPr>
            </w:pPr>
          </w:p>
          <w:p w:rsidR="0059577A" w:rsidRDefault="00FA178F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媒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体</w:t>
            </w:r>
            <w:r w:rsidR="00471638">
              <w:rPr>
                <w:rFonts w:ascii="宋体" w:eastAsia="宋体" w:hAnsi="宋体" w:cs="宋体" w:hint="eastAsia"/>
                <w:sz w:val="21"/>
              </w:rPr>
              <w:t>采访</w:t>
            </w:r>
            <w:r w:rsidR="00471638">
              <w:rPr>
                <w:rFonts w:ascii="宋体" w:eastAsia="宋体" w:hAnsi="宋体" w:cs="宋体" w:hint="eastAsia"/>
                <w:sz w:val="21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-66658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EC5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业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绩</w:t>
            </w:r>
            <w:r w:rsidR="00471638">
              <w:rPr>
                <w:rFonts w:ascii="宋体" w:eastAsia="宋体" w:hAnsi="宋体" w:cs="宋体" w:hint="eastAsia"/>
                <w:sz w:val="21"/>
              </w:rPr>
              <w:t>说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明</w:t>
            </w:r>
            <w:r w:rsidR="00471638">
              <w:rPr>
                <w:rFonts w:ascii="宋体" w:eastAsia="宋体" w:hAnsi="宋体" w:cs="宋体" w:hint="eastAsia"/>
                <w:sz w:val="21"/>
              </w:rPr>
              <w:t>会</w:t>
            </w:r>
          </w:p>
          <w:p w:rsidR="0059577A" w:rsidRDefault="0059577A">
            <w:pPr>
              <w:pStyle w:val="TableParagraph"/>
              <w:spacing w:before="8"/>
              <w:rPr>
                <w:rFonts w:ascii="宋体" w:eastAsia="宋体" w:hAnsi="宋体" w:cs="宋体"/>
              </w:rPr>
            </w:pPr>
          </w:p>
          <w:p w:rsidR="0059577A" w:rsidRDefault="00FA178F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新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闻</w:t>
            </w:r>
            <w:r w:rsidR="00471638">
              <w:rPr>
                <w:rFonts w:ascii="宋体" w:eastAsia="宋体" w:hAnsi="宋体" w:cs="宋体" w:hint="eastAsia"/>
                <w:sz w:val="21"/>
              </w:rPr>
              <w:t>发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布</w:t>
            </w:r>
            <w:r w:rsidR="00471638">
              <w:rPr>
                <w:rFonts w:ascii="宋体" w:eastAsia="宋体" w:hAnsi="宋体" w:cs="宋体" w:hint="eastAsia"/>
                <w:sz w:val="21"/>
              </w:rPr>
              <w:t>会</w:t>
            </w:r>
            <w:r w:rsidR="00471638">
              <w:rPr>
                <w:rFonts w:ascii="宋体" w:eastAsia="宋体" w:hAnsi="宋体" w:cs="宋体" w:hint="eastAsia"/>
                <w:sz w:val="21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路</w:t>
            </w:r>
            <w:r w:rsidR="00471638">
              <w:rPr>
                <w:rFonts w:ascii="宋体" w:eastAsia="宋体" w:hAnsi="宋体" w:cs="宋体" w:hint="eastAsia"/>
                <w:spacing w:val="-3"/>
                <w:sz w:val="21"/>
              </w:rPr>
              <w:t>演</w:t>
            </w:r>
            <w:r w:rsidR="00471638">
              <w:rPr>
                <w:rFonts w:ascii="宋体" w:eastAsia="宋体" w:hAnsi="宋体" w:cs="宋体" w:hint="eastAsia"/>
                <w:sz w:val="21"/>
              </w:rPr>
              <w:t>活动</w:t>
            </w:r>
          </w:p>
          <w:p w:rsidR="0059577A" w:rsidRDefault="0059577A">
            <w:pPr>
              <w:pStyle w:val="TableParagraph"/>
              <w:spacing w:before="8"/>
              <w:rPr>
                <w:rFonts w:ascii="宋体" w:eastAsia="宋体" w:hAnsi="宋体" w:cs="宋体"/>
              </w:rPr>
            </w:pPr>
          </w:p>
          <w:p w:rsidR="0059577A" w:rsidRDefault="00FA178F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现场参观</w:t>
            </w:r>
          </w:p>
          <w:p w:rsidR="0059577A" w:rsidRDefault="0059577A">
            <w:pPr>
              <w:pStyle w:val="TableParagraph"/>
              <w:spacing w:before="11"/>
              <w:rPr>
                <w:rFonts w:ascii="宋体" w:eastAsia="宋体" w:hAnsi="宋体" w:cs="宋体"/>
              </w:rPr>
            </w:pPr>
          </w:p>
          <w:p w:rsidR="0059577A" w:rsidRDefault="00FA178F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sz w:val="21"/>
              </w:rPr>
              <w:t>其他（</w:t>
            </w:r>
            <w:r w:rsidR="00471638">
              <w:rPr>
                <w:rFonts w:ascii="宋体" w:eastAsia="宋体" w:hAnsi="宋体" w:cs="宋体" w:hint="eastAsia"/>
                <w:sz w:val="21"/>
                <w:u w:val="single"/>
              </w:rPr>
              <w:t>请文字说明其他活动内容）</w:t>
            </w:r>
          </w:p>
        </w:tc>
      </w:tr>
      <w:tr w:rsidR="0059577A">
        <w:trPr>
          <w:trHeight w:val="90"/>
          <w:jc w:val="center"/>
        </w:trPr>
        <w:tc>
          <w:tcPr>
            <w:tcW w:w="2580" w:type="dxa"/>
          </w:tcPr>
          <w:p w:rsidR="0059577A" w:rsidRDefault="00471638">
            <w:pPr>
              <w:pStyle w:val="TableParagraph"/>
              <w:spacing w:line="560" w:lineRule="exact"/>
              <w:ind w:left="107" w:right="96"/>
              <w:rPr>
                <w:rFonts w:ascii="宋体" w:eastAsia="宋体" w:hAnsi="宋体" w:cs="宋体"/>
                <w:b/>
                <w:bCs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lang w:val="en-US"/>
              </w:rPr>
              <w:t>形式</w:t>
            </w:r>
          </w:p>
        </w:tc>
        <w:tc>
          <w:tcPr>
            <w:tcW w:w="5945" w:type="dxa"/>
          </w:tcPr>
          <w:p w:rsidR="0059577A" w:rsidRDefault="00FA178F">
            <w:pPr>
              <w:pStyle w:val="TableParagraph"/>
              <w:spacing w:beforeLines="100" w:before="240" w:line="360" w:lineRule="auto"/>
              <w:ind w:left="108"/>
              <w:rPr>
                <w:rFonts w:ascii="宋体" w:eastAsia="宋体" w:hAnsi="宋体" w:cs="宋体"/>
                <w:sz w:val="26"/>
                <w:lang w:val="en-US"/>
              </w:rPr>
            </w:pPr>
            <w:sdt>
              <w:sdtPr>
                <w:rPr>
                  <w:rFonts w:ascii="宋体" w:eastAsia="宋体" w:hAnsi="宋体" w:cs="宋体" w:hint="eastAsia"/>
                  <w:sz w:val="21"/>
                </w:rPr>
                <w:id w:val="201993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1638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lang w:val="en-US"/>
              </w:rPr>
              <w:t xml:space="preserve">现场     </w:t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-1902896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EC5">
                  <w:rPr>
                    <w:rFonts w:ascii="MS Gothic" w:eastAsia="MS Gothic" w:hAnsi="MS Gothic" w:cs="宋体" w:hint="eastAsia"/>
                    <w:sz w:val="21"/>
                  </w:rPr>
                  <w:t>☐</w:t>
                </w:r>
              </w:sdtContent>
            </w:sdt>
            <w:r w:rsidR="00471638">
              <w:rPr>
                <w:rFonts w:ascii="宋体" w:eastAsia="宋体" w:hAnsi="宋体" w:cs="宋体" w:hint="eastAsia"/>
                <w:lang w:val="en-US"/>
              </w:rPr>
              <w:t xml:space="preserve">网上    </w:t>
            </w:r>
            <w:sdt>
              <w:sdtPr>
                <w:rPr>
                  <w:rFonts w:ascii="宋体" w:eastAsia="宋体" w:hAnsi="宋体" w:cs="宋体" w:hint="eastAsia"/>
                  <w:sz w:val="21"/>
                </w:rPr>
                <w:id w:val="10765617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EC5">
                  <w:rPr>
                    <w:rFonts w:ascii="宋体" w:eastAsia="宋体" w:hAnsi="宋体" w:cs="宋体" w:hint="eastAsia"/>
                    <w:sz w:val="21"/>
                  </w:rPr>
                  <w:sym w:font="Wingdings 2" w:char="F052"/>
                </w:r>
              </w:sdtContent>
            </w:sdt>
            <w:r w:rsidR="00471638">
              <w:rPr>
                <w:rFonts w:ascii="宋体" w:eastAsia="宋体" w:hAnsi="宋体" w:cs="宋体" w:hint="eastAsia"/>
                <w:lang w:val="en-US"/>
              </w:rPr>
              <w:t>电话会议</w:t>
            </w:r>
          </w:p>
        </w:tc>
      </w:tr>
      <w:tr w:rsidR="0059577A">
        <w:trPr>
          <w:trHeight w:val="1120"/>
          <w:jc w:val="center"/>
        </w:trPr>
        <w:tc>
          <w:tcPr>
            <w:tcW w:w="2580" w:type="dxa"/>
            <w:vAlign w:val="center"/>
          </w:tcPr>
          <w:p w:rsidR="0059577A" w:rsidRDefault="00471638">
            <w:pPr>
              <w:pStyle w:val="TableParagraph"/>
              <w:spacing w:line="560" w:lineRule="exact"/>
              <w:ind w:left="107" w:right="96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 w:rsidR="0059577A" w:rsidRDefault="00C22EC5">
            <w:pPr>
              <w:pStyle w:val="TableParagrap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华创证券吴一凡、梁婉仪，兴业证券王春环，及其他线上参与的投资者</w:t>
            </w:r>
          </w:p>
        </w:tc>
      </w:tr>
      <w:tr w:rsidR="0059577A">
        <w:trPr>
          <w:trHeight w:val="558"/>
          <w:jc w:val="center"/>
        </w:trPr>
        <w:tc>
          <w:tcPr>
            <w:tcW w:w="2580" w:type="dxa"/>
            <w:vAlign w:val="center"/>
          </w:tcPr>
          <w:p w:rsidR="0059577A" w:rsidRDefault="00471638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5945" w:type="dxa"/>
            <w:vAlign w:val="center"/>
          </w:tcPr>
          <w:p w:rsidR="0059577A" w:rsidRPr="00FA178F" w:rsidRDefault="00471638" w:rsidP="00F10A58">
            <w:pPr>
              <w:rPr>
                <w:sz w:val="21"/>
                <w:szCs w:val="21"/>
              </w:rPr>
            </w:pPr>
            <w:r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202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4</w:t>
            </w:r>
            <w:r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年0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3</w:t>
            </w:r>
            <w:r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月2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8</w:t>
            </w:r>
            <w:r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 1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:00-1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1</w:t>
            </w:r>
            <w:r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:00</w:t>
            </w:r>
            <w:r w:rsidR="00F10A58"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,1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5</w:t>
            </w:r>
            <w:r w:rsidR="00F10A58"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:0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 w:rsidR="00F10A58"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-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16</w:t>
            </w:r>
            <w:r w:rsidR="00F10A58" w:rsidRPr="00FA178F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:0</w:t>
            </w:r>
            <w:r w:rsidR="00F10A58" w:rsidRPr="00FA178F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</w:p>
        </w:tc>
      </w:tr>
      <w:tr w:rsidR="0059577A">
        <w:trPr>
          <w:trHeight w:val="561"/>
          <w:jc w:val="center"/>
        </w:trPr>
        <w:tc>
          <w:tcPr>
            <w:tcW w:w="2580" w:type="dxa"/>
            <w:vAlign w:val="center"/>
          </w:tcPr>
          <w:p w:rsidR="0059577A" w:rsidRDefault="00471638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5945" w:type="dxa"/>
            <w:vAlign w:val="center"/>
          </w:tcPr>
          <w:p w:rsidR="0059577A" w:rsidRPr="00FA178F" w:rsidRDefault="00F10A58">
            <w:pPr>
              <w:pStyle w:val="TableParagrap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FA178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公司会议室</w:t>
            </w:r>
          </w:p>
        </w:tc>
      </w:tr>
      <w:tr w:rsidR="0059577A">
        <w:trPr>
          <w:trHeight w:val="558"/>
          <w:jc w:val="center"/>
        </w:trPr>
        <w:tc>
          <w:tcPr>
            <w:tcW w:w="2580" w:type="dxa"/>
            <w:vAlign w:val="center"/>
          </w:tcPr>
          <w:p w:rsidR="0059577A" w:rsidRDefault="00471638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 w:rsidR="0059577A" w:rsidRPr="00FA178F" w:rsidRDefault="00471638" w:rsidP="00C22EC5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FA178F">
              <w:rPr>
                <w:rFonts w:ascii="宋体" w:eastAsia="宋体" w:hAnsi="宋体" w:cs="宋体"/>
                <w:sz w:val="21"/>
                <w:szCs w:val="21"/>
              </w:rPr>
              <w:br/>
              <w:t>董事会秘书 姚建成</w:t>
            </w:r>
            <w:r w:rsidRPr="00FA178F">
              <w:rPr>
                <w:rFonts w:ascii="宋体" w:eastAsia="宋体" w:hAnsi="宋体" w:cs="宋体"/>
                <w:sz w:val="21"/>
                <w:szCs w:val="21"/>
              </w:rPr>
              <w:br/>
            </w:r>
          </w:p>
        </w:tc>
      </w:tr>
      <w:tr w:rsidR="0059577A">
        <w:trPr>
          <w:trHeight w:val="2800"/>
          <w:jc w:val="center"/>
        </w:trPr>
        <w:tc>
          <w:tcPr>
            <w:tcW w:w="2580" w:type="dxa"/>
          </w:tcPr>
          <w:p w:rsidR="0059577A" w:rsidRDefault="0059577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</w:rPr>
            </w:pPr>
          </w:p>
          <w:p w:rsidR="0059577A" w:rsidRDefault="0059577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</w:rPr>
            </w:pPr>
          </w:p>
          <w:p w:rsidR="0059577A" w:rsidRDefault="0059577A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</w:rPr>
            </w:pPr>
          </w:p>
          <w:p w:rsidR="0059577A" w:rsidRDefault="008A0AEA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交流内容及问答记录</w:t>
            </w:r>
          </w:p>
        </w:tc>
        <w:tc>
          <w:tcPr>
            <w:tcW w:w="5945" w:type="dxa"/>
          </w:tcPr>
          <w:p w:rsidR="008A0AEA" w:rsidRPr="008E6192" w:rsidRDefault="008A0AEA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1.公司发布的三年股东回报规划获得市场认可，制定该计划的初衷背景？</w:t>
            </w:r>
          </w:p>
          <w:p w:rsidR="008A0AEA" w:rsidRDefault="008A0AEA" w:rsidP="008E6192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8A0AEA">
              <w:rPr>
                <w:rFonts w:ascii="宋体" w:eastAsia="宋体" w:hAnsi="宋体" w:cs="宋体" w:hint="eastAsia"/>
                <w:sz w:val="21"/>
                <w:szCs w:val="21"/>
              </w:rPr>
              <w:t>此次三年股东回报规划发布，直接将分红比例提升至60%以上，一方面是</w:t>
            </w:r>
            <w:bookmarkStart w:id="0" w:name="_GoBack"/>
            <w:bookmarkEnd w:id="0"/>
            <w:r w:rsidRPr="008A0AEA">
              <w:rPr>
                <w:rFonts w:ascii="宋体" w:eastAsia="宋体" w:hAnsi="宋体" w:cs="宋体" w:hint="eastAsia"/>
                <w:sz w:val="21"/>
                <w:szCs w:val="21"/>
              </w:rPr>
              <w:t>公司积极响应证监会、交易所等监管机构鼓励上市公司提高分红水平的相关</w:t>
            </w:r>
            <w:r w:rsidR="007E57D0">
              <w:rPr>
                <w:rFonts w:ascii="宋体" w:eastAsia="宋体" w:hAnsi="宋体" w:cs="宋体" w:hint="eastAsia"/>
                <w:sz w:val="21"/>
                <w:szCs w:val="21"/>
              </w:rPr>
              <w:t>要求</w:t>
            </w:r>
            <w:r w:rsidRPr="008A0AEA">
              <w:rPr>
                <w:rFonts w:ascii="宋体" w:eastAsia="宋体" w:hAnsi="宋体" w:cs="宋体" w:hint="eastAsia"/>
                <w:sz w:val="21"/>
                <w:szCs w:val="21"/>
              </w:rPr>
              <w:t>，另一方面体现了公司想要提升价值表现，增强投资者参与感、认同感和获得感，与投资者共享发展成果的决心和信心。</w:t>
            </w:r>
          </w:p>
          <w:p w:rsidR="008A0AEA" w:rsidRPr="008E6192" w:rsidRDefault="008A0AEA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/>
                <w:b/>
                <w:sz w:val="21"/>
                <w:szCs w:val="21"/>
              </w:rPr>
              <w:t>2.2023年公司积极和资本市场交流，下一步公司对于市值管理，提升资本市场形象，有何计划？</w:t>
            </w:r>
          </w:p>
          <w:p w:rsidR="008A0AEA" w:rsidRDefault="008A0AEA" w:rsidP="008E6192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8A0AEA">
              <w:rPr>
                <w:rFonts w:ascii="宋体" w:eastAsia="宋体" w:hAnsi="宋体" w:cs="宋体" w:hint="eastAsia"/>
                <w:sz w:val="21"/>
                <w:szCs w:val="21"/>
              </w:rPr>
              <w:t>提升分红比例是公司迈出与资本市场友好良性互动沟通的重</w:t>
            </w:r>
            <w:r w:rsidRPr="008A0AE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要一步。接下来，公司将持续加大与投资者的沟通力度，将公司的经营理念、发展方向、</w:t>
            </w:r>
            <w:r w:rsidR="007E57D0">
              <w:rPr>
                <w:rFonts w:ascii="宋体" w:eastAsia="宋体" w:hAnsi="宋体" w:cs="宋体" w:hint="eastAsia"/>
                <w:sz w:val="21"/>
                <w:szCs w:val="21"/>
              </w:rPr>
              <w:t>业务开展</w:t>
            </w:r>
            <w:r w:rsidRPr="008A0AEA">
              <w:rPr>
                <w:rFonts w:ascii="宋体" w:eastAsia="宋体" w:hAnsi="宋体" w:cs="宋体" w:hint="eastAsia"/>
                <w:sz w:val="21"/>
                <w:szCs w:val="21"/>
              </w:rPr>
              <w:t>传导到位。同时，公司将围绕“十四五”规划既定目标，延长通车里程，补足路网优势；加强资本运作，注入优质资产；多向延展路衍经济，形成新的利润增长点；以更高的利润水平、更多的投资收益增长点来回应资本市场的期待。</w:t>
            </w:r>
          </w:p>
          <w:p w:rsidR="00B23549" w:rsidRPr="008E6192" w:rsidRDefault="00B23549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/>
                <w:b/>
                <w:sz w:val="21"/>
                <w:szCs w:val="21"/>
              </w:rPr>
              <w:t>3.未来对于路产规模、业态结构，有何进一步计划？</w:t>
            </w:r>
          </w:p>
          <w:p w:rsidR="008A0AEA" w:rsidRDefault="00B23549" w:rsidP="008E6192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B23549">
              <w:rPr>
                <w:rFonts w:ascii="宋体" w:eastAsia="宋体" w:hAnsi="宋体" w:cs="宋体" w:hint="eastAsia"/>
                <w:sz w:val="21"/>
                <w:szCs w:val="21"/>
              </w:rPr>
              <w:t>对于路产规模，公司将做好高速公路收费权临期、增量项目的补充。对于业态结构，高速公路投资建设运营仍是核心板块、主责主业，同时也会围绕能源销售业务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B23549">
              <w:rPr>
                <w:rFonts w:ascii="宋体" w:eastAsia="宋体" w:hAnsi="宋体" w:cs="宋体" w:hint="eastAsia"/>
                <w:sz w:val="21"/>
                <w:szCs w:val="21"/>
              </w:rPr>
              <w:t>多式联运业务、新能源充换电业务等加快路衍经济产业发展。</w:t>
            </w:r>
          </w:p>
          <w:p w:rsidR="00B23549" w:rsidRPr="008E6192" w:rsidRDefault="00B23549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4</w:t>
            </w:r>
            <w:r w:rsidRPr="008E6192"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利率下行，对于财务费用优化是否有帮助？</w:t>
            </w:r>
          </w:p>
          <w:p w:rsidR="0059577A" w:rsidRPr="008E6192" w:rsidRDefault="00B23549" w:rsidP="008E6192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公司会根据发展需要及市场利率行情，综合考虑各类融资渠道筹措资金，不排除以较低利率置换存</w:t>
            </w:r>
            <w:r w:rsidR="007D4281">
              <w:rPr>
                <w:rFonts w:ascii="宋体" w:eastAsia="宋体" w:hAnsi="宋体" w:cs="宋体" w:hint="eastAsia"/>
                <w:sz w:val="21"/>
                <w:szCs w:val="21"/>
              </w:rPr>
              <w:t>续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利率较高的债务，优化资本结构，压降财务费用。</w:t>
            </w:r>
          </w:p>
          <w:p w:rsidR="00B23549" w:rsidRPr="008E6192" w:rsidRDefault="00B23549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5</w:t>
            </w:r>
            <w:r w:rsidRPr="008E6192"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资产负债率如何优化？</w:t>
            </w:r>
          </w:p>
          <w:p w:rsidR="00B23549" w:rsidRPr="008E6192" w:rsidRDefault="00B23549" w:rsidP="008E6192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8E6192">
              <w:rPr>
                <w:rFonts w:ascii="宋体" w:eastAsia="宋体" w:hAnsi="宋体" w:cs="宋体"/>
                <w:sz w:val="21"/>
                <w:szCs w:val="21"/>
              </w:rPr>
              <w:t>公司考虑包括不限于中票、超短融、永续中票等</w:t>
            </w:r>
            <w:r w:rsidR="007E57D0">
              <w:rPr>
                <w:rFonts w:ascii="宋体" w:eastAsia="宋体" w:hAnsi="宋体" w:cs="宋体"/>
                <w:sz w:val="21"/>
                <w:szCs w:val="21"/>
              </w:rPr>
              <w:t>融资渠道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，盘活存量资产，优化资本结构，将资产负债率控制在安全范围。</w:t>
            </w:r>
          </w:p>
          <w:p w:rsidR="00B23549" w:rsidRPr="008E6192" w:rsidRDefault="00B23549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6</w:t>
            </w:r>
            <w:r w:rsidRPr="008E6192"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遂广遂西高速目前情况？未来的盈利展望？</w:t>
            </w:r>
          </w:p>
          <w:p w:rsidR="00B23549" w:rsidRPr="008E6192" w:rsidRDefault="00B23549" w:rsidP="008E6192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8E6192">
              <w:rPr>
                <w:rFonts w:ascii="宋体" w:eastAsia="宋体" w:hAnsi="宋体" w:cs="宋体"/>
                <w:sz w:val="21"/>
                <w:szCs w:val="21"/>
              </w:rPr>
              <w:t>遂广遂西公司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023年度</w:t>
            </w:r>
            <w:r w:rsidR="00EE6195">
              <w:rPr>
                <w:rFonts w:ascii="宋体" w:eastAsia="宋体" w:hAnsi="宋体" w:cs="宋体"/>
                <w:sz w:val="21"/>
                <w:szCs w:val="21"/>
              </w:rPr>
              <w:t>实现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营业收入</w:t>
            </w:r>
            <w:r w:rsidR="00EE6195">
              <w:rPr>
                <w:rFonts w:ascii="宋体" w:eastAsia="宋体" w:hAnsi="宋体" w:cs="宋体"/>
                <w:sz w:val="21"/>
                <w:szCs w:val="21"/>
              </w:rPr>
              <w:t>约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6.85亿元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同比增长95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%；净利润</w:t>
            </w:r>
            <w:r w:rsidR="00EE6195">
              <w:rPr>
                <w:rFonts w:ascii="宋体" w:eastAsia="宋体" w:hAnsi="宋体" w:cs="宋体" w:hint="eastAsia"/>
                <w:sz w:val="21"/>
                <w:szCs w:val="21"/>
              </w:rPr>
              <w:t>约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-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2.8亿元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（上年度</w:t>
            </w:r>
            <w:r w:rsidR="00EE6195">
              <w:rPr>
                <w:rFonts w:ascii="宋体" w:eastAsia="宋体" w:hAnsi="宋体" w:cs="宋体" w:hint="eastAsia"/>
                <w:sz w:val="21"/>
                <w:szCs w:val="21"/>
              </w:rPr>
              <w:t>约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-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3.5亿元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）。</w:t>
            </w:r>
            <w:r w:rsidR="00BC0095" w:rsidRPr="008E6192">
              <w:rPr>
                <w:rFonts w:ascii="宋体" w:eastAsia="宋体" w:hAnsi="宋体" w:cs="宋体"/>
                <w:sz w:val="21"/>
                <w:szCs w:val="21"/>
              </w:rPr>
              <w:t>遂广遂西</w:t>
            </w:r>
            <w:r w:rsidR="00BC0095">
              <w:rPr>
                <w:rFonts w:ascii="宋体" w:eastAsia="宋体" w:hAnsi="宋体" w:cs="宋体"/>
                <w:sz w:val="21"/>
                <w:szCs w:val="21"/>
              </w:rPr>
              <w:t>高速于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015年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2月建成通车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前几年</w:t>
            </w:r>
            <w:r w:rsidR="00BC0095">
              <w:rPr>
                <w:rFonts w:ascii="宋体" w:eastAsia="宋体" w:hAnsi="宋体" w:cs="宋体"/>
                <w:sz w:val="21"/>
                <w:szCs w:val="21"/>
              </w:rPr>
              <w:t>尚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处于培育期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车流量增长缓慢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自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016年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0月试收费以来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017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-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2019年通行费收入增幅明显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020年起受疫情影响明显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023年度随着经济恢复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收入大幅增长</w:t>
            </w:r>
            <w:r w:rsidR="00BC0095">
              <w:rPr>
                <w:rFonts w:ascii="宋体" w:eastAsia="宋体" w:hAnsi="宋体" w:cs="宋体" w:hint="eastAsia"/>
                <w:sz w:val="21"/>
                <w:szCs w:val="21"/>
              </w:rPr>
              <w:t>，呈现逐步稳中向好态势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  <w:p w:rsidR="008E6192" w:rsidRPr="008E6192" w:rsidRDefault="008E6192" w:rsidP="008E6192">
            <w:pPr>
              <w:spacing w:line="360" w:lineRule="auto"/>
              <w:ind w:firstLineChars="200" w:firstLine="42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7</w:t>
            </w:r>
            <w:r w:rsidRPr="008E6192"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Pr="008E6192">
              <w:rPr>
                <w:rFonts w:ascii="宋体" w:eastAsia="宋体" w:hAnsi="宋体" w:cs="宋体" w:hint="eastAsia"/>
                <w:b/>
                <w:sz w:val="21"/>
                <w:szCs w:val="21"/>
              </w:rPr>
              <w:t>二绕西高速的收购初衷？</w:t>
            </w:r>
          </w:p>
          <w:p w:rsidR="00B23549" w:rsidRPr="00935B08" w:rsidRDefault="008E6192" w:rsidP="00EE6195">
            <w:pPr>
              <w:spacing w:line="360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8E6192">
              <w:rPr>
                <w:rFonts w:ascii="宋体" w:eastAsia="宋体" w:hAnsi="宋体" w:cs="宋体"/>
                <w:sz w:val="21"/>
                <w:szCs w:val="21"/>
              </w:rPr>
              <w:t>延长收费里程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扩大主业规模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，提升利润水平。蓉城二绕公司2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023年度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实现营业收入</w:t>
            </w:r>
            <w:r w:rsidR="00EE6195">
              <w:rPr>
                <w:rFonts w:ascii="宋体" w:eastAsia="宋体" w:hAnsi="宋体" w:cs="宋体" w:hint="eastAsia"/>
                <w:sz w:val="21"/>
                <w:szCs w:val="21"/>
              </w:rPr>
              <w:t>约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  <w:r w:rsidRPr="008E6192">
              <w:rPr>
                <w:rFonts w:ascii="宋体" w:eastAsia="宋体" w:hAnsi="宋体" w:cs="宋体"/>
                <w:sz w:val="21"/>
                <w:szCs w:val="21"/>
              </w:rPr>
              <w:t>.8亿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元，净利润</w:t>
            </w:r>
            <w:r w:rsidR="00EE6195">
              <w:rPr>
                <w:rFonts w:ascii="宋体" w:eastAsia="宋体" w:hAnsi="宋体" w:cs="宋体" w:hint="eastAsia"/>
                <w:sz w:val="21"/>
                <w:szCs w:val="21"/>
              </w:rPr>
              <w:t>约</w:t>
            </w:r>
            <w:r w:rsidRPr="008E6192">
              <w:rPr>
                <w:rFonts w:ascii="宋体" w:eastAsia="宋体" w:hAnsi="宋体" w:cs="宋体" w:hint="eastAsia"/>
                <w:sz w:val="21"/>
                <w:szCs w:val="21"/>
              </w:rPr>
              <w:t>2,619.74万元。</w:t>
            </w:r>
          </w:p>
        </w:tc>
      </w:tr>
      <w:tr w:rsidR="0059577A">
        <w:trPr>
          <w:trHeight w:val="561"/>
          <w:jc w:val="center"/>
        </w:trPr>
        <w:tc>
          <w:tcPr>
            <w:tcW w:w="2580" w:type="dxa"/>
            <w:vAlign w:val="center"/>
          </w:tcPr>
          <w:p w:rsidR="0059577A" w:rsidRDefault="00471638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lastRenderedPageBreak/>
              <w:t>附件清单（如有）</w:t>
            </w:r>
          </w:p>
        </w:tc>
        <w:tc>
          <w:tcPr>
            <w:tcW w:w="5945" w:type="dxa"/>
            <w:vAlign w:val="center"/>
          </w:tcPr>
          <w:p w:rsidR="0059577A" w:rsidRDefault="00D561AF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59577A">
        <w:trPr>
          <w:trHeight w:val="558"/>
          <w:jc w:val="center"/>
        </w:trPr>
        <w:tc>
          <w:tcPr>
            <w:tcW w:w="2580" w:type="dxa"/>
            <w:vAlign w:val="center"/>
          </w:tcPr>
          <w:p w:rsidR="0059577A" w:rsidRDefault="00471638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</w:rPr>
              <w:t>日期</w:t>
            </w:r>
          </w:p>
        </w:tc>
        <w:tc>
          <w:tcPr>
            <w:tcW w:w="5945" w:type="dxa"/>
            <w:vAlign w:val="center"/>
          </w:tcPr>
          <w:p w:rsidR="0059577A" w:rsidRDefault="00471638" w:rsidP="00F10A5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202</w:t>
            </w:r>
            <w:r w:rsidR="00F10A58">
              <w:rPr>
                <w:rFonts w:ascii="宋体" w:eastAsia="宋体" w:hAnsi="宋体" w:cs="宋体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年0</w:t>
            </w:r>
            <w:r w:rsidR="00F10A58"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月2</w:t>
            </w:r>
            <w:r w:rsidR="00F10A58">
              <w:rPr>
                <w:rFonts w:ascii="宋体" w:eastAsia="宋体" w:hAnsi="宋体" w:cs="宋体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:rsidR="0059577A" w:rsidRDefault="0059577A">
      <w:pPr>
        <w:rPr>
          <w:rFonts w:ascii="宋体" w:eastAsia="宋体" w:hAnsi="宋体" w:cs="宋体"/>
          <w:sz w:val="28"/>
          <w:szCs w:val="36"/>
        </w:rPr>
      </w:pPr>
    </w:p>
    <w:sectPr w:rsidR="0059577A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A0" w:rsidRDefault="00A905A0" w:rsidP="00A905A0">
      <w:r>
        <w:separator/>
      </w:r>
    </w:p>
  </w:endnote>
  <w:endnote w:type="continuationSeparator" w:id="0">
    <w:p w:rsidR="00A905A0" w:rsidRDefault="00A905A0" w:rsidP="00A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A0" w:rsidRDefault="00A905A0" w:rsidP="00A905A0">
      <w:r>
        <w:separator/>
      </w:r>
    </w:p>
  </w:footnote>
  <w:footnote w:type="continuationSeparator" w:id="0">
    <w:p w:rsidR="00A905A0" w:rsidRDefault="00A905A0" w:rsidP="00A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32"/>
    <w:rsid w:val="00026CC3"/>
    <w:rsid w:val="00036089"/>
    <w:rsid w:val="00053CFA"/>
    <w:rsid w:val="000633EC"/>
    <w:rsid w:val="00063804"/>
    <w:rsid w:val="000665A2"/>
    <w:rsid w:val="000877AB"/>
    <w:rsid w:val="000B7C08"/>
    <w:rsid w:val="000D12CF"/>
    <w:rsid w:val="000D2D88"/>
    <w:rsid w:val="000E4B20"/>
    <w:rsid w:val="0011418F"/>
    <w:rsid w:val="00172C24"/>
    <w:rsid w:val="001E59D1"/>
    <w:rsid w:val="001E5EA4"/>
    <w:rsid w:val="002042A7"/>
    <w:rsid w:val="00205911"/>
    <w:rsid w:val="002146AD"/>
    <w:rsid w:val="00275CB6"/>
    <w:rsid w:val="002800B5"/>
    <w:rsid w:val="00295B29"/>
    <w:rsid w:val="002D4073"/>
    <w:rsid w:val="002E7098"/>
    <w:rsid w:val="00301D32"/>
    <w:rsid w:val="00366FAD"/>
    <w:rsid w:val="0037105B"/>
    <w:rsid w:val="003975BA"/>
    <w:rsid w:val="003A74E6"/>
    <w:rsid w:val="003B73DD"/>
    <w:rsid w:val="003C3454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71638"/>
    <w:rsid w:val="004925E7"/>
    <w:rsid w:val="00495B11"/>
    <w:rsid w:val="004F6FF3"/>
    <w:rsid w:val="00534833"/>
    <w:rsid w:val="00571B49"/>
    <w:rsid w:val="005743AE"/>
    <w:rsid w:val="0059577A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4281"/>
    <w:rsid w:val="007D6DC4"/>
    <w:rsid w:val="007E57D0"/>
    <w:rsid w:val="007F67F6"/>
    <w:rsid w:val="00853463"/>
    <w:rsid w:val="00893F25"/>
    <w:rsid w:val="00895035"/>
    <w:rsid w:val="008A0AEA"/>
    <w:rsid w:val="008B2B14"/>
    <w:rsid w:val="008C6AED"/>
    <w:rsid w:val="008C7604"/>
    <w:rsid w:val="008E1B27"/>
    <w:rsid w:val="008E6192"/>
    <w:rsid w:val="00903379"/>
    <w:rsid w:val="00906975"/>
    <w:rsid w:val="00917F0B"/>
    <w:rsid w:val="00917F8B"/>
    <w:rsid w:val="00935B08"/>
    <w:rsid w:val="00960964"/>
    <w:rsid w:val="00965E4D"/>
    <w:rsid w:val="00973294"/>
    <w:rsid w:val="009B1D5C"/>
    <w:rsid w:val="009C2E31"/>
    <w:rsid w:val="009E1955"/>
    <w:rsid w:val="00A527AA"/>
    <w:rsid w:val="00A5684D"/>
    <w:rsid w:val="00A75C61"/>
    <w:rsid w:val="00A905A0"/>
    <w:rsid w:val="00A9601B"/>
    <w:rsid w:val="00AD100E"/>
    <w:rsid w:val="00AE1E36"/>
    <w:rsid w:val="00AF74AA"/>
    <w:rsid w:val="00B03C2F"/>
    <w:rsid w:val="00B15064"/>
    <w:rsid w:val="00B23549"/>
    <w:rsid w:val="00B340A3"/>
    <w:rsid w:val="00B410F5"/>
    <w:rsid w:val="00B6280C"/>
    <w:rsid w:val="00B671A4"/>
    <w:rsid w:val="00B72CD4"/>
    <w:rsid w:val="00B85B00"/>
    <w:rsid w:val="00BC0095"/>
    <w:rsid w:val="00BF132F"/>
    <w:rsid w:val="00C13878"/>
    <w:rsid w:val="00C22EC5"/>
    <w:rsid w:val="00CA1705"/>
    <w:rsid w:val="00CE1A54"/>
    <w:rsid w:val="00CF5FB6"/>
    <w:rsid w:val="00D02518"/>
    <w:rsid w:val="00D17454"/>
    <w:rsid w:val="00D33FBC"/>
    <w:rsid w:val="00D561AF"/>
    <w:rsid w:val="00D7535C"/>
    <w:rsid w:val="00D76302"/>
    <w:rsid w:val="00DA5CE2"/>
    <w:rsid w:val="00DE10E8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E6195"/>
    <w:rsid w:val="00EF499B"/>
    <w:rsid w:val="00F10A58"/>
    <w:rsid w:val="00F14977"/>
    <w:rsid w:val="00F61984"/>
    <w:rsid w:val="00FA178F"/>
    <w:rsid w:val="00FB4A08"/>
    <w:rsid w:val="00FC0C2A"/>
    <w:rsid w:val="00FD7F8E"/>
    <w:rsid w:val="00FF11E4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A67110"/>
    <w:rsid w:val="1864189B"/>
    <w:rsid w:val="18D73A7D"/>
    <w:rsid w:val="19557370"/>
    <w:rsid w:val="1BD06B6A"/>
    <w:rsid w:val="1F782BDE"/>
    <w:rsid w:val="23317869"/>
    <w:rsid w:val="25650CAE"/>
    <w:rsid w:val="26406598"/>
    <w:rsid w:val="28080056"/>
    <w:rsid w:val="28734C1A"/>
    <w:rsid w:val="28C72DDD"/>
    <w:rsid w:val="29EE0E64"/>
    <w:rsid w:val="2EF90F16"/>
    <w:rsid w:val="2F125C63"/>
    <w:rsid w:val="302C3D0A"/>
    <w:rsid w:val="33DE31BB"/>
    <w:rsid w:val="389C49C0"/>
    <w:rsid w:val="39BC78F4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A666D76"/>
    <w:rsid w:val="5B2253C2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72446028"/>
    <w:rsid w:val="73076EC0"/>
    <w:rsid w:val="74210CA6"/>
    <w:rsid w:val="788C25F5"/>
    <w:rsid w:val="79F72AA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4F5B561-6347-4954-9530-74545A6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0F910-F343-4EF0-B77B-E3F2976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1074</Words>
  <Characters>225</Characters>
  <Application>Microsoft Office Word</Application>
  <DocSecurity>0</DocSecurity>
  <Lines>1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李宣</cp:lastModifiedBy>
  <cp:revision>21</cp:revision>
  <dcterms:created xsi:type="dcterms:W3CDTF">2022-04-12T06:10:00Z</dcterms:created>
  <dcterms:modified xsi:type="dcterms:W3CDTF">2024-03-28T09:21:00Z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57D148DF2F764966BF4E1C38A6255FA2</vt:lpwstr>
  </property>
</Properties>
</file>