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color w:val="000000"/>
          <w:sz w:val="28"/>
        </w:rPr>
      </w:pPr>
      <w:r>
        <w:rPr>
          <w:rFonts w:ascii="仿宋" w:hAnsi="仿宋" w:eastAsia="仿宋" w:cs="仿宋"/>
          <w:color w:val="000000"/>
          <w:sz w:val="28"/>
        </w:rPr>
        <w:t>证券代码：688187                         证券简称：时代电气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color w:val="000000"/>
          <w:sz w:val="32"/>
        </w:rPr>
      </w:pPr>
      <w:r>
        <w:rPr>
          <w:rFonts w:ascii="华文中宋" w:hAnsi="华文中宋" w:eastAsia="华文中宋" w:cs="华文中宋"/>
          <w:b/>
          <w:color w:val="000000"/>
          <w:sz w:val="32"/>
        </w:rPr>
        <w:t>株洲中车时代电气股份有限公司投资者关系活动记录表</w:t>
      </w:r>
    </w:p>
    <w:p>
      <w:pPr>
        <w:spacing w:line="560" w:lineRule="auto"/>
        <w:rPr>
          <w:rFonts w:ascii="仿宋" w:hAnsi="仿宋" w:eastAsia="仿宋" w:cs="仿宋"/>
          <w:color w:val="000000"/>
          <w:sz w:val="28"/>
        </w:rPr>
      </w:pPr>
      <w:r>
        <w:rPr>
          <w:rFonts w:ascii="仿宋" w:hAnsi="仿宋" w:eastAsia="仿宋" w:cs="仿宋"/>
          <w:color w:val="000000"/>
          <w:sz w:val="28"/>
        </w:rPr>
        <w:t xml:space="preserve">                                              编号：202</w:t>
      </w:r>
      <w:r>
        <w:rPr>
          <w:rFonts w:hint="eastAsia" w:ascii="仿宋" w:hAnsi="仿宋" w:eastAsia="仿宋" w:cs="仿宋"/>
          <w:color w:val="000000"/>
          <w:sz w:val="28"/>
        </w:rPr>
        <w:t>4</w:t>
      </w:r>
      <w:r>
        <w:rPr>
          <w:rFonts w:ascii="仿宋" w:hAnsi="仿宋" w:eastAsia="仿宋" w:cs="仿宋"/>
          <w:color w:val="000000"/>
          <w:sz w:val="28"/>
        </w:rPr>
        <w:t>00</w:t>
      </w:r>
      <w:r>
        <w:rPr>
          <w:rFonts w:hint="eastAsia" w:ascii="仿宋" w:hAnsi="仿宋" w:eastAsia="仿宋" w:cs="仿宋"/>
          <w:color w:val="000000"/>
          <w:sz w:val="28"/>
        </w:rPr>
        <w:t>1</w:t>
      </w:r>
    </w:p>
    <w:tbl>
      <w:tblPr>
        <w:tblStyle w:val="8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65"/>
        <w:gridCol w:w="49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投资者关系活动类别</w:t>
            </w:r>
          </w:p>
          <w:p>
            <w:pPr>
              <w:spacing w:line="560" w:lineRule="auto"/>
            </w:pP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□特定对象调研     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sym w:font="Wingdings 2" w:char="0052"/>
            </w:r>
            <w:r>
              <w:rPr>
                <w:rFonts w:ascii="仿宋" w:hAnsi="仿宋" w:eastAsia="仿宋" w:cs="仿宋"/>
                <w:color w:val="000000"/>
                <w:sz w:val="24"/>
              </w:rPr>
              <w:t>分析师会议</w:t>
            </w:r>
          </w:p>
          <w:p>
            <w:pPr>
              <w:spacing w:line="5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□媒体采访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sym w:font="Wingdings 2" w:char="00A3"/>
            </w:r>
            <w:r>
              <w:rPr>
                <w:rFonts w:ascii="仿宋" w:hAnsi="仿宋" w:eastAsia="仿宋" w:cs="仿宋"/>
                <w:color w:val="000000"/>
                <w:sz w:val="24"/>
              </w:rPr>
              <w:t>业绩说明会</w:t>
            </w:r>
          </w:p>
          <w:p>
            <w:pPr>
              <w:spacing w:line="5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□新闻发布会          □路演活动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color w:val="000000"/>
                <w:sz w:val="24"/>
              </w:rPr>
              <w:t>现场参观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auto"/>
            </w:pPr>
            <w:r>
              <w:rPr>
                <w:rFonts w:ascii="仿宋" w:hAnsi="仿宋" w:eastAsia="仿宋" w:cs="仿宋"/>
                <w:color w:val="000000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其他 </w:t>
            </w:r>
            <w:r>
              <w:rPr>
                <w:rFonts w:ascii="仿宋" w:hAnsi="仿宋" w:eastAsia="仿宋" w:cs="仿宋"/>
                <w:color w:val="000000"/>
                <w:sz w:val="24"/>
                <w:u w:val="single"/>
              </w:rPr>
              <w:t>（请文字说明其他活动内容）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参与单位名称及人员姓名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r>
              <w:rPr>
                <w:rFonts w:hint="eastAsia" w:ascii="仿宋" w:hAnsi="仿宋" w:eastAsia="仿宋" w:cs="仿宋"/>
                <w:color w:val="000000"/>
                <w:sz w:val="24"/>
              </w:rPr>
              <w:t>长江证券、中信证券、广发证券、中泰证券、民生证券、光大证券、申万宏源证券、天风证券、中信里昂、中邮证券、德邦证券、国信证券、财信证券、英大证券、JP Morgan Asset Management、UBS Asset Management、Point72、中银基金、嘉实基金、博时基金、鹏华基金、广发基金、汇添富基金、富国基金、民生加银基金、安信基金、国泰基金、南方基金、农银汇理基金、东方基金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70多名投资者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28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17:10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地点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会议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上市公司接待人员姓名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r>
              <w:rPr>
                <w:rFonts w:hint="eastAsia" w:ascii="仿宋" w:hAnsi="仿宋" w:eastAsia="仿宋" w:cs="仿宋"/>
                <w:color w:val="000000"/>
                <w:sz w:val="24"/>
              </w:rPr>
              <w:t>执行董事兼总经理尚敬先生，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副总经理兼财务总监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孙珊女士，董事会秘书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龙芙蓉女士。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投资者关系活动主要内容介绍</w:t>
            </w:r>
          </w:p>
          <w:p>
            <w:pPr>
              <w:spacing w:line="560" w:lineRule="auto"/>
            </w:pP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问答环节主要内容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：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问题1：今年国家有关设备更新的相关政策在持续落地，涉及老旧内燃机车淘汰、动车组的维修等，公司的技术储备、产能储备和收入订单展望如何？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回答：技术储备方面，公司一直在推进。铁路设备更新具体的方案我们要看国铁集团在这方面需求的更新。产能方面不用太担心，公司的调配力度是不错的。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问题2：动车维修业务情况如何？对客运量需求的展望如何？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公司轨道交通维修业务收入2023年相对2022年增幅超过50%，在维修装备方面，我们市占率约50%。2024年展望方面，铁总的第一次招标还没出来，2023年最后一次招标55列，我们做了不错的交付。2024年相对2023年，动车业务整体稳中有升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问题3：去年55列的动车订单什么时候确认收入？</w:t>
            </w:r>
          </w:p>
          <w:p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回答：55列是一整个招标的数量，还需考虑市占率，我们分别在2023年第四季度和2024年第一季度交付了。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问题4：半导体业务方面是否有产能瓶颈？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半导体业务方面，宜兴、株洲两地产线（IGBT三期）建设在推进，宜兴产线今年下半年开始试生产，株洲原有产线（IGBT一期、IGBT二期）在提升产品良率、芯片产出率，整个半导体业务依然会保持快速增长的态势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问题5：2023年功率半导体收入是否可以进行拆分？汽车、光伏、电网用的IGBT价格趋势如何？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2023年半导体子公司收入36.37亿，双极器件3.9亿左右，IGBT产品32.42亿左右，其中高压产品6.13亿，中低压产品26.29亿元。2023年IGBT产品全年价格比较平稳，2024年价格方面接受市场的挑战，公司不惧怕这方面的竞争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问题6：机车业务2024年展望？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回答：需要看到国铁集团更明确的需求。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问题7：IGBT中低压收入可否进一步拆分？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回答：无法进一步拆分，公司2023年IGBT装车100多万辆。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问题8：维修2023年占比多少？按产品如何拆分？维修业务未来展望如何？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回答：2023年维修收入约18亿，城轨相对少一点，剩余的，机车与动车各一半左右。维修业务近两年机车、动车的增速会更明显，但对城轨未来也抱有信心。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问题9：城轨车辆维修情况如何？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回答：这不是一个统一标准的市场，各地不一。公司有去积极争取，也希望拿到整线维修的订单。北上广深一些线路的车辆进入生命周期中后段，故障率逐步攀升。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问题10：新兴业务板块的盈利水平？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回答：新兴装备业务毛利率28%左右，同比有增。半导体子公司2023年盈利10亿左右，其余业务（工业变流、新能源汽车电驱、传感器件、海工装备）有盈有亏，加起来亏损2亿左右。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问题11：半导体领域如何看待产能过剩带来的不确定性？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回答：面对市场的竞争，我们有信心去做到更好的表现。IDM公司可控环节会更多，我们也会做提升。也会希望在某一些行业获得更多订单，今年有增长的领域如电网等，我们希望会有较好的收获。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问题12：株洲碳化硅产线目前情况？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回答：目前升级6寸线，年产2.5万片。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问题13：碳化硅会做8寸线吗？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过去两年，碳化硅芯片性能与行业头部公司相比还有些差距，目前达到了平行的状态。未来会积极研究新产线的建设。6寸、8寸的碳化硅产线和IGBT产线，有差异的设备很少，大部分是兼容的。产线的建设对我们来说，不是很难的问题，还是关心碳化硅芯片产品的性能提升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问题14：公司在未来更注重IGBT还是碳化硅？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回答：我们判断碳化硅和IGBT在未来很长的时间内共存。包括像特斯拉的一些新技术路线，我们也会和国内的车厂做碳化硅和IGBT的并行方案。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问题15：有没有车主驱客户？价格如何？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回答：有定点的客户，价格不方便透露。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问题16：动车四级修和五级修的价值量？多久修一次？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回答：不同订单价值量有差异。检修按A3 450万公里，A5 600万公里来。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问题17：轨道交通板块的净利润？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回答：利润水平与历史数据类似。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问题18：今年功率半导体还有扩产计划吗？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回答：宜兴产线2024年会完成设备安装，然后试生产，满产年产能为36万片8英寸中低压组件基材。同时2023年底完成了6寸2.5万片碳化硅产线升级。今年半导体业务的主要营收还是来自双极器件和IGBT。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问题19：宜兴产线年底能贡献多少产能？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回答：希望产能拉升过程比IGBT一期、二期更快一点，具体数量无法预计。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问题20：车配套的功率半导体是在主驱还是OBC？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回答：主要聚焦主驱。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问题21：轨道交通装备业务拆分？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轨道交通电气装备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业务方面，城轨与大铁大约各占一半，大铁里，动车与机车大约各占一半。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问题22：半导体业务方面利润高是因为提价还是稼动率提升？会考虑外购芯片吗？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回答：2023年产能利用率提升、良率提升、降本增效、工艺提升等都有促进利润。目前没有外购芯片进行封装的计划。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问题23：轨道交通装备业务拆分？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回答：轨交业务方面，城轨与大铁大约各占一半，大铁里，动车与机车大约各占一半。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问题24：矿卡业务情况？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回答：我们一直关注矿山领域，从事矿卡电驱动很多年了，是国内主流玩家。无人驾驶方面，也在积极拓展项目。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问题25：传感器的胎压轮速等产品研发是否完成？收入增量是多少？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回答：交付以电量传感器为主，去年千万级别的交付给我们团队压力很大，主要精力还是投入在这方面。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问题26：刚刚提到的亏损业务是哪些业务？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回答：主要是新能源汽车电驱业务，传感器件、深海机器人等盈利都还不错。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问题27：五级修、四级修和新车的价值量差不多？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回答：不是价值量差不多，是利润率差不多。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问题28：大修的时候是否要更换牵引系统？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我们一直关注大修市场，地铁一些线路上之前是用国外的系统，十几年后，就要做整体更换了，有些业主就干脆整体换新了，我们也有这样的几个项目。机车、动车在未来2-3年是高级修的高峰期。我们也在和国铁集团探讨修程修制，目前还没有明确的结论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问题29：新造、五级修上面我们的价值量？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回答：新造的话，动车千万级、机车百万级，维修的方式太多了，没办法阐述。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问题30：矿卡的收入水平？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回答：2023年全年收入水平在千万级。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问题31：矿卡给徐工或三一的产品大概价值量？</w:t>
            </w:r>
          </w:p>
          <w:p>
            <w:r>
              <w:rPr>
                <w:rFonts w:hint="eastAsia" w:ascii="仿宋" w:hAnsi="仿宋" w:eastAsia="仿宋" w:cs="仿宋"/>
                <w:color w:val="000000"/>
                <w:sz w:val="24"/>
              </w:rPr>
              <w:t>回答：这个是看产品车型吨位，几十吨到几百吨都有，价值量差很多。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auto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附件清单（如有）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auto"/>
            </w:pPr>
            <w:r>
              <w:rPr>
                <w:rFonts w:ascii="仿宋" w:hAnsi="仿宋" w:eastAsia="仿宋" w:cs="仿宋"/>
                <w:color w:val="000000"/>
                <w:sz w:val="24"/>
              </w:rPr>
              <w:t>日期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560" w:lineRule="auto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2024年3月29日</w:t>
            </w:r>
          </w:p>
        </w:tc>
      </w:tr>
    </w:tbl>
    <w:p>
      <w:pPr>
        <w:rPr>
          <w:rFonts w:ascii="仿宋" w:hAnsi="仿宋" w:eastAsia="仿宋" w:cs="仿宋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 w:val="1"/>
  <w:documentProtection w:enforcement="0"/>
  <w:defaultTabStop w:val="4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0275"/>
    <w:rsid w:val="00084E27"/>
    <w:rsid w:val="000E25B7"/>
    <w:rsid w:val="0011146D"/>
    <w:rsid w:val="001210AD"/>
    <w:rsid w:val="00216D5D"/>
    <w:rsid w:val="003760BB"/>
    <w:rsid w:val="00382982"/>
    <w:rsid w:val="003838D8"/>
    <w:rsid w:val="003977D3"/>
    <w:rsid w:val="00406FA4"/>
    <w:rsid w:val="00427572"/>
    <w:rsid w:val="00447BFD"/>
    <w:rsid w:val="004D051C"/>
    <w:rsid w:val="00514DA4"/>
    <w:rsid w:val="005E348A"/>
    <w:rsid w:val="005F43A5"/>
    <w:rsid w:val="00652B54"/>
    <w:rsid w:val="00661978"/>
    <w:rsid w:val="00797149"/>
    <w:rsid w:val="00797C75"/>
    <w:rsid w:val="007B0275"/>
    <w:rsid w:val="007D7521"/>
    <w:rsid w:val="008351B4"/>
    <w:rsid w:val="00874F92"/>
    <w:rsid w:val="008B0013"/>
    <w:rsid w:val="009E091E"/>
    <w:rsid w:val="00A461D4"/>
    <w:rsid w:val="00A5322E"/>
    <w:rsid w:val="00AE3EA0"/>
    <w:rsid w:val="00BA491A"/>
    <w:rsid w:val="00BB6FDE"/>
    <w:rsid w:val="00C20268"/>
    <w:rsid w:val="00CD1308"/>
    <w:rsid w:val="00D14383"/>
    <w:rsid w:val="00D4143E"/>
    <w:rsid w:val="00DC0530"/>
    <w:rsid w:val="00F830EB"/>
    <w:rsid w:val="00F9425A"/>
    <w:rsid w:val="00FC01CC"/>
    <w:rsid w:val="04130FE4"/>
    <w:rsid w:val="061B6BB8"/>
    <w:rsid w:val="077A6B8B"/>
    <w:rsid w:val="086504A5"/>
    <w:rsid w:val="093B2D2A"/>
    <w:rsid w:val="093E76DB"/>
    <w:rsid w:val="0A625F3E"/>
    <w:rsid w:val="0BED31D4"/>
    <w:rsid w:val="0C1912A3"/>
    <w:rsid w:val="0F3B12C8"/>
    <w:rsid w:val="107C02E7"/>
    <w:rsid w:val="11670FE5"/>
    <w:rsid w:val="123831CA"/>
    <w:rsid w:val="129C37EA"/>
    <w:rsid w:val="136342D4"/>
    <w:rsid w:val="13FF042A"/>
    <w:rsid w:val="140F7D22"/>
    <w:rsid w:val="173F7C7F"/>
    <w:rsid w:val="19FA3CE1"/>
    <w:rsid w:val="1AB417B2"/>
    <w:rsid w:val="1BC43683"/>
    <w:rsid w:val="1BCB40E8"/>
    <w:rsid w:val="1EBC33B5"/>
    <w:rsid w:val="1ECF5855"/>
    <w:rsid w:val="1F867F88"/>
    <w:rsid w:val="2081135C"/>
    <w:rsid w:val="2125671E"/>
    <w:rsid w:val="222F44A7"/>
    <w:rsid w:val="228D7242"/>
    <w:rsid w:val="22EF2A76"/>
    <w:rsid w:val="22F15ABE"/>
    <w:rsid w:val="23450E4B"/>
    <w:rsid w:val="23770F2E"/>
    <w:rsid w:val="24AB1858"/>
    <w:rsid w:val="25703FAC"/>
    <w:rsid w:val="25AA00CB"/>
    <w:rsid w:val="287659AD"/>
    <w:rsid w:val="29B95405"/>
    <w:rsid w:val="2A50149F"/>
    <w:rsid w:val="2BBA78BC"/>
    <w:rsid w:val="2C9A2B24"/>
    <w:rsid w:val="2F4C069D"/>
    <w:rsid w:val="30240F03"/>
    <w:rsid w:val="309371E5"/>
    <w:rsid w:val="30D14499"/>
    <w:rsid w:val="32724D27"/>
    <w:rsid w:val="36AD19E2"/>
    <w:rsid w:val="36BB11F0"/>
    <w:rsid w:val="379076DC"/>
    <w:rsid w:val="3C81510F"/>
    <w:rsid w:val="3CEE0EBD"/>
    <w:rsid w:val="3F3015E4"/>
    <w:rsid w:val="3F3E4D80"/>
    <w:rsid w:val="40D17FF9"/>
    <w:rsid w:val="41F17CF7"/>
    <w:rsid w:val="42653A68"/>
    <w:rsid w:val="43C478C1"/>
    <w:rsid w:val="442178E2"/>
    <w:rsid w:val="44542AB6"/>
    <w:rsid w:val="449066D8"/>
    <w:rsid w:val="44CA5EED"/>
    <w:rsid w:val="464D4F34"/>
    <w:rsid w:val="48EF6855"/>
    <w:rsid w:val="4A692DFC"/>
    <w:rsid w:val="4AC8612D"/>
    <w:rsid w:val="4C1C299B"/>
    <w:rsid w:val="4C3803A1"/>
    <w:rsid w:val="52110625"/>
    <w:rsid w:val="553A0A18"/>
    <w:rsid w:val="560D6FAC"/>
    <w:rsid w:val="56D94DE8"/>
    <w:rsid w:val="58EA7192"/>
    <w:rsid w:val="5AD00A7F"/>
    <w:rsid w:val="5BC164AA"/>
    <w:rsid w:val="5D6946C4"/>
    <w:rsid w:val="5EAA5897"/>
    <w:rsid w:val="5F06110D"/>
    <w:rsid w:val="60495478"/>
    <w:rsid w:val="60E05139"/>
    <w:rsid w:val="61A236D4"/>
    <w:rsid w:val="620174AD"/>
    <w:rsid w:val="6600223F"/>
    <w:rsid w:val="66B66CB2"/>
    <w:rsid w:val="6A5D66F9"/>
    <w:rsid w:val="6BA06743"/>
    <w:rsid w:val="6BF571B5"/>
    <w:rsid w:val="6D417912"/>
    <w:rsid w:val="6F2C1A92"/>
    <w:rsid w:val="726A67B9"/>
    <w:rsid w:val="730F13B2"/>
    <w:rsid w:val="73E07940"/>
    <w:rsid w:val="76194155"/>
    <w:rsid w:val="761E47FA"/>
    <w:rsid w:val="77BF1DBE"/>
    <w:rsid w:val="7A1A39B6"/>
    <w:rsid w:val="7A2F1483"/>
    <w:rsid w:val="7A687712"/>
    <w:rsid w:val="7B231F26"/>
    <w:rsid w:val="7C6815EE"/>
    <w:rsid w:val="7CDB54C9"/>
    <w:rsid w:val="7FFB78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文字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475</Words>
  <Characters>2708</Characters>
  <Lines>22</Lines>
  <Paragraphs>6</Paragraphs>
  <TotalTime>33</TotalTime>
  <ScaleCrop>false</ScaleCrop>
  <LinksUpToDate>false</LinksUpToDate>
  <CharactersWithSpaces>3177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2024-03-29T01:26:00Z</dcterms:created>
  <dc:creator>20095035</dc:creator>
  <cp:lastModifiedBy>20095035</cp:lastModifiedBy>
  <dcterms:modified xsi:type="dcterms:W3CDTF">2024-03-29T09:07:54Z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