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outlineLvl w:val="1"/>
        <w:rPr>
          <w:rFonts w:hint="eastAsia" w:ascii="宋体" w:hAnsi="宋体"/>
          <w:b/>
          <w:bCs/>
          <w:iCs/>
          <w:sz w:val="24"/>
          <w:szCs w:val="24"/>
        </w:rPr>
      </w:pPr>
      <w:r>
        <w:rPr>
          <w:rFonts w:hint="eastAsia" w:ascii="宋体" w:hAnsi="宋体"/>
          <w:b/>
          <w:bCs/>
          <w:iCs/>
          <w:sz w:val="24"/>
          <w:szCs w:val="24"/>
        </w:rPr>
        <w:t>证券代码：688621                                证券简称：阳光诺和</w:t>
      </w:r>
    </w:p>
    <w:p>
      <w:pPr>
        <w:keepNext/>
        <w:keepLines/>
        <w:spacing w:before="20" w:after="20"/>
        <w:jc w:val="center"/>
        <w:outlineLvl w:val="1"/>
        <w:rPr>
          <w:rFonts w:hint="eastAsia" w:ascii="宋体" w:hAnsi="宋体"/>
          <w:b/>
          <w:bCs/>
          <w:sz w:val="36"/>
          <w:szCs w:val="36"/>
        </w:rPr>
      </w:pPr>
      <w:r>
        <w:rPr>
          <w:rFonts w:hint="eastAsia" w:ascii="宋体" w:hAnsi="宋体"/>
          <w:b/>
          <w:sz w:val="36"/>
          <w:szCs w:val="36"/>
        </w:rPr>
        <w:t>北京阳光诺和药物研究</w:t>
      </w:r>
      <w:r>
        <w:rPr>
          <w:rFonts w:hint="eastAsia" w:ascii="宋体" w:hAnsi="宋体"/>
          <w:b/>
          <w:bCs/>
          <w:sz w:val="36"/>
          <w:szCs w:val="36"/>
        </w:rPr>
        <w:t>股份有限公司</w:t>
      </w:r>
    </w:p>
    <w:p>
      <w:pPr>
        <w:keepNext/>
        <w:keepLines/>
        <w:spacing w:before="20" w:after="20"/>
        <w:jc w:val="center"/>
        <w:outlineLvl w:val="1"/>
        <w:rPr>
          <w:rFonts w:ascii="宋体" w:hAnsi="宋体"/>
          <w:b/>
          <w:bCs/>
          <w:sz w:val="36"/>
          <w:szCs w:val="36"/>
        </w:rPr>
      </w:pPr>
      <w:r>
        <w:rPr>
          <w:rFonts w:hint="eastAsia" w:ascii="宋体" w:hAnsi="宋体"/>
          <w:b/>
          <w:bCs/>
          <w:sz w:val="36"/>
          <w:szCs w:val="36"/>
        </w:rPr>
        <w:t>投资者关系活动记录表</w:t>
      </w:r>
    </w:p>
    <w:p>
      <w:pPr>
        <w:spacing w:line="360" w:lineRule="auto"/>
        <w:jc w:val="center"/>
        <w:rPr>
          <w:rFonts w:ascii="宋体" w:hAnsi="宋体"/>
          <w:b/>
          <w:iCs/>
          <w:sz w:val="24"/>
          <w:szCs w:val="24"/>
        </w:rPr>
      </w:pPr>
      <w:r>
        <w:rPr>
          <w:rFonts w:hint="eastAsia" w:ascii="宋体" w:hAnsi="宋体"/>
          <w:b/>
          <w:iCs/>
          <w:sz w:val="24"/>
          <w:szCs w:val="24"/>
        </w:rPr>
        <w:t>（20</w:t>
      </w:r>
      <w:r>
        <w:rPr>
          <w:rFonts w:ascii="宋体" w:hAnsi="宋体"/>
          <w:b/>
          <w:iCs/>
          <w:sz w:val="24"/>
          <w:szCs w:val="24"/>
        </w:rPr>
        <w:t>2</w:t>
      </w:r>
      <w:r>
        <w:rPr>
          <w:rFonts w:hint="eastAsia" w:ascii="宋体" w:hAnsi="宋体"/>
          <w:b/>
          <w:iCs/>
          <w:sz w:val="24"/>
          <w:szCs w:val="24"/>
          <w:lang w:val="en-US" w:eastAsia="zh-CN"/>
        </w:rPr>
        <w:t>4</w:t>
      </w:r>
      <w:r>
        <w:rPr>
          <w:rFonts w:hint="eastAsia" w:ascii="宋体" w:hAnsi="宋体"/>
          <w:b/>
          <w:iCs/>
          <w:sz w:val="24"/>
          <w:szCs w:val="24"/>
        </w:rPr>
        <w:t>年</w:t>
      </w:r>
      <w:r>
        <w:rPr>
          <w:rFonts w:hint="eastAsia" w:ascii="宋体" w:hAnsi="宋体"/>
          <w:b/>
          <w:iCs/>
          <w:sz w:val="24"/>
          <w:szCs w:val="24"/>
          <w:lang w:val="en-US" w:eastAsia="zh-CN"/>
        </w:rPr>
        <w:t>3</w:t>
      </w:r>
      <w:r>
        <w:rPr>
          <w:rFonts w:hint="eastAsia" w:ascii="宋体" w:hAnsi="宋体"/>
          <w:b/>
          <w:iCs/>
          <w:sz w:val="24"/>
          <w:szCs w:val="24"/>
        </w:rPr>
        <w:t>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ascii="宋体" w:hAnsi="宋体"/>
                <w:b/>
                <w:bCs/>
                <w:iCs/>
                <w:sz w:val="24"/>
                <w:szCs w:val="24"/>
              </w:rPr>
            </w:pPr>
            <w:r>
              <w:rPr>
                <w:rFonts w:hint="eastAsia" w:ascii="宋体" w:hAnsi="宋体"/>
                <w:b/>
                <w:bCs/>
                <w:iCs/>
                <w:sz w:val="24"/>
                <w:szCs w:val="24"/>
              </w:rPr>
              <w:t>投资者关系活动类别</w:t>
            </w:r>
          </w:p>
        </w:tc>
        <w:tc>
          <w:tcPr>
            <w:tcW w:w="6203" w:type="dxa"/>
            <w:noWrap w:val="0"/>
            <w:vAlign w:val="center"/>
          </w:tcPr>
          <w:p>
            <w:pPr>
              <w:spacing w:line="360" w:lineRule="auto"/>
              <w:rPr>
                <w:rFonts w:ascii="宋体" w:hAnsi="宋体"/>
                <w:bCs/>
                <w:iCs/>
                <w:sz w:val="24"/>
                <w:szCs w:val="24"/>
              </w:rPr>
            </w:pPr>
            <w:r>
              <w:rPr>
                <w:rFonts w:hint="eastAsia" w:ascii="宋体" w:hAnsi="宋体"/>
                <w:bCs/>
                <w:iCs/>
                <w:sz w:val="24"/>
                <w:szCs w:val="24"/>
              </w:rPr>
              <w:sym w:font="Wingdings 2" w:char="0052"/>
            </w:r>
            <w:r>
              <w:rPr>
                <w:rFonts w:hint="eastAsia" w:ascii="宋体" w:hAnsi="宋体"/>
                <w:sz w:val="24"/>
                <w:szCs w:val="24"/>
              </w:rPr>
              <w:t xml:space="preserve">特定对象调研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bCs/>
                <w:iCs/>
                <w:sz w:val="24"/>
                <w:szCs w:val="24"/>
              </w:rPr>
              <w:sym w:font="Wingdings 2" w:char="00A3"/>
            </w:r>
            <w:r>
              <w:rPr>
                <w:rFonts w:hint="eastAsia" w:ascii="宋体" w:hAnsi="宋体"/>
                <w:sz w:val="24"/>
                <w:szCs w:val="24"/>
              </w:rPr>
              <w:t>分析师会议</w:t>
            </w:r>
          </w:p>
          <w:p>
            <w:pPr>
              <w:spacing w:line="360" w:lineRule="auto"/>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sym w:font="Wingdings 2" w:char="00A3"/>
            </w:r>
            <w:r>
              <w:rPr>
                <w:rFonts w:hint="eastAsia" w:ascii="宋体" w:hAnsi="宋体"/>
                <w:sz w:val="24"/>
                <w:szCs w:val="24"/>
              </w:rPr>
              <w:t>业绩说明会</w:t>
            </w:r>
          </w:p>
          <w:p>
            <w:pPr>
              <w:spacing w:line="360" w:lineRule="auto"/>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360" w:lineRule="auto"/>
              <w:rPr>
                <w:rFonts w:ascii="宋体" w:hAnsi="宋体"/>
                <w:bCs/>
                <w:iCs/>
                <w:sz w:val="24"/>
                <w:szCs w:val="24"/>
              </w:rPr>
            </w:pPr>
            <w:r>
              <w:rPr>
                <w:rFonts w:hint="eastAsia" w:ascii="宋体" w:hAnsi="宋体"/>
                <w:bCs/>
                <w:iCs/>
                <w:sz w:val="24"/>
                <w:szCs w:val="24"/>
              </w:rPr>
              <w:sym w:font="Wingdings 2" w:char="F0A3"/>
            </w:r>
            <w:r>
              <w:rPr>
                <w:rFonts w:hint="eastAsia" w:ascii="宋体" w:hAnsi="宋体"/>
                <w:sz w:val="24"/>
                <w:szCs w:val="24"/>
              </w:rPr>
              <w:t>现场参观</w:t>
            </w:r>
            <w:r>
              <w:rPr>
                <w:rFonts w:ascii="宋体" w:hAnsi="宋体"/>
                <w:bCs/>
                <w:iCs/>
                <w:sz w:val="24"/>
                <w:szCs w:val="24"/>
              </w:rPr>
              <w:tab/>
            </w:r>
          </w:p>
          <w:p>
            <w:pPr>
              <w:tabs>
                <w:tab w:val="center" w:pos="3199"/>
              </w:tabs>
              <w:spacing w:line="360" w:lineRule="auto"/>
              <w:rPr>
                <w:rFonts w:hint="eastAsia" w:ascii="宋体" w:hAnsi="宋体"/>
                <w:bCs/>
                <w:iCs/>
                <w:sz w:val="24"/>
                <w:szCs w:val="24"/>
              </w:rPr>
            </w:pPr>
            <w:r>
              <w:rPr>
                <w:rFonts w:hint="eastAsia" w:ascii="宋体" w:hAnsi="宋体"/>
                <w:bCs/>
                <w:iCs/>
                <w:sz w:val="24"/>
                <w:szCs w:val="24"/>
              </w:rPr>
              <w:sym w:font="Wingdings 2" w:char="00A3"/>
            </w:r>
            <w:r>
              <w:rPr>
                <w:rFonts w:hint="eastAsia" w:ascii="宋体" w:hAnsi="宋体"/>
                <w:sz w:val="24"/>
                <w:szCs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hint="eastAsia" w:ascii="宋体" w:hAnsi="宋体"/>
                <w:b/>
                <w:bCs/>
                <w:iCs/>
                <w:sz w:val="24"/>
                <w:szCs w:val="24"/>
              </w:rPr>
            </w:pPr>
            <w:r>
              <w:rPr>
                <w:rFonts w:hint="eastAsia" w:ascii="宋体" w:hAnsi="宋体"/>
                <w:b/>
                <w:bCs/>
                <w:iCs/>
                <w:sz w:val="24"/>
                <w:szCs w:val="24"/>
              </w:rPr>
              <w:t>参与单位名称</w:t>
            </w:r>
          </w:p>
        </w:tc>
        <w:tc>
          <w:tcPr>
            <w:tcW w:w="6203" w:type="dxa"/>
            <w:noWrap w:val="0"/>
            <w:vAlign w:val="center"/>
          </w:tcPr>
          <w:p>
            <w:pPr>
              <w:spacing w:line="360" w:lineRule="auto"/>
              <w:rPr>
                <w:rFonts w:hint="eastAsia" w:ascii="宋体" w:hAnsi="宋体"/>
                <w:bCs/>
                <w:iCs/>
                <w:sz w:val="24"/>
                <w:szCs w:val="24"/>
                <w:lang w:val="en-US" w:eastAsia="zh-CN"/>
              </w:rPr>
            </w:pPr>
            <w:r>
              <w:rPr>
                <w:rFonts w:hint="eastAsia" w:ascii="宋体" w:hAnsi="宋体"/>
                <w:bCs/>
                <w:iCs/>
                <w:sz w:val="24"/>
                <w:szCs w:val="24"/>
                <w:lang w:val="en-US" w:eastAsia="zh-CN"/>
              </w:rPr>
              <w:t>2024年3月1日：</w:t>
            </w:r>
          </w:p>
          <w:p>
            <w:pPr>
              <w:spacing w:line="360" w:lineRule="auto"/>
              <w:rPr>
                <w:rFonts w:hint="eastAsia" w:ascii="宋体" w:hAnsi="宋体"/>
                <w:bCs/>
                <w:iCs/>
                <w:sz w:val="24"/>
                <w:szCs w:val="24"/>
                <w:lang w:val="en-US" w:eastAsia="zh-CN"/>
              </w:rPr>
            </w:pPr>
            <w:r>
              <w:rPr>
                <w:rFonts w:ascii="宋体" w:hAnsi="宋体" w:eastAsia="宋体" w:cs="宋体"/>
                <w:sz w:val="24"/>
                <w:szCs w:val="24"/>
              </w:rPr>
              <w:t>信达澳亚</w:t>
            </w:r>
            <w:r>
              <w:rPr>
                <w:rFonts w:hint="eastAsia" w:ascii="宋体" w:hAnsi="宋体" w:eastAsia="宋体" w:cs="宋体"/>
                <w:sz w:val="24"/>
                <w:szCs w:val="24"/>
                <w:lang w:eastAsia="zh-CN"/>
              </w:rPr>
              <w:t>、工银瑞信、</w:t>
            </w:r>
            <w:r>
              <w:rPr>
                <w:rFonts w:hint="eastAsia" w:ascii="宋体" w:hAnsi="宋体" w:eastAsia="宋体" w:cs="宋体"/>
                <w:sz w:val="24"/>
                <w:szCs w:val="24"/>
                <w:lang w:val="en-US" w:eastAsia="zh-CN"/>
              </w:rPr>
              <w:t>东北证券</w:t>
            </w:r>
          </w:p>
          <w:p>
            <w:pPr>
              <w:spacing w:line="360" w:lineRule="auto"/>
              <w:rPr>
                <w:rFonts w:hint="eastAsia" w:ascii="宋体" w:hAnsi="宋体"/>
                <w:bCs/>
                <w:iCs/>
                <w:sz w:val="24"/>
                <w:szCs w:val="24"/>
                <w:lang w:val="en-US" w:eastAsia="zh-CN"/>
              </w:rPr>
            </w:pPr>
            <w:r>
              <w:rPr>
                <w:rFonts w:hint="eastAsia" w:ascii="宋体" w:hAnsi="宋体"/>
                <w:bCs/>
                <w:iCs/>
                <w:sz w:val="24"/>
                <w:szCs w:val="24"/>
                <w:lang w:val="en-US" w:eastAsia="zh-CN"/>
              </w:rPr>
              <w:t>2024年3月5日：</w:t>
            </w:r>
          </w:p>
          <w:p>
            <w:pPr>
              <w:spacing w:line="360" w:lineRule="auto"/>
              <w:rPr>
                <w:rFonts w:hint="eastAsia" w:ascii="宋体" w:hAnsi="宋体"/>
                <w:bCs/>
                <w:iCs/>
                <w:sz w:val="24"/>
                <w:szCs w:val="24"/>
                <w:lang w:val="en-US" w:eastAsia="zh-CN"/>
              </w:rPr>
            </w:pPr>
            <w:r>
              <w:rPr>
                <w:rFonts w:hint="eastAsia" w:ascii="宋体" w:hAnsi="宋体" w:eastAsia="宋体" w:cs="宋体"/>
                <w:sz w:val="24"/>
                <w:szCs w:val="24"/>
                <w:lang w:eastAsia="zh-CN"/>
              </w:rPr>
              <w:t>永赢基金、国金基金</w:t>
            </w:r>
          </w:p>
          <w:p>
            <w:pPr>
              <w:spacing w:line="360" w:lineRule="auto"/>
              <w:rPr>
                <w:rFonts w:hint="eastAsia" w:ascii="宋体" w:hAnsi="宋体"/>
                <w:bCs/>
                <w:iCs/>
                <w:sz w:val="24"/>
                <w:szCs w:val="24"/>
                <w:lang w:val="en-US" w:eastAsia="zh-CN"/>
              </w:rPr>
            </w:pPr>
            <w:r>
              <w:rPr>
                <w:rFonts w:hint="eastAsia" w:ascii="宋体" w:hAnsi="宋体"/>
                <w:bCs/>
                <w:iCs/>
                <w:sz w:val="24"/>
                <w:szCs w:val="24"/>
                <w:lang w:val="en-US" w:eastAsia="zh-CN"/>
              </w:rPr>
              <w:t>2024年3月7日：</w:t>
            </w:r>
          </w:p>
          <w:p>
            <w:pPr>
              <w:spacing w:line="360" w:lineRule="auto"/>
              <w:rPr>
                <w:rFonts w:hint="eastAsia" w:ascii="宋体" w:hAnsi="宋体"/>
                <w:b/>
                <w:bCs/>
                <w:iCs/>
                <w:sz w:val="24"/>
                <w:szCs w:val="24"/>
                <w:lang w:val="en-US" w:eastAsia="zh-CN"/>
              </w:rPr>
            </w:pPr>
            <w:r>
              <w:rPr>
                <w:rFonts w:hint="eastAsia" w:ascii="宋体" w:hAnsi="宋体" w:cs="宋体"/>
                <w:sz w:val="24"/>
                <w:szCs w:val="24"/>
                <w:lang w:eastAsia="zh-CN"/>
              </w:rPr>
              <w:t>平安证券、国泰基金、平安养老险</w:t>
            </w:r>
          </w:p>
          <w:p>
            <w:pPr>
              <w:spacing w:line="360" w:lineRule="auto"/>
              <w:rPr>
                <w:rFonts w:hint="eastAsia" w:ascii="宋体" w:hAnsi="宋体"/>
                <w:bCs/>
                <w:iCs/>
                <w:sz w:val="24"/>
                <w:szCs w:val="24"/>
                <w:lang w:val="en-US" w:eastAsia="zh-CN"/>
              </w:rPr>
            </w:pPr>
            <w:r>
              <w:rPr>
                <w:rFonts w:hint="eastAsia" w:ascii="宋体" w:hAnsi="宋体"/>
                <w:bCs/>
                <w:iCs/>
                <w:sz w:val="24"/>
                <w:szCs w:val="24"/>
                <w:lang w:val="en-US" w:eastAsia="zh-CN"/>
              </w:rPr>
              <w:t>2024年3月27日：</w:t>
            </w:r>
          </w:p>
          <w:p>
            <w:pPr>
              <w:spacing w:line="360" w:lineRule="auto"/>
              <w:jc w:val="both"/>
              <w:rPr>
                <w:rFonts w:hint="default" w:ascii="宋体" w:hAnsi="宋体" w:eastAsia="宋体" w:cs="宋体"/>
                <w:sz w:val="24"/>
                <w:szCs w:val="24"/>
                <w:lang w:val="en-US" w:eastAsia="zh-CN"/>
              </w:rPr>
            </w:pPr>
            <w:r>
              <w:rPr>
                <w:rFonts w:hint="eastAsia" w:ascii="宋体" w:hAnsi="宋体" w:cs="宋体"/>
                <w:sz w:val="24"/>
                <w:szCs w:val="24"/>
                <w:lang w:eastAsia="zh-CN"/>
              </w:rPr>
              <w:t>银华基金、</w:t>
            </w:r>
            <w:r>
              <w:rPr>
                <w:rFonts w:hint="eastAsia" w:ascii="宋体" w:hAnsi="宋体" w:cs="宋体"/>
                <w:sz w:val="24"/>
                <w:szCs w:val="24"/>
              </w:rPr>
              <w:t>建信基金、睿扬投资、中金资管、新华基金、明睿资本、中金资管、兴合基金、中信建投基金、中信证券资管、众安保险资管、益民基金、合煦智远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ascii="宋体" w:hAnsi="宋体"/>
                <w:b/>
                <w:bCs/>
                <w:iCs/>
                <w:sz w:val="24"/>
                <w:szCs w:val="24"/>
              </w:rPr>
            </w:pPr>
            <w:r>
              <w:rPr>
                <w:rFonts w:hint="eastAsia" w:ascii="宋体" w:hAnsi="宋体"/>
                <w:b/>
                <w:bCs/>
                <w:iCs/>
                <w:sz w:val="24"/>
                <w:szCs w:val="24"/>
              </w:rPr>
              <w:t>参会方式</w:t>
            </w:r>
          </w:p>
        </w:tc>
        <w:tc>
          <w:tcPr>
            <w:tcW w:w="6203" w:type="dxa"/>
            <w:noWrap w:val="0"/>
            <w:vAlign w:val="center"/>
          </w:tcPr>
          <w:p>
            <w:pPr>
              <w:spacing w:line="360" w:lineRule="auto"/>
              <w:rPr>
                <w:rFonts w:hint="default" w:ascii="宋体" w:hAnsi="宋体" w:eastAsia="宋体"/>
                <w:bCs/>
                <w:iCs/>
                <w:sz w:val="24"/>
                <w:szCs w:val="24"/>
                <w:lang w:val="en-US" w:eastAsia="zh-CN"/>
              </w:rPr>
            </w:pPr>
            <w:r>
              <w:rPr>
                <w:rFonts w:hint="eastAsia" w:ascii="宋体" w:hAnsi="宋体"/>
                <w:bCs/>
                <w:iCs/>
                <w:sz w:val="24"/>
                <w:szCs w:val="24"/>
                <w:lang w:val="en-US" w:eastAsia="zh-CN"/>
              </w:rPr>
              <w:t>现场会议、视频会议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hint="eastAsia" w:ascii="宋体" w:hAnsi="宋体"/>
                <w:b/>
                <w:bCs/>
                <w:iCs/>
                <w:sz w:val="24"/>
                <w:szCs w:val="24"/>
              </w:rPr>
            </w:pPr>
            <w:r>
              <w:rPr>
                <w:rFonts w:hint="eastAsia" w:ascii="宋体" w:hAnsi="宋体"/>
                <w:b/>
                <w:bCs/>
                <w:iCs/>
                <w:sz w:val="24"/>
                <w:szCs w:val="24"/>
              </w:rPr>
              <w:t>上市公司接待人员姓名</w:t>
            </w:r>
          </w:p>
        </w:tc>
        <w:tc>
          <w:tcPr>
            <w:tcW w:w="6203" w:type="dxa"/>
            <w:noWrap w:val="0"/>
            <w:vAlign w:val="center"/>
          </w:tcPr>
          <w:p>
            <w:pPr>
              <w:spacing w:line="360" w:lineRule="auto"/>
              <w:rPr>
                <w:rFonts w:hint="eastAsia" w:ascii="宋体" w:hAnsi="宋体"/>
                <w:sz w:val="24"/>
              </w:rPr>
            </w:pPr>
            <w:r>
              <w:rPr>
                <w:rFonts w:hint="eastAsia" w:ascii="宋体" w:hAnsi="宋体"/>
                <w:sz w:val="24"/>
              </w:rPr>
              <w:t>阳光诺和</w:t>
            </w:r>
            <w:r>
              <w:rPr>
                <w:rFonts w:hint="eastAsia" w:ascii="宋体" w:hAnsi="宋体"/>
                <w:sz w:val="24"/>
                <w:lang w:val="en-US" w:eastAsia="zh-CN"/>
              </w:rPr>
              <w:t>董事长</w:t>
            </w:r>
            <w:r>
              <w:rPr>
                <w:rFonts w:hint="eastAsia" w:ascii="宋体" w:hAnsi="宋体"/>
                <w:sz w:val="24"/>
              </w:rPr>
              <w:t>：</w:t>
            </w:r>
            <w:r>
              <w:rPr>
                <w:rFonts w:hint="eastAsia" w:ascii="宋体" w:hAnsi="宋体"/>
                <w:sz w:val="24"/>
                <w:lang w:val="en-US" w:eastAsia="zh-CN"/>
              </w:rPr>
              <w:t>利虔先生</w:t>
            </w:r>
          </w:p>
          <w:p>
            <w:pPr>
              <w:spacing w:line="360" w:lineRule="auto"/>
              <w:rPr>
                <w:rFonts w:hint="eastAsia" w:ascii="宋体" w:hAnsi="宋体"/>
                <w:sz w:val="24"/>
              </w:rPr>
            </w:pPr>
            <w:r>
              <w:rPr>
                <w:rFonts w:hint="eastAsia" w:ascii="宋体" w:hAnsi="宋体"/>
                <w:sz w:val="24"/>
              </w:rPr>
              <w:t>阳光诺和董事、董事会秘书、财务总监</w:t>
            </w:r>
            <w:bookmarkStart w:id="0" w:name="_GoBack"/>
            <w:bookmarkEnd w:id="0"/>
            <w:r>
              <w:rPr>
                <w:rFonts w:hint="eastAsia" w:ascii="宋体" w:hAnsi="宋体"/>
                <w:sz w:val="24"/>
              </w:rPr>
              <w:t>：赵凌阳先生</w:t>
            </w:r>
          </w:p>
          <w:p>
            <w:pPr>
              <w:spacing w:line="360" w:lineRule="auto"/>
              <w:rPr>
                <w:rFonts w:hint="default" w:ascii="宋体" w:hAnsi="宋体"/>
                <w:sz w:val="24"/>
                <w:lang w:val="en-US"/>
              </w:rPr>
            </w:pPr>
            <w:r>
              <w:rPr>
                <w:rFonts w:hint="eastAsia" w:ascii="宋体" w:hAnsi="宋体"/>
                <w:sz w:val="24"/>
              </w:rPr>
              <w:t>阳光诺和</w:t>
            </w:r>
            <w:r>
              <w:rPr>
                <w:rFonts w:hint="eastAsia" w:ascii="宋体" w:hAnsi="宋体"/>
                <w:sz w:val="24"/>
                <w:lang w:val="en-US" w:eastAsia="zh-CN"/>
              </w:rPr>
              <w:t>证券事务代表</w:t>
            </w:r>
            <w:r>
              <w:rPr>
                <w:rFonts w:hint="eastAsia" w:ascii="宋体" w:hAnsi="宋体"/>
                <w:sz w:val="24"/>
              </w:rPr>
              <w:t>：</w:t>
            </w:r>
            <w:r>
              <w:rPr>
                <w:rFonts w:hint="eastAsia" w:ascii="宋体" w:hAnsi="宋体"/>
                <w:sz w:val="24"/>
                <w:lang w:val="en-US" w:eastAsia="zh-CN"/>
              </w:rPr>
              <w:t>魏丽萍女士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ascii="宋体" w:hAnsi="宋体"/>
                <w:b/>
                <w:bCs/>
                <w:iCs/>
                <w:sz w:val="24"/>
                <w:szCs w:val="24"/>
              </w:rPr>
            </w:pPr>
            <w:r>
              <w:rPr>
                <w:rFonts w:hint="eastAsia" w:ascii="宋体" w:hAnsi="宋体"/>
                <w:b/>
                <w:bCs/>
                <w:iCs/>
                <w:sz w:val="24"/>
                <w:szCs w:val="24"/>
              </w:rPr>
              <w:t>投资者关系活动主要内容介绍</w:t>
            </w:r>
          </w:p>
        </w:tc>
        <w:tc>
          <w:tcPr>
            <w:tcW w:w="6203" w:type="dxa"/>
            <w:noWrap w:val="0"/>
            <w:vAlign w:val="top"/>
          </w:tcPr>
          <w:p>
            <w:pPr>
              <w:numPr>
                <w:ilvl w:val="0"/>
                <w:numId w:val="0"/>
              </w:numPr>
              <w:spacing w:before="156" w:beforeLines="50" w:line="360" w:lineRule="auto"/>
              <w:ind w:firstLine="482" w:firstLineChars="200"/>
              <w:rPr>
                <w:rFonts w:ascii="宋体" w:hAnsi="宋体"/>
                <w:b/>
                <w:iCs/>
                <w:sz w:val="24"/>
                <w:szCs w:val="24"/>
              </w:rPr>
            </w:pPr>
            <w:r>
              <w:rPr>
                <w:rFonts w:hint="eastAsia" w:ascii="宋体" w:hAnsi="宋体"/>
                <w:b/>
                <w:iCs/>
                <w:sz w:val="24"/>
                <w:szCs w:val="24"/>
                <w:lang w:val="en-US" w:eastAsia="zh-CN"/>
              </w:rPr>
              <w:t>一、</w:t>
            </w:r>
            <w:r>
              <w:rPr>
                <w:rFonts w:hint="eastAsia" w:ascii="宋体" w:hAnsi="宋体"/>
                <w:b/>
                <w:iCs/>
                <w:sz w:val="24"/>
                <w:szCs w:val="24"/>
              </w:rPr>
              <w:t>公司介绍环节</w:t>
            </w:r>
          </w:p>
          <w:p>
            <w:pPr>
              <w:numPr>
                <w:ilvl w:val="0"/>
                <w:numId w:val="0"/>
              </w:numPr>
              <w:spacing w:before="156" w:beforeLines="50" w:after="0" w:afterLines="0" w:line="360" w:lineRule="auto"/>
              <w:ind w:firstLine="480" w:firstLineChars="200"/>
              <w:rPr>
                <w:rFonts w:hint="default" w:ascii="Times New Roman" w:hAnsi="Times New Roman" w:cs="Times New Roman"/>
                <w:kern w:val="0"/>
                <w:sz w:val="24"/>
              </w:rPr>
            </w:pPr>
            <w:r>
              <w:rPr>
                <w:rFonts w:hint="eastAsia" w:ascii="宋体" w:hAnsi="宋体" w:cs="宋体"/>
                <w:kern w:val="0"/>
                <w:sz w:val="24"/>
              </w:rPr>
              <w:t>公司是一家</w:t>
            </w:r>
            <w:r>
              <w:rPr>
                <w:rFonts w:hint="default" w:ascii="Times New Roman" w:hAnsi="Times New Roman" w:cs="Times New Roman"/>
                <w:kern w:val="0"/>
                <w:sz w:val="24"/>
              </w:rPr>
              <w:t>专业的药物临床前及临床综合研发服务 CRO，为国内医药企业和科研机构提供全方位的一站式药物研发服务，致力于协助国内医药制造企业加速实现进口替代和自主创新。公司主营业务涵盖药理药效、临床研究、创新药开发、仿制药开发及一致性评价的综合研发服务，服务内容主要包括药物发现、药理药效、药学研究、临床研究和生物分析。</w:t>
            </w:r>
          </w:p>
          <w:p>
            <w:pPr>
              <w:numPr>
                <w:ilvl w:val="0"/>
                <w:numId w:val="0"/>
              </w:numPr>
              <w:spacing w:before="156" w:beforeLines="50" w:after="0" w:afterLines="0" w:line="360" w:lineRule="auto"/>
              <w:ind w:firstLine="480" w:firstLineChars="200"/>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rPr>
              <w:t>2023</w:t>
            </w:r>
            <w:r>
              <w:rPr>
                <w:rFonts w:hint="default" w:ascii="Times New Roman" w:hAnsi="Times New Roman" w:eastAsia="宋体" w:cs="Times New Roman"/>
                <w:kern w:val="0"/>
                <w:sz w:val="24"/>
                <w:lang w:val="en-US" w:eastAsia="zh-CN"/>
              </w:rPr>
              <w:t>年度</w:t>
            </w:r>
            <w:r>
              <w:rPr>
                <w:rFonts w:hint="default" w:ascii="Times New Roman" w:hAnsi="Times New Roman" w:eastAsia="宋体" w:cs="Times New Roman"/>
                <w:kern w:val="0"/>
                <w:sz w:val="24"/>
              </w:rPr>
              <w:t>，公司营业收入</w:t>
            </w:r>
            <w:r>
              <w:rPr>
                <w:rFonts w:hint="default" w:ascii="Times New Roman" w:hAnsi="Times New Roman" w:eastAsia="宋体" w:cs="Times New Roman"/>
                <w:kern w:val="0"/>
                <w:sz w:val="24"/>
                <w:lang w:val="en-US" w:eastAsia="zh-CN"/>
              </w:rPr>
              <w:t>9.54</w:t>
            </w:r>
            <w:r>
              <w:rPr>
                <w:rFonts w:hint="default" w:ascii="Times New Roman" w:hAnsi="Times New Roman" w:eastAsia="宋体" w:cs="Times New Roman"/>
                <w:kern w:val="0"/>
                <w:sz w:val="24"/>
              </w:rPr>
              <w:t>亿元，同比增长</w:t>
            </w:r>
            <w:r>
              <w:rPr>
                <w:rFonts w:hint="default" w:ascii="Times New Roman" w:hAnsi="Times New Roman" w:eastAsia="宋体" w:cs="Times New Roman"/>
                <w:kern w:val="0"/>
                <w:sz w:val="24"/>
                <w:lang w:val="en-US" w:eastAsia="zh-CN"/>
              </w:rPr>
              <w:t>40.98</w:t>
            </w:r>
            <w:r>
              <w:rPr>
                <w:rFonts w:hint="default" w:ascii="Times New Roman" w:hAnsi="Times New Roman" w:eastAsia="宋体" w:cs="Times New Roman"/>
                <w:kern w:val="0"/>
                <w:sz w:val="24"/>
              </w:rPr>
              <w:t>%</w:t>
            </w:r>
            <w:r>
              <w:rPr>
                <w:rFonts w:hint="default" w:ascii="Times New Roman" w:hAnsi="Times New Roman" w:eastAsia="宋体" w:cs="Times New Roman"/>
                <w:kern w:val="0"/>
                <w:sz w:val="24"/>
                <w:lang w:eastAsia="zh-CN"/>
              </w:rPr>
              <w:t>，</w:t>
            </w:r>
            <w:r>
              <w:rPr>
                <w:rFonts w:hint="default" w:ascii="Times New Roman" w:hAnsi="Times New Roman" w:eastAsia="宋体" w:cs="Times New Roman"/>
                <w:kern w:val="0"/>
                <w:sz w:val="24"/>
                <w:lang w:val="en-US" w:eastAsia="zh-CN"/>
              </w:rPr>
              <w:t>归属于上市公司股东的净利润1.94亿元，同比增长24.43%，归属于上市公司股东的扣除非经常性损益的净利润1.89亿元，同比增长33.33%，基本每股收益1.73元，较上年同期增加0.34元，增长比例24.46%。</w:t>
            </w:r>
          </w:p>
          <w:p>
            <w:pPr>
              <w:numPr>
                <w:ilvl w:val="0"/>
                <w:numId w:val="0"/>
              </w:numPr>
              <w:spacing w:before="156" w:beforeLines="50" w:after="0" w:afterLines="0" w:line="360" w:lineRule="auto"/>
              <w:ind w:firstLine="480" w:firstLineChars="200"/>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2023年末公司总资产18.75</w:t>
            </w:r>
            <w:r>
              <w:rPr>
                <w:rFonts w:hint="eastAsia" w:cs="Times New Roman"/>
                <w:kern w:val="0"/>
                <w:sz w:val="24"/>
                <w:lang w:val="en-US" w:eastAsia="zh-CN"/>
              </w:rPr>
              <w:t>亿元</w:t>
            </w:r>
            <w:r>
              <w:rPr>
                <w:rFonts w:hint="default" w:ascii="Times New Roman" w:hAnsi="Times New Roman" w:eastAsia="宋体" w:cs="Times New Roman"/>
                <w:kern w:val="0"/>
                <w:sz w:val="24"/>
                <w:lang w:val="en-US" w:eastAsia="zh-CN"/>
              </w:rPr>
              <w:t>，增长比例28.15%；归属于母公司的所有者权益10.43亿元，增长比例16.29%。报告期内，公司持续推进市场拓展，新签订单稳步增长，同时公司持续加强技术平台和人才队伍建设，进一步增强药物综合研发服务能力，提升内部运营效率，促进业绩持续稳步增长。同时公司持续推进品种自研储备战略，进一步完善技术成果转化事业部的建设，持续加大自主立项的多肽创新药、改良型新药和特色仿制药的研发投入，通过前期累计研发投入，形成技术成果在未来转化过程中获得长期收益，为公司长期稳定发展奠定良好基础。</w:t>
            </w:r>
          </w:p>
          <w:p>
            <w:pPr>
              <w:numPr>
                <w:ilvl w:val="0"/>
                <w:numId w:val="0"/>
              </w:numPr>
              <w:spacing w:before="156" w:beforeLines="50" w:after="0" w:afterLines="0" w:line="360" w:lineRule="auto"/>
              <w:ind w:firstLine="480" w:firstLineChars="200"/>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报告期内，营业收入同比增长40.98%，</w:t>
            </w:r>
            <w:r>
              <w:rPr>
                <w:rFonts w:hint="default" w:ascii="Times New Roman" w:hAnsi="Times New Roman" w:cs="Times New Roman"/>
                <w:kern w:val="0"/>
                <w:sz w:val="24"/>
              </w:rPr>
              <w:t>归属于母公司所有者的扣除非经常性损益的净利润</w:t>
            </w:r>
            <w:r>
              <w:rPr>
                <w:rFonts w:hint="default" w:ascii="Times New Roman" w:hAnsi="Times New Roman" w:eastAsia="宋体" w:cs="Times New Roman"/>
                <w:kern w:val="0"/>
                <w:sz w:val="24"/>
                <w:lang w:val="en-US" w:eastAsia="zh-CN"/>
              </w:rPr>
              <w:t>同比增长</w:t>
            </w:r>
            <w:r>
              <w:rPr>
                <w:rFonts w:hint="default" w:ascii="Times New Roman" w:hAnsi="Times New Roman" w:cs="Times New Roman"/>
                <w:kern w:val="0"/>
                <w:sz w:val="24"/>
              </w:rPr>
              <w:t>33.33%</w:t>
            </w:r>
            <w:r>
              <w:rPr>
                <w:rFonts w:hint="default" w:ascii="Times New Roman" w:hAnsi="Times New Roman" w:eastAsia="宋体" w:cs="Times New Roman"/>
                <w:kern w:val="0"/>
                <w:sz w:val="24"/>
                <w:lang w:val="en-US" w:eastAsia="zh-CN"/>
              </w:rPr>
              <w:t>，主要原因系报告期内：</w:t>
            </w:r>
          </w:p>
          <w:p>
            <w:pPr>
              <w:numPr>
                <w:ilvl w:val="0"/>
                <w:numId w:val="1"/>
              </w:numPr>
              <w:spacing w:before="156" w:beforeLines="50" w:after="0" w:afterLines="0" w:line="360" w:lineRule="auto"/>
              <w:ind w:firstLine="480" w:firstLineChars="200"/>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rPr>
              <w:t>公司持续推进市场拓展，客户和市场对公司综合研发服务能力的认可度持续提升，新增订单稳步增长，存量订单不断增加为业绩的持续增长提供了有力保障</w:t>
            </w:r>
            <w:r>
              <w:rPr>
                <w:rFonts w:hint="default" w:ascii="Times New Roman" w:hAnsi="Times New Roman" w:eastAsia="宋体" w:cs="Times New Roman"/>
                <w:kern w:val="0"/>
                <w:sz w:val="24"/>
                <w:lang w:val="en-US" w:eastAsia="zh-CN"/>
              </w:rPr>
              <w:t>。</w:t>
            </w:r>
          </w:p>
          <w:p>
            <w:pPr>
              <w:numPr>
                <w:ilvl w:val="0"/>
                <w:numId w:val="1"/>
              </w:numPr>
              <w:spacing w:before="156" w:beforeLines="50" w:after="0" w:afterLines="0" w:line="360" w:lineRule="auto"/>
              <w:ind w:firstLine="480" w:firstLineChars="200"/>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充足的订单储备、合理的业务结构和持续迭代的研发服务能力，为公司长远发展提供了有力支撑。报告期内，公司继续强化各项提质增效措施的执行，进一步巩固运营管理成果和竞争优势。</w:t>
            </w:r>
          </w:p>
          <w:p>
            <w:pPr>
              <w:numPr>
                <w:ilvl w:val="0"/>
                <w:numId w:val="0"/>
              </w:numPr>
              <w:spacing w:before="156" w:beforeLines="50" w:after="0" w:afterLines="0" w:line="360" w:lineRule="auto"/>
              <w:ind w:firstLine="480" w:firstLineChars="200"/>
              <w:rPr>
                <w:rFonts w:hint="eastAsia" w:ascii="宋体" w:hAnsi="宋体" w:eastAsia="宋体" w:cs="宋体"/>
                <w:kern w:val="0"/>
                <w:sz w:val="24"/>
                <w:lang w:val="en-US" w:eastAsia="zh-CN"/>
              </w:rPr>
            </w:pPr>
            <w:r>
              <w:rPr>
                <w:rFonts w:hint="default" w:ascii="Times New Roman" w:hAnsi="Times New Roman" w:eastAsia="宋体" w:cs="Times New Roman"/>
                <w:kern w:val="0"/>
                <w:sz w:val="24"/>
                <w:lang w:val="en-US" w:eastAsia="zh-CN"/>
              </w:rPr>
              <w:t>以上为公司2023年年度主要财务数据为初步核算数据，未经会计师事务所审计，具体数据以公司正式披露的2023年</w:t>
            </w:r>
            <w:r>
              <w:rPr>
                <w:rFonts w:hint="eastAsia" w:ascii="宋体" w:hAnsi="宋体" w:eastAsia="宋体" w:cs="宋体"/>
                <w:kern w:val="0"/>
                <w:sz w:val="24"/>
                <w:lang w:val="en-US" w:eastAsia="zh-CN"/>
              </w:rPr>
              <w:t>年度报告为准。</w:t>
            </w:r>
          </w:p>
          <w:p>
            <w:pPr>
              <w:numPr>
                <w:ilvl w:val="0"/>
                <w:numId w:val="0"/>
              </w:numPr>
              <w:spacing w:before="156" w:beforeLines="50" w:line="360" w:lineRule="auto"/>
              <w:ind w:firstLine="482" w:firstLineChars="200"/>
              <w:rPr>
                <w:rFonts w:ascii="宋体" w:hAnsi="宋体"/>
                <w:b/>
                <w:iCs/>
                <w:sz w:val="24"/>
                <w:szCs w:val="24"/>
              </w:rPr>
            </w:pPr>
            <w:r>
              <w:rPr>
                <w:rFonts w:hint="eastAsia" w:ascii="宋体" w:hAnsi="宋体"/>
                <w:b/>
                <w:iCs/>
                <w:sz w:val="24"/>
                <w:szCs w:val="24"/>
                <w:lang w:val="en-US" w:eastAsia="zh-CN"/>
              </w:rPr>
              <w:t>二、</w:t>
            </w:r>
            <w:r>
              <w:rPr>
                <w:rFonts w:hint="eastAsia" w:ascii="宋体" w:hAnsi="宋体"/>
                <w:b/>
                <w:iCs/>
                <w:sz w:val="24"/>
                <w:szCs w:val="24"/>
              </w:rPr>
              <w:t>问答环节</w:t>
            </w:r>
          </w:p>
          <w:p>
            <w:pPr>
              <w:numPr>
                <w:ilvl w:val="0"/>
                <w:numId w:val="0"/>
              </w:numPr>
              <w:spacing w:before="156" w:beforeLines="50" w:line="360" w:lineRule="auto"/>
              <w:ind w:firstLine="482" w:firstLineChars="200"/>
              <w:rPr>
                <w:rFonts w:ascii="宋体" w:hAnsi="宋体"/>
                <w:b/>
                <w:bCs w:val="0"/>
                <w:iCs/>
                <w:sz w:val="24"/>
                <w:szCs w:val="24"/>
              </w:rPr>
            </w:pPr>
            <w:r>
              <w:rPr>
                <w:rFonts w:hint="eastAsia" w:ascii="宋体" w:hAnsi="宋体"/>
                <w:b/>
                <w:bCs w:val="0"/>
                <w:iCs/>
                <w:sz w:val="24"/>
                <w:szCs w:val="24"/>
                <w:lang w:val="en-US" w:eastAsia="zh-CN"/>
              </w:rPr>
              <w:t>1.</w:t>
            </w:r>
            <w:r>
              <w:rPr>
                <w:rFonts w:hint="eastAsia" w:ascii="宋体" w:hAnsi="宋体"/>
                <w:b/>
                <w:bCs w:val="0"/>
                <w:iCs/>
                <w:sz w:val="24"/>
                <w:szCs w:val="24"/>
              </w:rPr>
              <w:t>公司</w:t>
            </w:r>
            <w:r>
              <w:rPr>
                <w:rFonts w:hint="eastAsia" w:ascii="宋体" w:hAnsi="宋体"/>
                <w:b/>
                <w:bCs w:val="0"/>
                <w:iCs/>
                <w:sz w:val="24"/>
                <w:szCs w:val="24"/>
                <w:lang w:val="en-US" w:eastAsia="zh-CN"/>
              </w:rPr>
              <w:t>在人才建设方面有哪些着力点</w:t>
            </w:r>
            <w:r>
              <w:rPr>
                <w:rFonts w:hint="eastAsia" w:ascii="宋体" w:hAnsi="宋体"/>
                <w:b/>
                <w:bCs w:val="0"/>
                <w:iCs/>
                <w:sz w:val="24"/>
                <w:szCs w:val="24"/>
              </w:rPr>
              <w:t>？</w:t>
            </w:r>
          </w:p>
          <w:p>
            <w:pPr>
              <w:numPr>
                <w:ilvl w:val="0"/>
                <w:numId w:val="0"/>
              </w:numPr>
              <w:spacing w:before="156" w:beforeLines="50" w:line="360" w:lineRule="auto"/>
              <w:ind w:left="0" w:firstLine="480" w:firstLineChars="200"/>
              <w:rPr>
                <w:rFonts w:hint="default" w:ascii="宋体" w:hAnsi="宋体" w:eastAsia="宋体"/>
                <w:b w:val="0"/>
                <w:bCs/>
                <w:iCs/>
                <w:sz w:val="24"/>
                <w:szCs w:val="24"/>
                <w:lang w:val="en-US" w:eastAsia="zh-CN"/>
              </w:rPr>
            </w:pPr>
            <w:r>
              <w:rPr>
                <w:rFonts w:hint="eastAsia" w:ascii="宋体" w:hAnsi="宋体" w:eastAsia="宋体"/>
                <w:b w:val="0"/>
                <w:bCs/>
                <w:iCs/>
                <w:sz w:val="24"/>
                <w:szCs w:val="24"/>
                <w:lang w:eastAsia="zh-CN"/>
              </w:rPr>
              <w:t>公司计划引进领军级高端人才，</w:t>
            </w:r>
            <w:r>
              <w:rPr>
                <w:rFonts w:hint="eastAsia" w:ascii="宋体" w:hAnsi="宋体" w:eastAsia="宋体"/>
                <w:b w:val="0"/>
                <w:bCs/>
                <w:iCs/>
                <w:sz w:val="24"/>
                <w:szCs w:val="24"/>
                <w:lang w:val="en-US" w:eastAsia="zh-CN"/>
              </w:rPr>
              <w:t>吸引外部优秀行业人才，完善人才产业链布局，特别是加强临床开发方面的能力</w:t>
            </w:r>
            <w:r>
              <w:rPr>
                <w:rFonts w:hint="eastAsia" w:ascii="宋体" w:hAnsi="宋体" w:eastAsia="宋体"/>
                <w:b w:val="0"/>
                <w:bCs/>
                <w:iCs/>
                <w:sz w:val="24"/>
                <w:szCs w:val="24"/>
                <w:lang w:eastAsia="zh-CN"/>
              </w:rPr>
              <w:t>。</w:t>
            </w:r>
          </w:p>
          <w:p>
            <w:pPr>
              <w:numPr>
                <w:ilvl w:val="0"/>
                <w:numId w:val="0"/>
              </w:numPr>
              <w:spacing w:before="156" w:beforeLines="50" w:line="360" w:lineRule="auto"/>
              <w:ind w:left="0" w:firstLine="480" w:firstLineChars="200"/>
              <w:rPr>
                <w:rFonts w:hint="default" w:ascii="宋体" w:hAnsi="宋体" w:eastAsia="宋体"/>
                <w:b w:val="0"/>
                <w:bCs/>
                <w:iCs/>
                <w:sz w:val="24"/>
                <w:szCs w:val="24"/>
                <w:lang w:val="en-US" w:eastAsia="zh-CN"/>
              </w:rPr>
            </w:pPr>
            <w:r>
              <w:rPr>
                <w:rFonts w:hint="eastAsia" w:ascii="宋体" w:hAnsi="宋体" w:eastAsia="宋体"/>
                <w:b w:val="0"/>
                <w:bCs/>
                <w:iCs/>
                <w:sz w:val="24"/>
                <w:szCs w:val="24"/>
                <w:lang w:eastAsia="zh-CN"/>
              </w:rPr>
              <w:t>另一方面公司也大力培养新人，通过与国内高校和研究机构进行产学研合作</w:t>
            </w:r>
            <w:r>
              <w:rPr>
                <w:rFonts w:hint="eastAsia" w:ascii="宋体" w:hAnsi="宋体"/>
                <w:b w:val="0"/>
                <w:bCs/>
                <w:iCs/>
                <w:sz w:val="24"/>
                <w:szCs w:val="24"/>
                <w:lang w:val="en-US" w:eastAsia="zh-CN"/>
              </w:rPr>
              <w:t>为公司定向</w:t>
            </w:r>
            <w:r>
              <w:rPr>
                <w:rFonts w:hint="eastAsia" w:ascii="宋体" w:hAnsi="宋体" w:eastAsia="宋体"/>
                <w:b w:val="0"/>
                <w:bCs/>
                <w:iCs/>
                <w:sz w:val="24"/>
                <w:szCs w:val="24"/>
                <w:lang w:eastAsia="zh-CN"/>
              </w:rPr>
              <w:t>培养</w:t>
            </w:r>
            <w:r>
              <w:rPr>
                <w:rFonts w:hint="eastAsia" w:ascii="宋体" w:hAnsi="宋体"/>
                <w:b w:val="0"/>
                <w:bCs/>
                <w:iCs/>
                <w:sz w:val="24"/>
                <w:szCs w:val="24"/>
                <w:lang w:val="en-US" w:eastAsia="zh-CN"/>
              </w:rPr>
              <w:t>储备更多</w:t>
            </w:r>
            <w:r>
              <w:rPr>
                <w:rFonts w:hint="eastAsia" w:ascii="宋体" w:hAnsi="宋体" w:eastAsia="宋体"/>
                <w:b w:val="0"/>
                <w:bCs/>
                <w:iCs/>
                <w:sz w:val="24"/>
                <w:szCs w:val="24"/>
                <w:lang w:eastAsia="zh-CN"/>
              </w:rPr>
              <w:t>的专业人才，同时在公司内部</w:t>
            </w:r>
            <w:r>
              <w:rPr>
                <w:rFonts w:hint="eastAsia" w:ascii="宋体" w:hAnsi="宋体"/>
                <w:b w:val="0"/>
                <w:bCs/>
                <w:iCs/>
                <w:sz w:val="24"/>
                <w:szCs w:val="24"/>
                <w:lang w:val="en-US" w:eastAsia="zh-CN"/>
              </w:rPr>
              <w:t>也在</w:t>
            </w:r>
            <w:r>
              <w:rPr>
                <w:rFonts w:hint="eastAsia" w:ascii="宋体" w:hAnsi="宋体" w:eastAsia="宋体"/>
                <w:b w:val="0"/>
                <w:bCs/>
                <w:iCs/>
                <w:sz w:val="24"/>
                <w:szCs w:val="24"/>
                <w:lang w:eastAsia="zh-CN"/>
              </w:rPr>
              <w:t>不断完善和改进内部人才培训和梯队培养机制，打造</w:t>
            </w:r>
            <w:r>
              <w:rPr>
                <w:rFonts w:hint="eastAsia" w:ascii="宋体" w:hAnsi="宋体" w:eastAsia="宋体"/>
                <w:b w:val="0"/>
                <w:bCs/>
                <w:iCs/>
                <w:sz w:val="24"/>
                <w:szCs w:val="24"/>
                <w:lang w:val="en-US" w:eastAsia="zh-CN"/>
              </w:rPr>
              <w:t>专业化的</w:t>
            </w:r>
            <w:r>
              <w:rPr>
                <w:rFonts w:hint="eastAsia" w:ascii="宋体" w:hAnsi="宋体" w:eastAsia="宋体"/>
                <w:b w:val="0"/>
                <w:bCs/>
                <w:iCs/>
                <w:sz w:val="24"/>
                <w:szCs w:val="24"/>
                <w:lang w:eastAsia="zh-CN"/>
              </w:rPr>
              <w:t>人才</w:t>
            </w:r>
            <w:r>
              <w:rPr>
                <w:rFonts w:hint="eastAsia" w:ascii="宋体" w:hAnsi="宋体"/>
                <w:b w:val="0"/>
                <w:bCs/>
                <w:iCs/>
                <w:sz w:val="24"/>
                <w:szCs w:val="24"/>
                <w:lang w:val="en-US" w:eastAsia="zh-CN"/>
              </w:rPr>
              <w:t>培优和上升机制</w:t>
            </w:r>
            <w:r>
              <w:rPr>
                <w:rFonts w:hint="eastAsia" w:ascii="宋体" w:hAnsi="宋体" w:eastAsia="宋体"/>
                <w:b w:val="0"/>
                <w:bCs/>
                <w:iCs/>
                <w:sz w:val="24"/>
                <w:szCs w:val="24"/>
                <w:lang w:eastAsia="zh-CN"/>
              </w:rPr>
              <w:t>，从而为公司未来的发展奠定坚实的人才基础。</w:t>
            </w:r>
            <w:r>
              <w:rPr>
                <w:rFonts w:hint="eastAsia" w:ascii="宋体" w:hAnsi="宋体" w:eastAsia="宋体"/>
                <w:b w:val="0"/>
                <w:bCs/>
                <w:iCs/>
                <w:sz w:val="24"/>
                <w:szCs w:val="24"/>
                <w:lang w:val="en-US" w:eastAsia="zh-CN"/>
              </w:rPr>
              <w:t xml:space="preserve"> </w:t>
            </w:r>
          </w:p>
          <w:p>
            <w:pPr>
              <w:numPr>
                <w:ilvl w:val="0"/>
                <w:numId w:val="0"/>
              </w:numPr>
              <w:spacing w:before="156" w:beforeLines="50" w:line="360" w:lineRule="auto"/>
              <w:ind w:left="0" w:leftChars="0" w:firstLine="482" w:firstLineChars="200"/>
              <w:rPr>
                <w:rFonts w:hint="default" w:ascii="宋体" w:hAnsi="宋体" w:eastAsia="宋体" w:cs="Times New Roman"/>
                <w:b/>
                <w:iCs/>
                <w:sz w:val="24"/>
                <w:szCs w:val="24"/>
                <w:lang w:val="en-US" w:eastAsia="zh-CN"/>
              </w:rPr>
            </w:pPr>
            <w:r>
              <w:rPr>
                <w:rFonts w:hint="eastAsia" w:ascii="宋体" w:hAnsi="宋体"/>
                <w:b/>
                <w:bCs w:val="0"/>
                <w:iCs/>
                <w:sz w:val="24"/>
                <w:szCs w:val="24"/>
                <w:lang w:val="en-US" w:eastAsia="zh-CN"/>
              </w:rPr>
              <w:t>2.公司在临床体系方面有什么完善？</w:t>
            </w:r>
          </w:p>
          <w:p>
            <w:pPr>
              <w:numPr>
                <w:ilvl w:val="0"/>
                <w:numId w:val="0"/>
              </w:numPr>
              <w:spacing w:before="156" w:beforeLines="50" w:line="360" w:lineRule="auto"/>
              <w:ind w:left="0" w:leftChars="0" w:firstLine="480" w:firstLineChars="200"/>
              <w:rPr>
                <w:rFonts w:hint="eastAsia" w:ascii="宋体" w:hAnsi="宋体" w:eastAsia="宋体" w:cs="Times New Roman"/>
                <w:b w:val="0"/>
                <w:bCs/>
                <w:iCs/>
                <w:sz w:val="24"/>
                <w:szCs w:val="24"/>
                <w:lang w:val="en-US" w:eastAsia="zh-CN"/>
              </w:rPr>
            </w:pPr>
            <w:r>
              <w:rPr>
                <w:rFonts w:hint="eastAsia" w:ascii="宋体" w:hAnsi="宋体" w:eastAsia="宋体" w:cs="Times New Roman"/>
                <w:b w:val="0"/>
                <w:bCs/>
                <w:iCs/>
                <w:sz w:val="24"/>
                <w:szCs w:val="24"/>
                <w:lang w:val="en-US" w:eastAsia="zh-CN"/>
              </w:rPr>
              <w:t>2023年公司在临床布局方面的深度和广度进一步扩大，位于南京的临床子公司南京诺和欣医药科技有限公司正式投入运营，在北京注册成立了稽查子公司北京美助医药科技服务有限公司，公司</w:t>
            </w:r>
            <w:r>
              <w:rPr>
                <w:rFonts w:hint="eastAsia" w:ascii="宋体" w:hAnsi="宋体" w:cs="Times New Roman"/>
                <w:b w:val="0"/>
                <w:bCs/>
                <w:iCs/>
                <w:sz w:val="24"/>
                <w:szCs w:val="24"/>
                <w:lang w:val="en-US" w:eastAsia="zh-CN"/>
              </w:rPr>
              <w:t>临床布局比较分散，</w:t>
            </w:r>
            <w:r>
              <w:rPr>
                <w:rFonts w:hint="eastAsia" w:ascii="宋体" w:hAnsi="宋体" w:eastAsia="宋体" w:cs="Times New Roman"/>
                <w:b w:val="0"/>
                <w:bCs/>
                <w:iCs/>
                <w:sz w:val="24"/>
                <w:szCs w:val="24"/>
                <w:lang w:val="en-US" w:eastAsia="zh-CN"/>
              </w:rPr>
              <w:t>目前在华北</w:t>
            </w:r>
            <w:r>
              <w:rPr>
                <w:rFonts w:hint="eastAsia" w:ascii="宋体" w:hAnsi="宋体" w:cs="Times New Roman"/>
                <w:b w:val="0"/>
                <w:bCs/>
                <w:iCs/>
                <w:sz w:val="24"/>
                <w:szCs w:val="24"/>
                <w:lang w:val="en-US" w:eastAsia="zh-CN"/>
              </w:rPr>
              <w:t>、</w:t>
            </w:r>
            <w:r>
              <w:rPr>
                <w:rFonts w:hint="eastAsia" w:ascii="宋体" w:hAnsi="宋体" w:eastAsia="宋体" w:cs="Times New Roman"/>
                <w:b w:val="0"/>
                <w:bCs/>
                <w:iCs/>
                <w:sz w:val="24"/>
                <w:szCs w:val="24"/>
                <w:lang w:val="en-US" w:eastAsia="zh-CN"/>
              </w:rPr>
              <w:t>华东</w:t>
            </w:r>
            <w:r>
              <w:rPr>
                <w:rFonts w:hint="eastAsia" w:ascii="宋体" w:hAnsi="宋体" w:cs="Times New Roman"/>
                <w:b w:val="0"/>
                <w:bCs/>
                <w:iCs/>
                <w:sz w:val="24"/>
                <w:szCs w:val="24"/>
                <w:lang w:val="en-US" w:eastAsia="zh-CN"/>
              </w:rPr>
              <w:t>、</w:t>
            </w:r>
            <w:r>
              <w:rPr>
                <w:rFonts w:hint="eastAsia" w:ascii="宋体" w:hAnsi="宋体" w:eastAsia="宋体" w:cs="Times New Roman"/>
                <w:b w:val="0"/>
                <w:bCs/>
                <w:iCs/>
                <w:sz w:val="24"/>
                <w:szCs w:val="24"/>
                <w:lang w:val="en-US" w:eastAsia="zh-CN"/>
              </w:rPr>
              <w:t>华中</w:t>
            </w:r>
            <w:r>
              <w:rPr>
                <w:rFonts w:hint="eastAsia" w:ascii="宋体" w:hAnsi="宋体" w:cs="Times New Roman"/>
                <w:b w:val="0"/>
                <w:bCs/>
                <w:iCs/>
                <w:sz w:val="24"/>
                <w:szCs w:val="24"/>
                <w:lang w:val="en-US" w:eastAsia="zh-CN"/>
              </w:rPr>
              <w:t>和</w:t>
            </w:r>
            <w:r>
              <w:rPr>
                <w:rFonts w:hint="eastAsia" w:ascii="宋体" w:hAnsi="宋体" w:eastAsia="宋体" w:cs="Times New Roman"/>
                <w:b w:val="0"/>
                <w:bCs/>
                <w:iCs/>
                <w:sz w:val="24"/>
                <w:szCs w:val="24"/>
                <w:lang w:val="en-US" w:eastAsia="zh-CN"/>
              </w:rPr>
              <w:t>西南都有布局，在北京、南京、武汉、上海、成都设有临床服务公司，全国分支机构近20家，累计建立合作关系的医院临床基地超200家，拥有国内顶级专家资源，可以为客户提供更完善、更专业化的新药临床服务。</w:t>
            </w:r>
          </w:p>
          <w:p>
            <w:pPr>
              <w:numPr>
                <w:ilvl w:val="0"/>
                <w:numId w:val="0"/>
              </w:numPr>
              <w:spacing w:before="156" w:beforeLines="50" w:line="360" w:lineRule="auto"/>
              <w:ind w:left="0" w:leftChars="0" w:firstLine="482" w:firstLineChars="200"/>
              <w:rPr>
                <w:rFonts w:hint="eastAsia" w:ascii="Times New Roman" w:hAnsi="Times New Roman" w:eastAsia="宋体" w:cs="Times New Roman"/>
                <w:b/>
                <w:bCs/>
                <w:sz w:val="24"/>
                <w:highlight w:val="none"/>
                <w:lang w:val="en-US" w:eastAsia="zh-CN"/>
              </w:rPr>
            </w:pPr>
            <w:r>
              <w:rPr>
                <w:rFonts w:hint="eastAsia" w:ascii="Times New Roman" w:hAnsi="Times New Roman" w:eastAsia="宋体" w:cs="Times New Roman"/>
                <w:b/>
                <w:bCs/>
                <w:sz w:val="24"/>
                <w:highlight w:val="none"/>
                <w:lang w:val="en-US" w:eastAsia="zh-CN"/>
              </w:rPr>
              <w:t>3.介绍一下公司NHKC-1的情况？</w:t>
            </w:r>
          </w:p>
          <w:p>
            <w:pPr>
              <w:numPr>
                <w:ilvl w:val="0"/>
                <w:numId w:val="0"/>
              </w:numPr>
              <w:spacing w:before="156" w:beforeLines="50" w:line="360" w:lineRule="auto"/>
              <w:ind w:left="0" w:leftChars="0" w:firstLine="480" w:firstLineChars="200"/>
              <w:rPr>
                <w:rFonts w:hint="default" w:ascii="Times New Roman" w:hAnsi="Times New Roman" w:eastAsia="宋体" w:cs="Times New Roman"/>
                <w:b w:val="0"/>
                <w:bCs w:val="0"/>
                <w:sz w:val="24"/>
                <w:highlight w:val="none"/>
                <w:lang w:val="en-US" w:eastAsia="zh-CN"/>
              </w:rPr>
            </w:pPr>
            <w:r>
              <w:rPr>
                <w:rFonts w:hint="eastAsia" w:ascii="Times New Roman" w:hAnsi="Times New Roman" w:eastAsia="宋体" w:cs="Times New Roman"/>
                <w:b w:val="0"/>
                <w:bCs w:val="0"/>
                <w:sz w:val="24"/>
                <w:highlight w:val="none"/>
                <w:lang w:val="en-US" w:eastAsia="zh-CN"/>
              </w:rPr>
              <w:t>2023年6月30日公司与浙江</w:t>
            </w:r>
            <w:r>
              <w:rPr>
                <w:rFonts w:hint="default" w:ascii="Times New Roman" w:hAnsi="Times New Roman" w:eastAsia="宋体" w:cs="Times New Roman"/>
                <w:b w:val="0"/>
                <w:bCs w:val="0"/>
                <w:sz w:val="24"/>
                <w:highlight w:val="none"/>
                <w:lang w:val="en-US" w:eastAsia="zh-CN"/>
              </w:rPr>
              <w:t>昂利康制药股份有限公司</w:t>
            </w:r>
            <w:r>
              <w:rPr>
                <w:rFonts w:hint="eastAsia" w:ascii="Times New Roman" w:hAnsi="Times New Roman" w:eastAsia="宋体" w:cs="Times New Roman"/>
                <w:b w:val="0"/>
                <w:bCs w:val="0"/>
                <w:sz w:val="24"/>
                <w:highlight w:val="none"/>
                <w:lang w:val="en-US" w:eastAsia="zh-CN"/>
              </w:rPr>
              <w:t>（以下简称“昂利康”）就共同开发NHKC-1项目技术开发事宜达成合作意向并签署相应的《技术开发合同》，该项目整体估值为1.5</w:t>
            </w:r>
            <w:r>
              <w:rPr>
                <w:rFonts w:hint="default" w:ascii="Times New Roman" w:hAnsi="Times New Roman" w:eastAsia="宋体" w:cs="Times New Roman"/>
                <w:b w:val="0"/>
                <w:bCs w:val="0"/>
                <w:sz w:val="24"/>
                <w:highlight w:val="none"/>
                <w:lang w:val="en-US" w:eastAsia="zh-CN"/>
              </w:rPr>
              <w:t>亿元人民币，由公司与昂利康共同投资开发该项目，项目获准上市后的生产制造、全国市场销售均由昂利康负责，项目的MAH上市许可持有人由阳光诺和或其关联公司持有并完成后续注册申报工作。双方各占项目权益的50%</w:t>
            </w:r>
            <w:r>
              <w:rPr>
                <w:rFonts w:hint="eastAsia" w:ascii="Times New Roman" w:hAnsi="Times New Roman" w:eastAsia="宋体" w:cs="Times New Roman"/>
                <w:b w:val="0"/>
                <w:bCs w:val="0"/>
                <w:sz w:val="24"/>
                <w:highlight w:val="none"/>
                <w:lang w:val="en-US" w:eastAsia="zh-CN"/>
              </w:rPr>
              <w:t>，昂利康向公司支付研发合作费用总金额为7,500</w:t>
            </w:r>
            <w:r>
              <w:rPr>
                <w:rFonts w:hint="default" w:ascii="Times New Roman" w:hAnsi="Times New Roman" w:eastAsia="宋体" w:cs="Times New Roman"/>
                <w:b w:val="0"/>
                <w:bCs w:val="0"/>
                <w:sz w:val="24"/>
                <w:highlight w:val="none"/>
                <w:lang w:val="en-US" w:eastAsia="zh-CN"/>
              </w:rPr>
              <w:t>万元</w:t>
            </w:r>
            <w:r>
              <w:rPr>
                <w:rFonts w:hint="eastAsia" w:ascii="Times New Roman" w:hAnsi="Times New Roman" w:eastAsia="宋体" w:cs="Times New Roman"/>
                <w:b w:val="0"/>
                <w:bCs w:val="0"/>
                <w:sz w:val="24"/>
                <w:highlight w:val="none"/>
                <w:lang w:val="en-US" w:eastAsia="zh-CN"/>
              </w:rPr>
              <w:t>，公司根据研究进度里程碑确认收入。</w:t>
            </w:r>
          </w:p>
          <w:p>
            <w:pPr>
              <w:numPr>
                <w:ilvl w:val="0"/>
                <w:numId w:val="0"/>
              </w:numPr>
              <w:spacing w:before="156" w:beforeLines="50" w:line="360" w:lineRule="auto"/>
              <w:ind w:firstLine="482" w:firstLineChars="200"/>
              <w:rPr>
                <w:rFonts w:hint="default" w:eastAsia="宋体" w:cs="Times New Roman"/>
                <w:b/>
                <w:bCs w:val="0"/>
                <w:iCs/>
                <w:sz w:val="24"/>
                <w:szCs w:val="24"/>
                <w:lang w:val="en-US" w:eastAsia="zh-CN"/>
              </w:rPr>
            </w:pPr>
            <w:r>
              <w:rPr>
                <w:rFonts w:hint="eastAsia" w:cs="Times New Roman"/>
                <w:b/>
                <w:bCs w:val="0"/>
                <w:iCs/>
                <w:sz w:val="24"/>
                <w:szCs w:val="24"/>
                <w:lang w:val="en-US" w:eastAsia="zh-CN"/>
              </w:rPr>
              <w:t>4.</w:t>
            </w:r>
            <w:r>
              <w:rPr>
                <w:rFonts w:hint="eastAsia" w:cs="Times New Roman"/>
                <w:b/>
                <w:bCs w:val="0"/>
                <w:iCs/>
                <w:sz w:val="24"/>
                <w:szCs w:val="24"/>
                <w:highlight w:val="none"/>
                <w:lang w:val="en-US" w:eastAsia="zh-CN"/>
              </w:rPr>
              <w:t>公司收入确认节奏如何</w:t>
            </w:r>
            <w:r>
              <w:rPr>
                <w:rFonts w:hint="eastAsia"/>
                <w:b/>
                <w:iCs/>
                <w:sz w:val="24"/>
                <w:szCs w:val="24"/>
                <w:highlight w:val="none"/>
                <w:lang w:val="en-US" w:eastAsia="zh-CN"/>
              </w:rPr>
              <w:t>？</w:t>
            </w:r>
          </w:p>
          <w:p>
            <w:pPr>
              <w:numPr>
                <w:ilvl w:val="0"/>
                <w:numId w:val="0"/>
              </w:numPr>
              <w:spacing w:before="156" w:beforeLines="50" w:line="360" w:lineRule="auto"/>
              <w:ind w:firstLine="480" w:firstLineChars="200"/>
              <w:rPr>
                <w:rFonts w:hint="default" w:cs="Times New Roman"/>
                <w:b w:val="0"/>
                <w:bCs/>
                <w:iCs/>
                <w:sz w:val="24"/>
                <w:szCs w:val="24"/>
                <w:lang w:val="en-US" w:eastAsia="zh-CN"/>
              </w:rPr>
            </w:pPr>
            <w:r>
              <w:rPr>
                <w:rFonts w:hint="default"/>
                <w:b w:val="0"/>
                <w:bCs/>
                <w:iCs/>
                <w:sz w:val="24"/>
                <w:szCs w:val="24"/>
              </w:rPr>
              <w:t>公司根据研发进度，分阶段确认收入。仿制药从立项到完成工艺交接大概需要12-18个月时间，可确认药学研究合同额70%的收入；完成BE临床试验大概需要6-12个月时间，可确认生物等效性临床合同额100%的收入；完成申报取得注册批件需要12-18个月，申报及取得注册批件可以确认药学研究合同额30%的收入。大临床研究项目，按成本发生，临床I期的研究周期通常需要1-2年，临床II-III期研究周期大约分别需要2-3年。临床前及临床生物分析、PK/PD相关研究业务执行</w:t>
            </w:r>
            <w:r>
              <w:rPr>
                <w:rFonts w:hint="eastAsia"/>
                <w:b w:val="0"/>
                <w:bCs/>
                <w:iCs/>
                <w:sz w:val="24"/>
                <w:szCs w:val="24"/>
                <w:lang w:eastAsia="zh-CN"/>
              </w:rPr>
              <w:t>周期</w:t>
            </w:r>
            <w:r>
              <w:rPr>
                <w:rFonts w:hint="default"/>
                <w:b w:val="0"/>
                <w:bCs/>
                <w:iCs/>
                <w:sz w:val="24"/>
                <w:szCs w:val="24"/>
              </w:rPr>
              <w:t xml:space="preserve">通常不超过1年时间。 </w:t>
            </w:r>
          </w:p>
          <w:p>
            <w:pPr>
              <w:numPr>
                <w:ilvl w:val="0"/>
                <w:numId w:val="0"/>
              </w:numPr>
              <w:spacing w:before="156" w:beforeLines="50" w:line="360" w:lineRule="auto"/>
              <w:ind w:firstLine="482" w:firstLineChars="200"/>
              <w:rPr>
                <w:rFonts w:hint="default" w:ascii="Times New Roman" w:hAnsi="Times New Roman" w:eastAsia="宋体" w:cs="Times New Roman"/>
                <w:b/>
                <w:bCs w:val="0"/>
                <w:sz w:val="24"/>
                <w:lang w:val="en-US" w:eastAsia="zh-CN"/>
              </w:rPr>
            </w:pPr>
            <w:r>
              <w:rPr>
                <w:rFonts w:hint="default" w:ascii="Times New Roman" w:hAnsi="Times New Roman" w:cs="Times New Roman"/>
                <w:b/>
                <w:bCs w:val="0"/>
                <w:iCs/>
                <w:sz w:val="24"/>
                <w:szCs w:val="24"/>
                <w:lang w:val="en-US" w:eastAsia="zh-CN"/>
              </w:rPr>
              <w:t>5.</w:t>
            </w:r>
            <w:r>
              <w:rPr>
                <w:rFonts w:hint="eastAsia" w:ascii="Times New Roman" w:hAnsi="Times New Roman" w:eastAsia="宋体" w:cs="Times New Roman"/>
                <w:b/>
                <w:bCs w:val="0"/>
                <w:sz w:val="24"/>
                <w:lang w:val="en-US" w:eastAsia="zh-CN"/>
              </w:rPr>
              <w:t>公司局部递送与透皮吸收药物研发平台的情况？</w:t>
            </w:r>
          </w:p>
          <w:p>
            <w:pPr>
              <w:numPr>
                <w:ilvl w:val="0"/>
                <w:numId w:val="0"/>
              </w:numPr>
              <w:spacing w:before="156" w:beforeLines="50" w:line="360" w:lineRule="auto"/>
              <w:ind w:firstLine="480" w:firstLineChars="200"/>
              <w:rPr>
                <w:rFonts w:hint="eastAsia" w:ascii="宋体" w:hAnsi="宋体"/>
                <w:b/>
                <w:bCs w:val="0"/>
                <w:iCs/>
                <w:sz w:val="24"/>
                <w:szCs w:val="24"/>
                <w:lang w:val="en-US" w:eastAsia="zh-CN"/>
              </w:rPr>
            </w:pPr>
            <w:r>
              <w:rPr>
                <w:rFonts w:hint="eastAsia" w:ascii="Times New Roman" w:hAnsi="Times New Roman" w:eastAsia="宋体" w:cs="Times New Roman"/>
                <w:b w:val="0"/>
                <w:bCs w:val="0"/>
                <w:sz w:val="24"/>
                <w:lang w:val="en-US" w:eastAsia="zh-CN"/>
              </w:rPr>
              <w:t>公司成立了独立的事业部——</w:t>
            </w:r>
            <w:r>
              <w:rPr>
                <w:rFonts w:hint="default" w:ascii="Times New Roman" w:hAnsi="Times New Roman" w:eastAsia="宋体" w:cs="Times New Roman"/>
                <w:b w:val="0"/>
                <w:bCs w:val="0"/>
                <w:sz w:val="24"/>
              </w:rPr>
              <w:t>阳光诺和外用制剂事业部</w:t>
            </w:r>
            <w:r>
              <w:rPr>
                <w:rFonts w:hint="eastAsia" w:ascii="Times New Roman" w:hAnsi="Times New Roman" w:eastAsia="宋体" w:cs="Times New Roman"/>
                <w:b w:val="0"/>
                <w:bCs w:val="0"/>
                <w:sz w:val="24"/>
                <w:lang w:eastAsia="zh-CN"/>
              </w:rPr>
              <w:t>，</w:t>
            </w:r>
            <w:r>
              <w:rPr>
                <w:rFonts w:hint="default" w:ascii="Times New Roman" w:hAnsi="Times New Roman" w:eastAsia="宋体" w:cs="Times New Roman"/>
                <w:b w:val="0"/>
                <w:bCs w:val="0"/>
                <w:sz w:val="24"/>
              </w:rPr>
              <w:t>由多名从事外用制剂研发+生产的专家团队组成，致力于解决局部递送与透皮制剂的技术壁垒、旨在提高局部递送药品质量和疗效满足Q1</w:t>
            </w:r>
            <w:r>
              <w:rPr>
                <w:rFonts w:hint="default" w:cs="Times New Roman"/>
                <w:b w:val="0"/>
                <w:bCs w:val="0"/>
                <w:color w:val="auto"/>
                <w:sz w:val="24"/>
                <w:lang w:eastAsia="zh-CN"/>
              </w:rPr>
              <w:t>（</w:t>
            </w:r>
            <w:r>
              <w:rPr>
                <w:rFonts w:ascii="Times New Roman" w:hAnsi="Times New Roman" w:eastAsia="宋体" w:cs="Times New Roman"/>
                <w:i w:val="0"/>
                <w:iCs w:val="0"/>
                <w:caps w:val="0"/>
                <w:color w:val="auto"/>
                <w:spacing w:val="0"/>
                <w:sz w:val="24"/>
                <w:szCs w:val="20"/>
                <w:shd w:val="clear" w:fill="auto"/>
              </w:rPr>
              <w:t>辅料种类</w:t>
            </w:r>
            <w:r>
              <w:rPr>
                <w:rFonts w:hint="default" w:cs="Times New Roman"/>
                <w:b w:val="0"/>
                <w:bCs w:val="0"/>
                <w:color w:val="auto"/>
                <w:sz w:val="24"/>
                <w:lang w:eastAsia="zh-CN"/>
              </w:rPr>
              <w:t>）</w:t>
            </w:r>
            <w:r>
              <w:rPr>
                <w:rFonts w:hint="default" w:ascii="Times New Roman" w:hAnsi="Times New Roman" w:eastAsia="宋体" w:cs="Times New Roman"/>
                <w:b w:val="0"/>
                <w:bCs w:val="0"/>
                <w:sz w:val="24"/>
              </w:rPr>
              <w:t>，Q2</w:t>
            </w:r>
            <w:r>
              <w:rPr>
                <w:rFonts w:hint="default" w:cs="Times New Roman"/>
                <w:b w:val="0"/>
                <w:bCs w:val="0"/>
                <w:color w:val="auto"/>
                <w:sz w:val="24"/>
                <w:lang w:eastAsia="zh-CN"/>
              </w:rPr>
              <w:t>（</w:t>
            </w:r>
            <w:r>
              <w:rPr>
                <w:rFonts w:ascii="Times New Roman" w:hAnsi="Times New Roman" w:eastAsia="宋体" w:cs="Times New Roman"/>
                <w:i w:val="0"/>
                <w:iCs w:val="0"/>
                <w:caps w:val="0"/>
                <w:color w:val="auto"/>
                <w:spacing w:val="0"/>
                <w:sz w:val="24"/>
                <w:szCs w:val="20"/>
                <w:shd w:val="clear" w:fill="auto"/>
              </w:rPr>
              <w:t>用量</w:t>
            </w:r>
            <w:r>
              <w:rPr>
                <w:rFonts w:hint="default" w:cs="Times New Roman"/>
                <w:b w:val="0"/>
                <w:bCs w:val="0"/>
                <w:color w:val="auto"/>
                <w:sz w:val="24"/>
                <w:lang w:eastAsia="zh-CN"/>
              </w:rPr>
              <w:t>）</w:t>
            </w:r>
            <w:r>
              <w:rPr>
                <w:rFonts w:hint="default" w:ascii="Times New Roman" w:hAnsi="Times New Roman" w:eastAsia="宋体" w:cs="Times New Roman"/>
                <w:b w:val="0"/>
                <w:bCs w:val="0"/>
                <w:sz w:val="24"/>
              </w:rPr>
              <w:t>，Q3</w:t>
            </w:r>
            <w:r>
              <w:rPr>
                <w:rFonts w:hint="default" w:cs="Times New Roman"/>
                <w:b w:val="0"/>
                <w:bCs w:val="0"/>
                <w:color w:val="auto"/>
                <w:sz w:val="24"/>
                <w:lang w:eastAsia="zh-CN"/>
              </w:rPr>
              <w:t>（</w:t>
            </w:r>
            <w:r>
              <w:rPr>
                <w:rFonts w:ascii="Times New Roman" w:hAnsi="Times New Roman" w:eastAsia="宋体" w:cs="Times New Roman"/>
                <w:i w:val="0"/>
                <w:iCs w:val="0"/>
                <w:caps w:val="0"/>
                <w:color w:val="auto"/>
                <w:spacing w:val="0"/>
                <w:sz w:val="24"/>
                <w:szCs w:val="20"/>
                <w:shd w:val="clear" w:fill="auto"/>
              </w:rPr>
              <w:t>体外质量</w:t>
            </w:r>
            <w:r>
              <w:rPr>
                <w:rFonts w:hint="default" w:cs="Times New Roman"/>
                <w:b w:val="0"/>
                <w:bCs w:val="0"/>
                <w:color w:val="auto"/>
                <w:sz w:val="24"/>
                <w:lang w:eastAsia="zh-CN"/>
              </w:rPr>
              <w:t>）</w:t>
            </w:r>
            <w:r>
              <w:rPr>
                <w:rFonts w:hint="default" w:ascii="Times New Roman" w:hAnsi="Times New Roman" w:eastAsia="宋体" w:cs="Times New Roman"/>
                <w:b w:val="0"/>
                <w:bCs w:val="0"/>
                <w:sz w:val="24"/>
              </w:rPr>
              <w:t>一致。为国内外企业提供透皮给药制剂的CRO</w:t>
            </w:r>
            <w:r>
              <w:rPr>
                <w:rFonts w:hint="eastAsia" w:cs="Times New Roman"/>
                <w:b w:val="0"/>
                <w:bCs w:val="0"/>
                <w:sz w:val="24"/>
                <w:lang w:val="en-US" w:eastAsia="zh-CN"/>
              </w:rPr>
              <w:t>药学</w:t>
            </w:r>
            <w:r>
              <w:rPr>
                <w:rFonts w:hint="default" w:ascii="Times New Roman" w:hAnsi="Times New Roman" w:eastAsia="宋体" w:cs="Times New Roman"/>
                <w:b w:val="0"/>
                <w:bCs w:val="0"/>
                <w:sz w:val="24"/>
              </w:rPr>
              <w:t>+</w:t>
            </w:r>
            <w:r>
              <w:rPr>
                <w:rFonts w:hint="eastAsia" w:cs="Times New Roman"/>
                <w:b w:val="0"/>
                <w:bCs w:val="0"/>
                <w:sz w:val="24"/>
                <w:lang w:val="en-US" w:eastAsia="zh-CN"/>
              </w:rPr>
              <w:t>临床的</w:t>
            </w:r>
            <w:r>
              <w:rPr>
                <w:rFonts w:hint="default" w:ascii="Times New Roman" w:hAnsi="Times New Roman" w:eastAsia="宋体" w:cs="Times New Roman"/>
                <w:b w:val="0"/>
                <w:bCs w:val="0"/>
                <w:sz w:val="24"/>
              </w:rPr>
              <w:t>全流程开发服务。目前已有多个项目取得生产批件和受理号。</w:t>
            </w:r>
            <w:r>
              <w:rPr>
                <w:rFonts w:hint="eastAsia" w:ascii="Times New Roman" w:hAnsi="Times New Roman" w:eastAsia="宋体" w:cs="Times New Roman"/>
                <w:b w:val="0"/>
                <w:bCs w:val="0"/>
                <w:sz w:val="24"/>
                <w:lang w:val="en-US" w:eastAsia="zh-CN"/>
              </w:rPr>
              <w:t>公司成立了6大研究技术平台：凝胶贴膏、热熔贴剂、透皮贴剂、滴眼剂、外用制剂和新技术（未来“药+械”组合技术平台，可以使大分子药物透皮吸收）。</w:t>
            </w:r>
          </w:p>
          <w:p>
            <w:pPr>
              <w:numPr>
                <w:ilvl w:val="0"/>
                <w:numId w:val="0"/>
              </w:numPr>
              <w:spacing w:before="156" w:beforeLines="50" w:line="360" w:lineRule="auto"/>
              <w:ind w:firstLine="482" w:firstLineChars="200"/>
              <w:rPr>
                <w:rFonts w:ascii="宋体" w:hAnsi="宋体"/>
                <w:b/>
                <w:bCs w:val="0"/>
                <w:iCs/>
                <w:sz w:val="24"/>
                <w:szCs w:val="24"/>
              </w:rPr>
            </w:pPr>
            <w:r>
              <w:rPr>
                <w:rFonts w:hint="eastAsia" w:ascii="宋体" w:hAnsi="宋体"/>
                <w:b/>
                <w:bCs w:val="0"/>
                <w:iCs/>
                <w:sz w:val="24"/>
                <w:szCs w:val="24"/>
                <w:lang w:val="en-US" w:eastAsia="zh-CN"/>
              </w:rPr>
              <w:t>6.</w:t>
            </w:r>
            <w:r>
              <w:rPr>
                <w:rFonts w:hint="eastAsia" w:ascii="宋体" w:hAnsi="宋体"/>
                <w:b/>
                <w:bCs w:val="0"/>
                <w:iCs/>
                <w:sz w:val="24"/>
                <w:szCs w:val="24"/>
              </w:rPr>
              <w:t>公司</w:t>
            </w:r>
            <w:r>
              <w:rPr>
                <w:rFonts w:hint="eastAsia" w:ascii="宋体" w:hAnsi="宋体"/>
                <w:b/>
                <w:bCs w:val="0"/>
                <w:iCs/>
                <w:sz w:val="24"/>
                <w:szCs w:val="24"/>
                <w:lang w:val="en-US" w:eastAsia="zh-CN"/>
              </w:rPr>
              <w:t>的客户结构</w:t>
            </w:r>
            <w:r>
              <w:rPr>
                <w:rFonts w:hint="eastAsia" w:ascii="宋体" w:hAnsi="宋体"/>
                <w:b/>
                <w:bCs w:val="0"/>
                <w:iCs/>
                <w:sz w:val="24"/>
                <w:szCs w:val="24"/>
              </w:rPr>
              <w:t>？</w:t>
            </w:r>
          </w:p>
          <w:p>
            <w:pPr>
              <w:numPr>
                <w:ilvl w:val="0"/>
                <w:numId w:val="0"/>
              </w:numPr>
              <w:spacing w:before="156" w:beforeLines="50" w:line="360" w:lineRule="auto"/>
              <w:ind w:left="0" w:firstLine="480" w:firstLineChars="200"/>
              <w:rPr>
                <w:rFonts w:hint="default" w:ascii="Times New Roman" w:hAnsi="Times New Roman"/>
                <w:b w:val="0"/>
                <w:bCs/>
                <w:iCs/>
                <w:sz w:val="24"/>
                <w:szCs w:val="24"/>
                <w:lang w:val="en-US" w:eastAsia="zh-CN"/>
              </w:rPr>
            </w:pPr>
            <w:r>
              <w:rPr>
                <w:rFonts w:hint="eastAsia" w:ascii="宋体" w:hAnsi="宋体" w:eastAsia="宋体"/>
                <w:b w:val="0"/>
                <w:bCs/>
                <w:iCs/>
                <w:sz w:val="24"/>
                <w:szCs w:val="24"/>
                <w:lang w:val="en-US" w:eastAsia="zh-CN"/>
              </w:rPr>
              <w:t xml:space="preserve"> </w:t>
            </w:r>
            <w:r>
              <w:rPr>
                <w:rFonts w:hint="eastAsia" w:ascii="宋体" w:hAnsi="宋体"/>
                <w:b w:val="0"/>
                <w:bCs/>
                <w:iCs/>
                <w:sz w:val="24"/>
                <w:szCs w:val="24"/>
                <w:lang w:val="en-US" w:eastAsia="zh-CN"/>
              </w:rPr>
              <w:t>作为一家专业</w:t>
            </w:r>
            <w:r>
              <w:rPr>
                <w:rFonts w:hint="default" w:ascii="Times New Roman" w:hAnsi="Times New Roman"/>
                <w:b w:val="0"/>
                <w:bCs/>
                <w:iCs/>
                <w:sz w:val="24"/>
                <w:szCs w:val="24"/>
                <w:lang w:val="en-US" w:eastAsia="zh-CN"/>
              </w:rPr>
              <w:t>的CRO服务提供商，我们目前为超过800家客户提供了一站式全流程服务，涵盖了从药物研发到临床试验的各个环节。我们的客户类型多样，既有国内知名的生产型药企，也有新兴的Biotech公司和创新型药企。我们深知不同客户的需求和特点，因此我们一直在不断提升自身服务能力，以满足市场的多元化需求。</w:t>
            </w:r>
          </w:p>
          <w:p>
            <w:pPr>
              <w:numPr>
                <w:ilvl w:val="0"/>
                <w:numId w:val="0"/>
              </w:numPr>
              <w:spacing w:before="156" w:beforeLines="50" w:line="360" w:lineRule="auto"/>
              <w:ind w:left="0" w:firstLine="480" w:firstLineChars="200"/>
              <w:rPr>
                <w:rFonts w:hint="eastAsia" w:ascii="宋体" w:hAnsi="宋体"/>
                <w:b w:val="0"/>
                <w:bCs/>
                <w:iCs/>
                <w:sz w:val="24"/>
                <w:szCs w:val="24"/>
                <w:lang w:val="en-US" w:eastAsia="zh-CN"/>
              </w:rPr>
            </w:pPr>
            <w:r>
              <w:rPr>
                <w:rFonts w:hint="default" w:ascii="Times New Roman" w:hAnsi="Times New Roman"/>
                <w:b w:val="0"/>
                <w:bCs/>
                <w:iCs/>
                <w:sz w:val="24"/>
                <w:szCs w:val="24"/>
                <w:lang w:val="en-US" w:eastAsia="zh-CN"/>
              </w:rPr>
              <w:t>在国内生产型药企方面，我们</w:t>
            </w:r>
            <w:r>
              <w:rPr>
                <w:rFonts w:hint="eastAsia" w:ascii="宋体" w:hAnsi="宋体"/>
                <w:b w:val="0"/>
                <w:bCs/>
                <w:iCs/>
                <w:sz w:val="24"/>
                <w:szCs w:val="24"/>
                <w:lang w:val="en-US" w:eastAsia="zh-CN"/>
              </w:rPr>
              <w:t>与上海医药、广药集团、石药集团、博瑞医药、葫芦娃药业、新华制药、瑞阳制药等大型企业建立了长期稳定的合作关系。这些公司通常拥有更为前沿的技术和创新的药物研发思路，对我们的服务也提出了更高的要求。我们积极应对挑战，不断提升自身的技术实力和服务水平。</w:t>
            </w:r>
          </w:p>
          <w:p>
            <w:pPr>
              <w:numPr>
                <w:ilvl w:val="0"/>
                <w:numId w:val="0"/>
              </w:numPr>
              <w:spacing w:before="156" w:beforeLines="50" w:line="360" w:lineRule="auto"/>
              <w:ind w:left="0" w:leftChars="0" w:firstLine="482" w:firstLineChars="200"/>
              <w:rPr>
                <w:rFonts w:hint="default" w:ascii="宋体" w:hAnsi="宋体" w:eastAsia="宋体" w:cs="Times New Roman"/>
                <w:b/>
                <w:iCs/>
                <w:sz w:val="24"/>
                <w:szCs w:val="24"/>
                <w:highlight w:val="none"/>
                <w:lang w:val="en-US" w:eastAsia="zh-CN"/>
              </w:rPr>
            </w:pPr>
            <w:r>
              <w:rPr>
                <w:rFonts w:hint="eastAsia" w:ascii="宋体" w:hAnsi="宋体"/>
                <w:b/>
                <w:bCs w:val="0"/>
                <w:iCs/>
                <w:sz w:val="24"/>
                <w:szCs w:val="24"/>
                <w:lang w:val="en-US" w:eastAsia="zh-CN"/>
              </w:rPr>
              <w:t>7.</w:t>
            </w:r>
            <w:r>
              <w:rPr>
                <w:rFonts w:hint="eastAsia" w:ascii="宋体" w:hAnsi="宋体"/>
                <w:b/>
                <w:bCs w:val="0"/>
                <w:iCs/>
                <w:sz w:val="24"/>
                <w:szCs w:val="24"/>
                <w:highlight w:val="none"/>
                <w:lang w:val="en-US" w:eastAsia="zh-CN"/>
              </w:rPr>
              <w:t>公司的盈利模式是怎样的？</w:t>
            </w:r>
          </w:p>
          <w:p>
            <w:pPr>
              <w:numPr>
                <w:ilvl w:val="0"/>
                <w:numId w:val="0"/>
              </w:numPr>
              <w:spacing w:before="156" w:beforeLines="50" w:line="360" w:lineRule="auto"/>
              <w:ind w:left="0" w:leftChars="0" w:firstLine="480" w:firstLineChars="200"/>
              <w:rPr>
                <w:rFonts w:hint="eastAsia" w:ascii="宋体" w:hAnsi="宋体" w:eastAsia="宋体" w:cs="Times New Roman"/>
                <w:b w:val="0"/>
                <w:bCs/>
                <w:iCs/>
                <w:sz w:val="24"/>
                <w:szCs w:val="24"/>
                <w:lang w:val="en-US" w:eastAsia="zh-CN"/>
              </w:rPr>
            </w:pPr>
            <w:r>
              <w:rPr>
                <w:rFonts w:hint="eastAsia" w:ascii="宋体" w:hAnsi="宋体" w:eastAsia="宋体" w:cs="Times New Roman"/>
                <w:b w:val="0"/>
                <w:bCs/>
                <w:iCs/>
                <w:sz w:val="24"/>
                <w:szCs w:val="24"/>
                <w:lang w:val="en-US" w:eastAsia="zh-CN"/>
              </w:rPr>
              <w:t>医药</w:t>
            </w:r>
            <w:r>
              <w:rPr>
                <w:rFonts w:hint="default" w:ascii="Times New Roman" w:hAnsi="Times New Roman" w:eastAsia="宋体" w:cs="Times New Roman"/>
                <w:b w:val="0"/>
                <w:bCs/>
                <w:iCs/>
                <w:sz w:val="24"/>
                <w:szCs w:val="24"/>
                <w:lang w:val="en-US" w:eastAsia="zh-CN"/>
              </w:rPr>
              <w:t>行业CRO企业主要依靠承接医药企业的新药研发合同以及研发咨询服务</w:t>
            </w:r>
            <w:r>
              <w:rPr>
                <w:rFonts w:hint="eastAsia" w:ascii="宋体" w:hAnsi="宋体" w:eastAsia="宋体" w:cs="Times New Roman"/>
                <w:b w:val="0"/>
                <w:bCs/>
                <w:iCs/>
                <w:sz w:val="24"/>
                <w:szCs w:val="24"/>
                <w:lang w:val="en-US" w:eastAsia="zh-CN"/>
              </w:rPr>
              <w:t>实现盈利。公司通过接受客户委托，为其提供药物发现、药学研究、药理药效、临床研究和生物分析等服务，配合客户按照国家药品注册管理规定进行药品研究服务，并协助客户完成申报注册，最终取得目标药物的生产批件。在研究过程中，通常分阶段收取款项，根据研发进度或在最终交付成果时确认收入。</w:t>
            </w:r>
          </w:p>
          <w:p>
            <w:pPr>
              <w:numPr>
                <w:ilvl w:val="0"/>
                <w:numId w:val="0"/>
              </w:numPr>
              <w:spacing w:before="156" w:beforeLines="50" w:line="360" w:lineRule="auto"/>
              <w:ind w:left="0" w:leftChars="0" w:firstLine="482" w:firstLineChars="200"/>
              <w:rPr>
                <w:rFonts w:hint="eastAsia" w:ascii="Times New Roman" w:hAnsi="Times New Roman" w:eastAsia="宋体" w:cs="Times New Roman"/>
                <w:b/>
                <w:bCs/>
                <w:sz w:val="24"/>
                <w:highlight w:val="none"/>
                <w:lang w:val="en-US" w:eastAsia="zh-CN"/>
              </w:rPr>
            </w:pPr>
            <w:r>
              <w:rPr>
                <w:rFonts w:hint="eastAsia" w:cs="Times New Roman"/>
                <w:b/>
                <w:bCs/>
                <w:sz w:val="24"/>
                <w:highlight w:val="none"/>
                <w:lang w:val="en-US" w:eastAsia="zh-CN"/>
              </w:rPr>
              <w:t>8</w:t>
            </w:r>
            <w:r>
              <w:rPr>
                <w:rFonts w:hint="eastAsia" w:ascii="Times New Roman" w:hAnsi="Times New Roman" w:eastAsia="宋体" w:cs="Times New Roman"/>
                <w:b/>
                <w:bCs/>
                <w:sz w:val="24"/>
                <w:highlight w:val="none"/>
                <w:lang w:val="en-US" w:eastAsia="zh-CN"/>
              </w:rPr>
              <w:t>.介绍一下公司</w:t>
            </w:r>
            <w:r>
              <w:rPr>
                <w:rFonts w:hint="eastAsia" w:cs="Times New Roman"/>
                <w:b/>
                <w:bCs/>
                <w:sz w:val="24"/>
                <w:highlight w:val="none"/>
                <w:lang w:val="en-US" w:eastAsia="zh-CN"/>
              </w:rPr>
              <w:t>临床研究技术情况</w:t>
            </w:r>
            <w:r>
              <w:rPr>
                <w:rFonts w:hint="eastAsia" w:ascii="Times New Roman" w:hAnsi="Times New Roman" w:eastAsia="宋体" w:cs="Times New Roman"/>
                <w:b/>
                <w:bCs/>
                <w:sz w:val="24"/>
                <w:highlight w:val="none"/>
                <w:lang w:val="en-US" w:eastAsia="zh-CN"/>
              </w:rPr>
              <w:t>？</w:t>
            </w:r>
          </w:p>
          <w:p>
            <w:pPr>
              <w:numPr>
                <w:ilvl w:val="0"/>
                <w:numId w:val="0"/>
              </w:numPr>
              <w:spacing w:before="156" w:beforeLines="50" w:line="360" w:lineRule="auto"/>
              <w:ind w:left="0" w:leftChars="0" w:firstLine="480" w:firstLineChars="200"/>
              <w:rPr>
                <w:rFonts w:hint="default" w:ascii="Times New Roman" w:hAnsi="Times New Roman" w:eastAsia="宋体" w:cs="Times New Roman"/>
                <w:b w:val="0"/>
                <w:bCs w:val="0"/>
                <w:sz w:val="24"/>
                <w:highlight w:val="none"/>
                <w:lang w:val="en-US" w:eastAsia="zh-CN"/>
              </w:rPr>
            </w:pPr>
            <w:r>
              <w:rPr>
                <w:rFonts w:hint="eastAsia" w:cs="Times New Roman"/>
                <w:b w:val="0"/>
                <w:bCs w:val="0"/>
                <w:sz w:val="24"/>
                <w:highlight w:val="none"/>
                <w:lang w:val="en-US" w:eastAsia="zh-CN"/>
              </w:rPr>
              <w:t>公司子公司</w:t>
            </w:r>
            <w:r>
              <w:rPr>
                <w:rFonts w:hint="default" w:ascii="Times New Roman" w:hAnsi="Times New Roman" w:eastAsia="宋体" w:cs="Times New Roman"/>
                <w:b w:val="0"/>
                <w:bCs w:val="0"/>
                <w:sz w:val="24"/>
                <w:highlight w:val="none"/>
                <w:lang w:val="en-US" w:eastAsia="zh-CN"/>
              </w:rPr>
              <w:t>北京诺和德美医药技术有限公司是一家为制药企业和新药研究机构提供专业临床研究技术服务的CRO公司</w:t>
            </w:r>
            <w:r>
              <w:rPr>
                <w:rFonts w:hint="eastAsia" w:cs="Times New Roman"/>
                <w:b w:val="0"/>
                <w:bCs w:val="0"/>
                <w:sz w:val="24"/>
                <w:highlight w:val="none"/>
                <w:lang w:val="en-US" w:eastAsia="zh-CN"/>
              </w:rPr>
              <w:t>，</w:t>
            </w:r>
            <w:r>
              <w:rPr>
                <w:rFonts w:hint="default" w:ascii="Times New Roman" w:hAnsi="Times New Roman" w:eastAsia="宋体" w:cs="Times New Roman"/>
                <w:b w:val="0"/>
                <w:bCs w:val="0"/>
                <w:sz w:val="24"/>
                <w:highlight w:val="none"/>
                <w:lang w:val="en-US" w:eastAsia="zh-CN"/>
              </w:rPr>
              <w:t>拥有强大的临床医学及注册事务团队、优良的临床基地资源、完整的质量保证体系、以及经验丰富的临床监查及项目实施团队</w:t>
            </w:r>
            <w:r>
              <w:rPr>
                <w:rFonts w:hint="eastAsia" w:cs="Times New Roman"/>
                <w:b w:val="0"/>
                <w:bCs w:val="0"/>
                <w:sz w:val="24"/>
                <w:highlight w:val="none"/>
                <w:lang w:val="en-US" w:eastAsia="zh-CN"/>
              </w:rPr>
              <w:t>，可以为客户提供注册事务-定量药理-医学事务-临床运营-药物警戒-数据管理-检测分析-统计分析-申报产出的一站式临床服务。公司已经形成了以“定量药理学”为基础，以PBPK模型为骨架的医学设计模式，可以为客户创新药研究提供减少I期样本量和压缩时间、免II期试验直接进入III期的高效解决方案，同时专注于局部给药临床试验以及改良型新药临床试验，为客户提供专业的解决思路和方案。</w:t>
            </w:r>
          </w:p>
          <w:p>
            <w:pPr>
              <w:numPr>
                <w:ilvl w:val="0"/>
                <w:numId w:val="0"/>
              </w:numPr>
              <w:spacing w:before="156" w:beforeLines="50" w:line="360" w:lineRule="auto"/>
              <w:ind w:firstLine="482" w:firstLineChars="200"/>
              <w:rPr>
                <w:rFonts w:hint="default" w:eastAsia="宋体" w:cs="Times New Roman"/>
                <w:b/>
                <w:bCs w:val="0"/>
                <w:iCs/>
                <w:sz w:val="24"/>
                <w:szCs w:val="24"/>
                <w:lang w:val="en-US" w:eastAsia="zh-CN"/>
              </w:rPr>
            </w:pPr>
            <w:r>
              <w:rPr>
                <w:rFonts w:hint="eastAsia" w:cs="Times New Roman"/>
                <w:b/>
                <w:bCs w:val="0"/>
                <w:iCs/>
                <w:sz w:val="24"/>
                <w:szCs w:val="24"/>
                <w:lang w:val="en-US" w:eastAsia="zh-CN"/>
              </w:rPr>
              <w:t>9.请问公司在分红或是股东回报方面都做了哪些工作？请简单介绍公司的分红情况及未来的计划</w:t>
            </w:r>
          </w:p>
          <w:p>
            <w:pPr>
              <w:numPr>
                <w:ilvl w:val="0"/>
                <w:numId w:val="0"/>
              </w:numPr>
              <w:spacing w:before="156" w:beforeLines="50" w:line="360" w:lineRule="auto"/>
              <w:ind w:firstLine="480" w:firstLineChars="200"/>
              <w:rPr>
                <w:rFonts w:hint="default" w:cs="Times New Roman"/>
                <w:b w:val="0"/>
                <w:bCs/>
                <w:iCs/>
                <w:sz w:val="24"/>
                <w:szCs w:val="24"/>
                <w:lang w:val="en-US" w:eastAsia="zh-CN"/>
              </w:rPr>
            </w:pPr>
            <w:r>
              <w:rPr>
                <w:rFonts w:hint="default" w:cs="Times New Roman"/>
                <w:b w:val="0"/>
                <w:bCs/>
                <w:iCs/>
                <w:sz w:val="24"/>
                <w:szCs w:val="24"/>
                <w:lang w:val="en-US" w:eastAsia="zh-CN"/>
              </w:rPr>
              <w:t>公司始终重视股东回报，积极与股东分享公司发展成果。首先，为增强公司股票长期投资价值，维护投资者利益，在市场低迷及估值低的情况下，公司</w:t>
            </w:r>
            <w:r>
              <w:rPr>
                <w:rFonts w:hint="eastAsia" w:cs="Times New Roman"/>
                <w:b w:val="0"/>
                <w:bCs/>
                <w:iCs/>
                <w:sz w:val="24"/>
                <w:szCs w:val="24"/>
                <w:lang w:val="en-US" w:eastAsia="zh-CN"/>
              </w:rPr>
              <w:t>董事、高级管理人员</w:t>
            </w:r>
            <w:r>
              <w:rPr>
                <w:rFonts w:hint="default" w:cs="Times New Roman"/>
                <w:b w:val="0"/>
                <w:bCs/>
                <w:iCs/>
                <w:sz w:val="24"/>
                <w:szCs w:val="24"/>
                <w:lang w:val="en-US" w:eastAsia="zh-CN"/>
              </w:rPr>
              <w:t>实施了A 股的</w:t>
            </w:r>
            <w:r>
              <w:rPr>
                <w:rFonts w:hint="eastAsia" w:cs="Times New Roman"/>
                <w:b w:val="0"/>
                <w:bCs/>
                <w:iCs/>
                <w:sz w:val="24"/>
                <w:szCs w:val="24"/>
                <w:lang w:val="en-US" w:eastAsia="zh-CN"/>
              </w:rPr>
              <w:t>增持</w:t>
            </w:r>
            <w:r>
              <w:rPr>
                <w:rFonts w:hint="default" w:cs="Times New Roman"/>
                <w:b w:val="0"/>
                <w:bCs/>
                <w:iCs/>
                <w:sz w:val="24"/>
                <w:szCs w:val="24"/>
                <w:lang w:val="en-US" w:eastAsia="zh-CN"/>
              </w:rPr>
              <w:t>计划</w:t>
            </w:r>
            <w:r>
              <w:rPr>
                <w:rFonts w:hint="eastAsia" w:cs="Times New Roman"/>
                <w:b w:val="0"/>
                <w:bCs/>
                <w:iCs/>
                <w:sz w:val="24"/>
                <w:szCs w:val="24"/>
                <w:lang w:val="en-US" w:eastAsia="zh-CN"/>
              </w:rPr>
              <w:t>。</w:t>
            </w:r>
            <w:r>
              <w:rPr>
                <w:rFonts w:hint="default" w:cs="Times New Roman"/>
                <w:b w:val="0"/>
                <w:bCs/>
                <w:iCs/>
                <w:sz w:val="24"/>
                <w:szCs w:val="24"/>
                <w:lang w:val="en-US" w:eastAsia="zh-CN"/>
              </w:rPr>
              <w:t>其次，公司积极采用现金分红的方式回报股东。202</w:t>
            </w:r>
            <w:r>
              <w:rPr>
                <w:rFonts w:hint="eastAsia" w:cs="Times New Roman"/>
                <w:b w:val="0"/>
                <w:bCs/>
                <w:iCs/>
                <w:sz w:val="24"/>
                <w:szCs w:val="24"/>
                <w:lang w:val="en-US" w:eastAsia="zh-CN"/>
              </w:rPr>
              <w:t>2</w:t>
            </w:r>
            <w:r>
              <w:rPr>
                <w:rFonts w:hint="default" w:cs="Times New Roman"/>
                <w:b w:val="0"/>
                <w:bCs/>
                <w:iCs/>
                <w:sz w:val="24"/>
                <w:szCs w:val="24"/>
                <w:lang w:val="en-US" w:eastAsia="zh-CN"/>
              </w:rPr>
              <w:t>年，公司基于202</w:t>
            </w:r>
            <w:r>
              <w:rPr>
                <w:rFonts w:hint="eastAsia" w:cs="Times New Roman"/>
                <w:b w:val="0"/>
                <w:bCs/>
                <w:iCs/>
                <w:sz w:val="24"/>
                <w:szCs w:val="24"/>
                <w:lang w:val="en-US" w:eastAsia="zh-CN"/>
              </w:rPr>
              <w:t>1</w:t>
            </w:r>
            <w:r>
              <w:rPr>
                <w:rFonts w:hint="default" w:cs="Times New Roman"/>
                <w:b w:val="0"/>
                <w:bCs/>
                <w:iCs/>
                <w:sz w:val="24"/>
                <w:szCs w:val="24"/>
                <w:lang w:val="en-US" w:eastAsia="zh-CN"/>
              </w:rPr>
              <w:t>年年度利润向全体股东每10股派发现金红利6元(含税)，以资本公积金向全体股东每</w:t>
            </w:r>
            <w:r>
              <w:rPr>
                <w:rFonts w:hint="eastAsia" w:cs="Times New Roman"/>
                <w:b w:val="0"/>
                <w:bCs/>
                <w:iCs/>
                <w:sz w:val="24"/>
                <w:szCs w:val="24"/>
                <w:lang w:val="en-US" w:eastAsia="zh-CN"/>
              </w:rPr>
              <w:t>10</w:t>
            </w:r>
            <w:r>
              <w:rPr>
                <w:rFonts w:hint="default" w:cs="Times New Roman"/>
                <w:b w:val="0"/>
                <w:bCs/>
                <w:iCs/>
                <w:sz w:val="24"/>
                <w:szCs w:val="24"/>
                <w:lang w:val="en-US" w:eastAsia="zh-CN"/>
              </w:rPr>
              <w:t>股转增</w:t>
            </w:r>
            <w:r>
              <w:rPr>
                <w:rFonts w:hint="eastAsia" w:cs="Times New Roman"/>
                <w:b w:val="0"/>
                <w:bCs/>
                <w:iCs/>
                <w:sz w:val="24"/>
                <w:szCs w:val="24"/>
                <w:lang w:val="en-US" w:eastAsia="zh-CN"/>
              </w:rPr>
              <w:t>4</w:t>
            </w:r>
            <w:r>
              <w:rPr>
                <w:rFonts w:hint="default" w:cs="Times New Roman"/>
                <w:b w:val="0"/>
                <w:bCs/>
                <w:iCs/>
                <w:sz w:val="24"/>
                <w:szCs w:val="24"/>
                <w:lang w:val="en-US" w:eastAsia="zh-CN"/>
              </w:rPr>
              <w:t>股</w:t>
            </w:r>
            <w:r>
              <w:rPr>
                <w:rFonts w:hint="eastAsia" w:cs="Times New Roman"/>
                <w:b w:val="0"/>
                <w:bCs/>
                <w:iCs/>
                <w:sz w:val="24"/>
                <w:szCs w:val="24"/>
                <w:lang w:val="en-US" w:eastAsia="zh-CN"/>
              </w:rPr>
              <w:t>，</w:t>
            </w:r>
            <w:r>
              <w:rPr>
                <w:rFonts w:hint="default" w:cs="Times New Roman"/>
                <w:b w:val="0"/>
                <w:bCs/>
                <w:iCs/>
                <w:sz w:val="24"/>
                <w:szCs w:val="24"/>
                <w:lang w:val="en-US" w:eastAsia="zh-CN"/>
              </w:rPr>
              <w:t>共</w:t>
            </w:r>
            <w:r>
              <w:rPr>
                <w:rFonts w:hint="eastAsia" w:cs="Times New Roman"/>
                <w:b w:val="0"/>
                <w:bCs/>
                <w:iCs/>
                <w:sz w:val="24"/>
                <w:szCs w:val="24"/>
                <w:lang w:val="en-US" w:eastAsia="zh-CN"/>
              </w:rPr>
              <w:t>派发</w:t>
            </w:r>
            <w:r>
              <w:rPr>
                <w:rFonts w:hint="default" w:cs="Times New Roman"/>
                <w:b w:val="0"/>
                <w:bCs/>
                <w:iCs/>
                <w:sz w:val="24"/>
                <w:szCs w:val="24"/>
                <w:lang w:val="en-US" w:eastAsia="zh-CN"/>
              </w:rPr>
              <w:t>现金分红</w:t>
            </w:r>
            <w:r>
              <w:rPr>
                <w:rFonts w:hint="eastAsia" w:cs="Times New Roman"/>
                <w:b w:val="0"/>
                <w:bCs/>
                <w:iCs/>
                <w:sz w:val="24"/>
                <w:szCs w:val="24"/>
                <w:lang w:val="en-US" w:eastAsia="zh-CN"/>
              </w:rPr>
              <w:t>4,800万</w:t>
            </w:r>
            <w:r>
              <w:rPr>
                <w:rFonts w:hint="default" w:cs="Times New Roman"/>
                <w:b w:val="0"/>
                <w:bCs/>
                <w:iCs/>
                <w:sz w:val="24"/>
                <w:szCs w:val="24"/>
                <w:lang w:val="en-US" w:eastAsia="zh-CN"/>
              </w:rPr>
              <w:t>元</w:t>
            </w:r>
            <w:r>
              <w:rPr>
                <w:rFonts w:hint="eastAsia" w:cs="Times New Roman"/>
                <w:b w:val="0"/>
                <w:bCs/>
                <w:iCs/>
                <w:sz w:val="24"/>
                <w:szCs w:val="24"/>
                <w:lang w:val="en-US" w:eastAsia="zh-CN"/>
              </w:rPr>
              <w:t>，转增3,200万股。上市后连续两个会计年度累计</w:t>
            </w:r>
            <w:r>
              <w:rPr>
                <w:rFonts w:hint="default" w:cs="Times New Roman"/>
                <w:b w:val="0"/>
                <w:bCs/>
                <w:iCs/>
                <w:sz w:val="24"/>
                <w:szCs w:val="24"/>
                <w:lang w:val="en-US" w:eastAsia="zh-CN"/>
              </w:rPr>
              <w:t>派</w:t>
            </w:r>
            <w:r>
              <w:rPr>
                <w:rFonts w:hint="eastAsia" w:cs="Times New Roman"/>
                <w:b w:val="0"/>
                <w:bCs/>
                <w:iCs/>
                <w:sz w:val="24"/>
                <w:szCs w:val="24"/>
                <w:lang w:val="en-US" w:eastAsia="zh-CN"/>
              </w:rPr>
              <w:t>发现金分红</w:t>
            </w:r>
            <w:r>
              <w:rPr>
                <w:rFonts w:hint="default" w:cs="Times New Roman"/>
                <w:b w:val="0"/>
                <w:bCs/>
                <w:iCs/>
                <w:sz w:val="24"/>
                <w:szCs w:val="24"/>
                <w:lang w:val="en-US" w:eastAsia="zh-CN"/>
              </w:rPr>
              <w:t>合计约</w:t>
            </w:r>
            <w:r>
              <w:rPr>
                <w:rFonts w:hint="eastAsia" w:cs="Times New Roman"/>
                <w:b w:val="0"/>
                <w:bCs/>
                <w:iCs/>
                <w:sz w:val="24"/>
                <w:szCs w:val="24"/>
                <w:lang w:val="en-US" w:eastAsia="zh-CN"/>
              </w:rPr>
              <w:t>6,920万</w:t>
            </w:r>
            <w:r>
              <w:rPr>
                <w:rFonts w:hint="default" w:cs="Times New Roman"/>
                <w:b w:val="0"/>
                <w:bCs/>
                <w:iCs/>
                <w:sz w:val="24"/>
                <w:szCs w:val="24"/>
                <w:lang w:val="en-US" w:eastAsia="zh-CN"/>
              </w:rPr>
              <w:t>元。公司拥有稳定的现金流及可持续的盈利能力，未来公司还将综合考虑各项业务发展和中长期整体规划等相关情况，继续积极践行股东回报</w:t>
            </w:r>
            <w:r>
              <w:rPr>
                <w:rFonts w:hint="eastAsia" w:cs="Times New Roman"/>
                <w:b w:val="0"/>
                <w:bCs/>
                <w:iCs/>
                <w:sz w:val="24"/>
                <w:szCs w:val="24"/>
                <w:lang w:val="en-US" w:eastAsia="zh-CN"/>
              </w:rPr>
              <w:t>。</w:t>
            </w:r>
          </w:p>
          <w:p>
            <w:pPr>
              <w:numPr>
                <w:ilvl w:val="0"/>
                <w:numId w:val="0"/>
              </w:numPr>
              <w:spacing w:before="156" w:beforeLines="50" w:line="360" w:lineRule="auto"/>
              <w:ind w:firstLine="482" w:firstLineChars="200"/>
              <w:rPr>
                <w:rFonts w:hint="default" w:ascii="Times New Roman" w:hAnsi="Times New Roman" w:eastAsia="宋体" w:cs="Times New Roman"/>
                <w:b/>
                <w:bCs w:val="0"/>
                <w:sz w:val="24"/>
                <w:lang w:val="en-US" w:eastAsia="zh-CN"/>
              </w:rPr>
            </w:pPr>
            <w:r>
              <w:rPr>
                <w:rFonts w:hint="eastAsia" w:cs="Times New Roman"/>
                <w:b/>
                <w:bCs w:val="0"/>
                <w:iCs/>
                <w:sz w:val="24"/>
                <w:szCs w:val="24"/>
                <w:lang w:val="en-US" w:eastAsia="zh-CN"/>
              </w:rPr>
              <w:t>10</w:t>
            </w:r>
            <w:r>
              <w:rPr>
                <w:rFonts w:hint="default" w:ascii="Times New Roman" w:hAnsi="Times New Roman" w:cs="Times New Roman"/>
                <w:b/>
                <w:bCs w:val="0"/>
                <w:iCs/>
                <w:sz w:val="24"/>
                <w:szCs w:val="24"/>
                <w:lang w:val="en-US" w:eastAsia="zh-CN"/>
              </w:rPr>
              <w:t>.公司受医药行业整治影响如何</w:t>
            </w:r>
            <w:r>
              <w:rPr>
                <w:rFonts w:hint="eastAsia" w:cs="Times New Roman"/>
                <w:b/>
                <w:bCs w:val="0"/>
                <w:iCs/>
                <w:sz w:val="24"/>
                <w:szCs w:val="24"/>
                <w:lang w:val="en-US" w:eastAsia="zh-CN"/>
              </w:rPr>
              <w:t>？</w:t>
            </w:r>
          </w:p>
          <w:p>
            <w:pPr>
              <w:numPr>
                <w:ilvl w:val="0"/>
                <w:numId w:val="0"/>
              </w:numPr>
              <w:spacing w:before="156" w:beforeLines="50" w:line="360" w:lineRule="auto"/>
              <w:ind w:firstLine="480" w:firstLineChars="200"/>
              <w:rPr>
                <w:rFonts w:hint="eastAsia" w:ascii="宋体" w:hAnsi="宋体"/>
                <w:b/>
                <w:bCs w:val="0"/>
                <w:iCs/>
                <w:sz w:val="24"/>
                <w:szCs w:val="24"/>
                <w:lang w:val="en-US" w:eastAsia="zh-CN"/>
              </w:rPr>
            </w:pPr>
            <w:r>
              <w:rPr>
                <w:rFonts w:hint="eastAsia" w:cs="Times New Roman"/>
                <w:b w:val="0"/>
                <w:bCs w:val="0"/>
                <w:sz w:val="24"/>
                <w:lang w:val="en-US" w:eastAsia="zh-CN"/>
              </w:rPr>
              <w:t>医药行业整治行动在短期内对药品研发的临床推进和市场推广产生了一定程度的影响，但从长远来看，这对于行业的健康发展具有积极的推动作用。随着未来药物研发市场竞争的加剧，研发创新服务能力与速度将成为决定胜负的关键因素。因此，我们必须持续加大研发投入，以临床价值为导向进行研发布局和产品立项选择。无论是接受客户委托还是自主立项储备研发，我们都应致力于开发出更多具有临床优势的产品，确保产品的疗效确切。只有这样，我们才能在激烈的市场竞争中获得更大的优势。</w:t>
            </w:r>
          </w:p>
          <w:p>
            <w:pPr>
              <w:numPr>
                <w:ilvl w:val="0"/>
                <w:numId w:val="0"/>
              </w:numPr>
              <w:spacing w:before="156" w:beforeLines="50" w:line="360" w:lineRule="auto"/>
              <w:ind w:firstLine="482" w:firstLineChars="200"/>
              <w:rPr>
                <w:rFonts w:ascii="宋体" w:hAnsi="宋体"/>
                <w:b/>
                <w:bCs w:val="0"/>
                <w:iCs/>
                <w:sz w:val="24"/>
                <w:szCs w:val="24"/>
              </w:rPr>
            </w:pPr>
            <w:r>
              <w:rPr>
                <w:rFonts w:hint="eastAsia" w:ascii="宋体" w:hAnsi="宋体"/>
                <w:b/>
                <w:bCs w:val="0"/>
                <w:iCs/>
                <w:sz w:val="24"/>
                <w:szCs w:val="24"/>
                <w:lang w:val="en-US" w:eastAsia="zh-CN"/>
              </w:rPr>
              <w:t>11.</w:t>
            </w:r>
            <w:r>
              <w:rPr>
                <w:rFonts w:hint="eastAsia" w:ascii="宋体" w:hAnsi="宋体"/>
                <w:b/>
                <w:iCs/>
                <w:sz w:val="24"/>
                <w:szCs w:val="24"/>
                <w:lang w:val="en-US" w:eastAsia="zh-CN"/>
              </w:rPr>
              <w:t>公司</w:t>
            </w:r>
            <w:r>
              <w:rPr>
                <w:rFonts w:hint="eastAsia" w:ascii="宋体" w:hAnsi="宋体"/>
                <w:b/>
                <w:iCs/>
                <w:sz w:val="24"/>
                <w:szCs w:val="24"/>
              </w:rPr>
              <w:t>未来3年研发费用的展望？</w:t>
            </w:r>
          </w:p>
          <w:p>
            <w:pPr>
              <w:numPr>
                <w:ilvl w:val="0"/>
                <w:numId w:val="0"/>
              </w:numPr>
              <w:spacing w:before="156" w:beforeLines="50" w:line="360" w:lineRule="auto"/>
              <w:ind w:left="0" w:firstLine="480" w:firstLineChars="200"/>
              <w:rPr>
                <w:rFonts w:hint="default" w:ascii="Times New Roman" w:hAnsi="Times New Roman"/>
                <w:b w:val="0"/>
                <w:bCs/>
                <w:iCs/>
                <w:sz w:val="24"/>
                <w:szCs w:val="24"/>
                <w:lang w:val="en-US" w:eastAsia="zh-CN"/>
              </w:rPr>
            </w:pPr>
            <w:r>
              <w:rPr>
                <w:rFonts w:hint="eastAsia" w:ascii="宋体" w:hAnsi="宋体"/>
                <w:bCs/>
                <w:iCs/>
                <w:sz w:val="24"/>
                <w:szCs w:val="24"/>
                <w:lang w:val="en-US" w:eastAsia="zh-CN"/>
              </w:rPr>
              <w:t>公司</w:t>
            </w:r>
            <w:r>
              <w:rPr>
                <w:rFonts w:hint="eastAsia" w:ascii="宋体" w:hAnsi="宋体"/>
                <w:bCs/>
                <w:iCs/>
                <w:sz w:val="24"/>
                <w:szCs w:val="24"/>
              </w:rPr>
              <w:t>围绕临床前+临床研究一体化战略，</w:t>
            </w:r>
            <w:r>
              <w:rPr>
                <w:rFonts w:hint="eastAsia" w:ascii="宋体" w:hAnsi="宋体"/>
                <w:bCs/>
                <w:iCs/>
                <w:sz w:val="24"/>
                <w:szCs w:val="24"/>
                <w:lang w:val="en-US" w:eastAsia="zh-CN"/>
              </w:rPr>
              <w:t>会</w:t>
            </w:r>
            <w:r>
              <w:rPr>
                <w:rFonts w:hint="eastAsia" w:ascii="宋体" w:hAnsi="宋体"/>
                <w:bCs/>
                <w:iCs/>
                <w:sz w:val="24"/>
                <w:szCs w:val="24"/>
              </w:rPr>
              <w:t>持续推进品种自研储备战略，进一步完善技术成果转化事业部的建设，持续加大自主立项的多肽创新药、改良型新药和特色仿制药的研发投入，确保技术及</w:t>
            </w:r>
            <w:r>
              <w:rPr>
                <w:rFonts w:hint="eastAsia" w:ascii="宋体" w:hAnsi="宋体"/>
                <w:bCs/>
                <w:iCs/>
                <w:sz w:val="24"/>
                <w:szCs w:val="24"/>
                <w:lang w:val="en-US" w:eastAsia="zh-CN"/>
              </w:rPr>
              <w:t>服务</w:t>
            </w:r>
            <w:r>
              <w:rPr>
                <w:rFonts w:hint="eastAsia" w:ascii="宋体" w:hAnsi="宋体"/>
                <w:bCs/>
                <w:iCs/>
                <w:sz w:val="24"/>
                <w:szCs w:val="24"/>
              </w:rPr>
              <w:t>的</w:t>
            </w:r>
            <w:r>
              <w:rPr>
                <w:rFonts w:hint="eastAsia" w:ascii="宋体" w:hAnsi="宋体"/>
                <w:bCs/>
                <w:iCs/>
                <w:sz w:val="24"/>
                <w:szCs w:val="24"/>
                <w:lang w:val="en-US" w:eastAsia="zh-CN"/>
              </w:rPr>
              <w:t>先进</w:t>
            </w:r>
            <w:r>
              <w:rPr>
                <w:rFonts w:hint="eastAsia" w:ascii="宋体" w:hAnsi="宋体"/>
                <w:bCs/>
                <w:iCs/>
                <w:sz w:val="24"/>
                <w:szCs w:val="24"/>
              </w:rPr>
              <w:t>性。公司研发费用</w:t>
            </w:r>
            <w:r>
              <w:rPr>
                <w:rFonts w:hint="default" w:ascii="Times New Roman" w:hAnsi="Times New Roman"/>
                <w:bCs/>
                <w:iCs/>
                <w:sz w:val="24"/>
                <w:szCs w:val="24"/>
              </w:rPr>
              <w:t>绝对值</w:t>
            </w:r>
            <w:r>
              <w:rPr>
                <w:rFonts w:hint="default" w:ascii="Times New Roman" w:hAnsi="Times New Roman"/>
                <w:bCs/>
                <w:iCs/>
                <w:sz w:val="24"/>
                <w:szCs w:val="24"/>
                <w:lang w:val="en-US" w:eastAsia="zh-CN"/>
              </w:rPr>
              <w:t>在</w:t>
            </w:r>
            <w:r>
              <w:rPr>
                <w:rFonts w:hint="default" w:ascii="Times New Roman" w:hAnsi="Times New Roman"/>
                <w:bCs/>
                <w:iCs/>
                <w:sz w:val="24"/>
                <w:szCs w:val="24"/>
              </w:rPr>
              <w:t>未来3年预计仍然会维持增长</w:t>
            </w:r>
            <w:r>
              <w:rPr>
                <w:rFonts w:hint="default" w:ascii="Times New Roman" w:hAnsi="Times New Roman"/>
                <w:bCs/>
                <w:iCs/>
                <w:sz w:val="24"/>
                <w:szCs w:val="24"/>
                <w:lang w:val="en-US" w:eastAsia="zh-CN"/>
              </w:rPr>
              <w:t>态势</w:t>
            </w:r>
            <w:r>
              <w:rPr>
                <w:rFonts w:hint="default" w:ascii="Times New Roman" w:hAnsi="Times New Roman"/>
                <w:bCs/>
                <w:iCs/>
                <w:sz w:val="24"/>
                <w:szCs w:val="24"/>
              </w:rPr>
              <w:t>，通过前期累计研发投入，形成的技术成果在未来转化过程中，可形成长期超额收益。</w:t>
            </w:r>
          </w:p>
          <w:p>
            <w:pPr>
              <w:numPr>
                <w:ilvl w:val="0"/>
                <w:numId w:val="0"/>
              </w:numPr>
              <w:spacing w:before="156" w:beforeLines="50" w:line="360" w:lineRule="auto"/>
              <w:ind w:left="0" w:leftChars="0" w:firstLine="482" w:firstLineChars="200"/>
              <w:rPr>
                <w:rFonts w:hint="default" w:ascii="Times New Roman" w:hAnsi="Times New Roman" w:eastAsia="宋体" w:cs="Times New Roman"/>
                <w:b/>
                <w:iCs/>
                <w:sz w:val="24"/>
                <w:szCs w:val="24"/>
                <w:highlight w:val="none"/>
                <w:lang w:val="en-US" w:eastAsia="zh-CN"/>
              </w:rPr>
            </w:pPr>
            <w:r>
              <w:rPr>
                <w:rFonts w:hint="default" w:ascii="Times New Roman" w:hAnsi="Times New Roman"/>
                <w:b/>
                <w:bCs w:val="0"/>
                <w:iCs/>
                <w:sz w:val="24"/>
                <w:szCs w:val="24"/>
                <w:lang w:val="en-US" w:eastAsia="zh-CN"/>
              </w:rPr>
              <w:t>12.</w:t>
            </w:r>
            <w:r>
              <w:rPr>
                <w:rFonts w:hint="default" w:ascii="Times New Roman" w:hAnsi="Times New Roman"/>
                <w:b/>
                <w:bCs w:val="0"/>
                <w:iCs/>
                <w:sz w:val="24"/>
                <w:szCs w:val="24"/>
                <w:highlight w:val="none"/>
                <w:lang w:val="en-US" w:eastAsia="zh-CN"/>
              </w:rPr>
              <w:t>公司的自研项目进度如何？</w:t>
            </w:r>
          </w:p>
          <w:p>
            <w:pPr>
              <w:numPr>
                <w:ilvl w:val="0"/>
                <w:numId w:val="0"/>
              </w:numPr>
              <w:spacing w:before="156" w:beforeLines="50" w:line="360" w:lineRule="auto"/>
              <w:ind w:left="0" w:leftChars="0" w:firstLine="480" w:firstLineChars="200"/>
              <w:rPr>
                <w:rFonts w:hint="eastAsia" w:ascii="宋体" w:hAnsi="宋体" w:eastAsia="宋体" w:cs="Times New Roman"/>
                <w:b w:val="0"/>
                <w:bCs/>
                <w:iCs/>
                <w:sz w:val="24"/>
                <w:szCs w:val="24"/>
                <w:lang w:val="en-US" w:eastAsia="zh-CN"/>
              </w:rPr>
            </w:pPr>
            <w:r>
              <w:rPr>
                <w:rFonts w:hint="default" w:ascii="Times New Roman" w:hAnsi="Times New Roman" w:eastAsia="宋体" w:cs="Times New Roman"/>
                <w:b w:val="0"/>
                <w:bCs/>
                <w:iCs/>
                <w:sz w:val="24"/>
                <w:szCs w:val="24"/>
                <w:lang w:val="en-US" w:eastAsia="zh-CN"/>
              </w:rPr>
              <w:t>截止目前公司已有三十余项改良型新药、多肽创新药的自研储备，未来预计每年会继续保持较高的研发强度，新增研发费用当期全部费用化</w:t>
            </w:r>
            <w:r>
              <w:rPr>
                <w:rFonts w:hint="default" w:ascii="Times New Roman" w:hAnsi="Times New Roman" w:cs="Times New Roman"/>
                <w:b w:val="0"/>
                <w:bCs/>
                <w:iCs/>
                <w:sz w:val="24"/>
                <w:szCs w:val="24"/>
                <w:lang w:val="en-US" w:eastAsia="zh-CN"/>
              </w:rPr>
              <w:t>，其中进度较快的已经进入II期临床试验阶段，是一种高选择性的多肽类KOR激动剂，包含</w:t>
            </w:r>
            <w:r>
              <w:rPr>
                <w:rFonts w:hint="default" w:ascii="Times New Roman" w:hAnsi="Times New Roman" w:eastAsia="宋体" w:cs="Times New Roman"/>
                <w:bCs/>
                <w:i w:val="0"/>
                <w:iCs/>
                <w:caps w:val="0"/>
                <w:spacing w:val="0"/>
                <w:sz w:val="24"/>
                <w:szCs w:val="24"/>
                <w:shd w:val="clear"/>
              </w:rPr>
              <w:t>尿毒症瘙痒</w:t>
            </w:r>
            <w:r>
              <w:rPr>
                <w:rFonts w:hint="default" w:ascii="Times New Roman" w:hAnsi="Times New Roman" w:cs="Times New Roman"/>
                <w:bCs/>
                <w:i w:val="0"/>
                <w:iCs/>
                <w:caps w:val="0"/>
                <w:spacing w:val="0"/>
                <w:sz w:val="24"/>
                <w:szCs w:val="24"/>
                <w:shd w:val="clear"/>
                <w:lang w:val="en-US" w:eastAsia="zh-CN"/>
              </w:rPr>
              <w:t>和</w:t>
            </w:r>
            <w:r>
              <w:rPr>
                <w:rFonts w:hint="default" w:ascii="Times New Roman" w:hAnsi="Times New Roman" w:eastAsia="宋体" w:cs="Times New Roman"/>
                <w:bCs/>
                <w:i w:val="0"/>
                <w:iCs/>
                <w:caps w:val="0"/>
                <w:spacing w:val="0"/>
                <w:sz w:val="24"/>
                <w:szCs w:val="24"/>
                <w:shd w:val="clear"/>
              </w:rPr>
              <w:t>术后镇痛</w:t>
            </w:r>
            <w:r>
              <w:rPr>
                <w:rFonts w:hint="default" w:ascii="Times New Roman" w:hAnsi="Times New Roman" w:cs="Times New Roman"/>
                <w:bCs/>
                <w:i w:val="0"/>
                <w:iCs/>
                <w:caps w:val="0"/>
                <w:spacing w:val="0"/>
                <w:sz w:val="24"/>
                <w:szCs w:val="24"/>
                <w:shd w:val="clear"/>
                <w:lang w:val="en-US" w:eastAsia="zh-CN"/>
              </w:rPr>
              <w:t>两个适应症</w:t>
            </w:r>
            <w:r>
              <w:rPr>
                <w:rFonts w:hint="default" w:ascii="Times New Roman" w:hAnsi="Times New Roman" w:eastAsia="宋体" w:cs="Times New Roman"/>
                <w:b w:val="0"/>
                <w:bCs/>
                <w:iCs/>
                <w:sz w:val="24"/>
                <w:szCs w:val="24"/>
                <w:lang w:val="en-US" w:eastAsia="zh-CN"/>
              </w:rPr>
              <w:t>。对于仿制药，未来可根据各品种研发进度，择机跟客户合作，将品种转让给客户并保留有20%-80%不等的收益分成权；对于创新药，通常会选择在IND之后，</w:t>
            </w:r>
            <w:r>
              <w:rPr>
                <w:rFonts w:hint="eastAsia" w:ascii="宋体" w:hAnsi="宋体" w:eastAsia="宋体" w:cs="Times New Roman"/>
                <w:b w:val="0"/>
                <w:bCs/>
                <w:iCs/>
                <w:sz w:val="24"/>
                <w:szCs w:val="24"/>
                <w:lang w:val="en-US" w:eastAsia="zh-CN"/>
              </w:rPr>
              <w:t>跟客户合作转让，锁定后续大临床服务并保留少量上市后的分成权益。</w:t>
            </w:r>
          </w:p>
          <w:p>
            <w:pPr>
              <w:numPr>
                <w:ilvl w:val="0"/>
                <w:numId w:val="0"/>
              </w:numPr>
              <w:spacing w:before="156" w:beforeLines="50" w:line="360" w:lineRule="auto"/>
              <w:ind w:left="0" w:leftChars="0" w:firstLine="482" w:firstLineChars="200"/>
              <w:rPr>
                <w:rFonts w:hint="eastAsia" w:ascii="Times New Roman" w:hAnsi="Times New Roman" w:eastAsia="宋体" w:cs="Times New Roman"/>
                <w:b/>
                <w:bCs/>
                <w:sz w:val="24"/>
                <w:highlight w:val="none"/>
                <w:lang w:val="en-US" w:eastAsia="zh-CN"/>
              </w:rPr>
            </w:pPr>
            <w:r>
              <w:rPr>
                <w:rFonts w:hint="eastAsia" w:cs="Times New Roman"/>
                <w:b/>
                <w:bCs/>
                <w:sz w:val="24"/>
                <w:highlight w:val="none"/>
                <w:lang w:val="en-US" w:eastAsia="zh-CN"/>
              </w:rPr>
              <w:t>1</w:t>
            </w:r>
            <w:r>
              <w:rPr>
                <w:rFonts w:hint="eastAsia" w:ascii="Times New Roman" w:hAnsi="Times New Roman" w:eastAsia="宋体" w:cs="Times New Roman"/>
                <w:b/>
                <w:bCs/>
                <w:sz w:val="24"/>
                <w:highlight w:val="none"/>
                <w:lang w:val="en-US" w:eastAsia="zh-CN"/>
              </w:rPr>
              <w:t>3.</w:t>
            </w:r>
            <w:r>
              <w:rPr>
                <w:rFonts w:hint="eastAsia" w:cs="Times New Roman"/>
                <w:b/>
                <w:bCs/>
                <w:sz w:val="24"/>
                <w:highlight w:val="none"/>
                <w:lang w:val="en-US" w:eastAsia="zh-CN"/>
              </w:rPr>
              <w:t>公司宠物药布局情况如何</w:t>
            </w:r>
            <w:r>
              <w:rPr>
                <w:rFonts w:hint="eastAsia" w:ascii="Times New Roman" w:hAnsi="Times New Roman" w:eastAsia="宋体" w:cs="Times New Roman"/>
                <w:b/>
                <w:bCs/>
                <w:sz w:val="24"/>
                <w:highlight w:val="none"/>
                <w:lang w:val="en-US" w:eastAsia="zh-CN"/>
              </w:rPr>
              <w:t>？</w:t>
            </w:r>
          </w:p>
          <w:p>
            <w:pPr>
              <w:numPr>
                <w:ilvl w:val="0"/>
                <w:numId w:val="0"/>
              </w:numPr>
              <w:spacing w:before="156" w:beforeLines="50" w:line="360" w:lineRule="auto"/>
              <w:ind w:left="0" w:leftChars="0" w:firstLine="480" w:firstLineChars="200"/>
              <w:rPr>
                <w:rFonts w:hint="eastAsia" w:cs="Times New Roman"/>
                <w:bCs/>
                <w:i w:val="0"/>
                <w:iCs/>
                <w:caps w:val="0"/>
                <w:spacing w:val="0"/>
                <w:sz w:val="24"/>
                <w:szCs w:val="24"/>
                <w:shd w:val="clear"/>
                <w:lang w:eastAsia="zh-CN"/>
              </w:rPr>
            </w:pPr>
            <w:r>
              <w:rPr>
                <w:rFonts w:hint="eastAsia" w:cs="Times New Roman"/>
                <w:bCs/>
                <w:i w:val="0"/>
                <w:iCs/>
                <w:caps w:val="0"/>
                <w:spacing w:val="0"/>
                <w:sz w:val="24"/>
                <w:szCs w:val="24"/>
                <w:shd w:val="clear"/>
                <w:lang w:eastAsia="zh-CN"/>
              </w:rPr>
              <w:t>公司的宠物药业务由动保事业部诺和瑞宠独立运营，这一部门在业界享有盛誉，凭借其卓越的研发实力和严格的质量管理体系，不断推动宠物药领域的创新与发展。</w:t>
            </w:r>
          </w:p>
          <w:p>
            <w:pPr>
              <w:numPr>
                <w:ilvl w:val="0"/>
                <w:numId w:val="0"/>
              </w:numPr>
              <w:spacing w:before="156" w:beforeLines="50" w:line="360" w:lineRule="auto"/>
              <w:ind w:left="0" w:leftChars="0" w:firstLine="480" w:firstLineChars="200"/>
              <w:rPr>
                <w:rFonts w:hint="eastAsia" w:cs="Times New Roman"/>
                <w:bCs/>
                <w:i w:val="0"/>
                <w:iCs/>
                <w:caps w:val="0"/>
                <w:spacing w:val="0"/>
                <w:sz w:val="24"/>
                <w:szCs w:val="24"/>
                <w:shd w:val="clear"/>
                <w:lang w:eastAsia="zh-CN"/>
              </w:rPr>
            </w:pPr>
            <w:r>
              <w:rPr>
                <w:rFonts w:hint="eastAsia" w:cs="Times New Roman"/>
                <w:bCs/>
                <w:i w:val="0"/>
                <w:iCs/>
                <w:caps w:val="0"/>
                <w:spacing w:val="0"/>
                <w:sz w:val="24"/>
                <w:szCs w:val="24"/>
                <w:shd w:val="clear"/>
                <w:lang w:eastAsia="zh-CN"/>
              </w:rPr>
              <w:t>诺和瑞宠目前拥有一支规模庞大的研发团队，共计75名专业人员，其中硕博比例高达40%以上。这一高素质的人才队伍为公司的研发工作提供了坚实的</w:t>
            </w:r>
            <w:r>
              <w:rPr>
                <w:rFonts w:hint="eastAsia" w:cs="Times New Roman"/>
                <w:bCs/>
                <w:i w:val="0"/>
                <w:iCs/>
                <w:caps w:val="0"/>
                <w:spacing w:val="0"/>
                <w:sz w:val="24"/>
                <w:szCs w:val="24"/>
                <w:shd w:val="clear"/>
                <w:lang w:val="en-US" w:eastAsia="zh-CN"/>
              </w:rPr>
              <w:t>技术</w:t>
            </w:r>
            <w:r>
              <w:rPr>
                <w:rFonts w:hint="eastAsia" w:cs="Times New Roman"/>
                <w:bCs/>
                <w:i w:val="0"/>
                <w:iCs/>
                <w:caps w:val="0"/>
                <w:spacing w:val="0"/>
                <w:sz w:val="24"/>
                <w:szCs w:val="24"/>
                <w:shd w:val="clear"/>
                <w:lang w:eastAsia="zh-CN"/>
              </w:rPr>
              <w:t>支持。在强大的研发团队推动下，诺和瑞宠成功建立了口服液、滴眼液、外用制剂等高端制剂平台，不断满足市场需求，为宠物提供更安全、有效的药物治疗方案。</w:t>
            </w:r>
          </w:p>
          <w:p>
            <w:pPr>
              <w:numPr>
                <w:ilvl w:val="0"/>
                <w:numId w:val="0"/>
              </w:numPr>
              <w:spacing w:before="156" w:beforeLines="50" w:line="360" w:lineRule="auto"/>
              <w:ind w:left="0" w:leftChars="0" w:firstLine="480" w:firstLineChars="200"/>
              <w:rPr>
                <w:rFonts w:hint="eastAsia" w:cs="Times New Roman"/>
                <w:bCs/>
                <w:i w:val="0"/>
                <w:iCs/>
                <w:caps w:val="0"/>
                <w:spacing w:val="0"/>
                <w:sz w:val="24"/>
                <w:szCs w:val="24"/>
                <w:shd w:val="clear"/>
                <w:lang w:eastAsia="zh-CN"/>
              </w:rPr>
            </w:pPr>
            <w:r>
              <w:rPr>
                <w:rFonts w:hint="eastAsia" w:cs="Times New Roman"/>
                <w:bCs/>
                <w:i w:val="0"/>
                <w:iCs/>
                <w:caps w:val="0"/>
                <w:spacing w:val="0"/>
                <w:sz w:val="24"/>
                <w:szCs w:val="24"/>
                <w:shd w:val="clear"/>
                <w:lang w:eastAsia="zh-CN"/>
              </w:rPr>
              <w:t>为了确保研发工作的合规性和质量，诺和瑞宠在ISO、CMA、CNAS等研发体系的指导下，建立了完善的合规质量体系。这一体系确保了公司在研发过程中严格遵守相关法规和标准，为宠物药的安全性和有效性提供了有力保障。</w:t>
            </w:r>
          </w:p>
          <w:p>
            <w:pPr>
              <w:numPr>
                <w:ilvl w:val="0"/>
                <w:numId w:val="0"/>
              </w:numPr>
              <w:spacing w:before="156" w:beforeLines="50" w:line="360" w:lineRule="auto"/>
              <w:ind w:left="0" w:leftChars="0" w:firstLine="480" w:firstLineChars="200"/>
              <w:rPr>
                <w:rFonts w:hint="eastAsia" w:cs="Times New Roman"/>
                <w:bCs/>
                <w:i w:val="0"/>
                <w:iCs/>
                <w:caps w:val="0"/>
                <w:spacing w:val="0"/>
                <w:sz w:val="24"/>
                <w:szCs w:val="24"/>
                <w:shd w:val="clear"/>
                <w:lang w:eastAsia="zh-CN"/>
              </w:rPr>
            </w:pPr>
            <w:r>
              <w:rPr>
                <w:rFonts w:hint="eastAsia" w:cs="Times New Roman"/>
                <w:bCs/>
                <w:i w:val="0"/>
                <w:iCs/>
                <w:caps w:val="0"/>
                <w:spacing w:val="0"/>
                <w:sz w:val="24"/>
                <w:szCs w:val="24"/>
                <w:shd w:val="clear"/>
                <w:lang w:eastAsia="zh-CN"/>
              </w:rPr>
              <w:t>值得一提的是，诺和瑞宠与欧博方等多家知名药企建立了紧密的合作关系。这些合作不仅为公司带来了丰富的研发资源和市场经验，还助力诺和瑞宠将人药研发的优势转化为</w:t>
            </w:r>
            <w:r>
              <w:rPr>
                <w:rFonts w:hint="eastAsia" w:cs="Times New Roman"/>
                <w:bCs/>
                <w:i w:val="0"/>
                <w:iCs/>
                <w:caps w:val="0"/>
                <w:spacing w:val="0"/>
                <w:sz w:val="24"/>
                <w:szCs w:val="24"/>
                <w:shd w:val="clear"/>
                <w:lang w:val="en-US" w:eastAsia="zh-CN"/>
              </w:rPr>
              <w:t>宠物</w:t>
            </w:r>
            <w:r>
              <w:rPr>
                <w:rFonts w:hint="eastAsia" w:cs="Times New Roman"/>
                <w:bCs/>
                <w:i w:val="0"/>
                <w:iCs/>
                <w:caps w:val="0"/>
                <w:spacing w:val="0"/>
                <w:sz w:val="24"/>
                <w:szCs w:val="24"/>
                <w:shd w:val="clear"/>
                <w:lang w:eastAsia="zh-CN"/>
              </w:rPr>
              <w:t>药研发的先机。通过与这些企业的交流与合作，诺和瑞宠不断提升自身的研发能力和市场竞争力，为宠物药行业的发展贡献力量。</w:t>
            </w:r>
          </w:p>
          <w:p>
            <w:pPr>
              <w:numPr>
                <w:ilvl w:val="0"/>
                <w:numId w:val="0"/>
              </w:numPr>
              <w:spacing w:before="156" w:beforeLines="50" w:after="0" w:line="360" w:lineRule="auto"/>
              <w:ind w:left="0" w:leftChars="0" w:firstLine="480" w:firstLineChars="200"/>
              <w:rPr>
                <w:rFonts w:hint="eastAsia" w:cs="Times New Roman"/>
                <w:bCs/>
                <w:i w:val="0"/>
                <w:iCs/>
                <w:caps w:val="0"/>
                <w:spacing w:val="0"/>
                <w:sz w:val="24"/>
                <w:szCs w:val="24"/>
                <w:shd w:val="clear"/>
                <w:lang w:eastAsia="zh-CN"/>
              </w:rPr>
            </w:pPr>
            <w:r>
              <w:rPr>
                <w:rFonts w:hint="eastAsia" w:cs="Times New Roman"/>
                <w:bCs/>
                <w:i w:val="0"/>
                <w:iCs/>
                <w:caps w:val="0"/>
                <w:spacing w:val="0"/>
                <w:sz w:val="24"/>
                <w:szCs w:val="24"/>
                <w:shd w:val="clear"/>
                <w:lang w:eastAsia="zh-CN"/>
              </w:rPr>
              <w:t>总之，诺和瑞宠凭借其强大的研发实力、严格的质量管理体系和广泛的合作网络，在宠物药领域取得了显著的成绩。未来，诺和瑞宠将继续致力于研发创新，为宠物提供更多安全、有效的药物治疗方案，推动宠物药行业的持续发展。</w:t>
            </w:r>
          </w:p>
          <w:p>
            <w:pPr>
              <w:numPr>
                <w:ilvl w:val="0"/>
                <w:numId w:val="0"/>
              </w:numPr>
              <w:spacing w:before="156" w:beforeLines="50" w:line="360" w:lineRule="auto"/>
              <w:ind w:firstLine="482" w:firstLineChars="200"/>
              <w:rPr>
                <w:rFonts w:hint="default" w:eastAsia="宋体" w:cs="Times New Roman"/>
                <w:b/>
                <w:bCs w:val="0"/>
                <w:iCs/>
                <w:sz w:val="24"/>
                <w:szCs w:val="24"/>
                <w:highlight w:val="none"/>
                <w:lang w:val="en-US" w:eastAsia="zh-CN"/>
              </w:rPr>
            </w:pPr>
            <w:r>
              <w:rPr>
                <w:rFonts w:hint="eastAsia" w:cs="Times New Roman"/>
                <w:b/>
                <w:bCs w:val="0"/>
                <w:iCs/>
                <w:sz w:val="24"/>
                <w:szCs w:val="24"/>
                <w:highlight w:val="none"/>
                <w:lang w:val="en-US" w:eastAsia="zh-CN"/>
              </w:rPr>
              <w:t>14.请问公司在技术提升方面的计划？</w:t>
            </w:r>
          </w:p>
          <w:p>
            <w:pPr>
              <w:numPr>
                <w:ilvl w:val="0"/>
                <w:numId w:val="0"/>
              </w:numPr>
              <w:spacing w:before="156" w:beforeLines="50" w:line="360" w:lineRule="auto"/>
              <w:ind w:firstLine="480" w:firstLineChars="200"/>
              <w:rPr>
                <w:rFonts w:hint="default" w:cs="Times New Roman"/>
                <w:b w:val="0"/>
                <w:bCs/>
                <w:iCs/>
                <w:sz w:val="24"/>
                <w:szCs w:val="24"/>
                <w:lang w:val="en-US" w:eastAsia="zh-CN"/>
              </w:rPr>
            </w:pPr>
            <w:r>
              <w:rPr>
                <w:rFonts w:ascii="Times New Roman" w:hAnsi="Times New Roman" w:eastAsia="宋体" w:cs="Times New Roman"/>
                <w:bCs/>
                <w:i w:val="0"/>
                <w:iCs/>
                <w:caps w:val="0"/>
                <w:spacing w:val="0"/>
                <w:sz w:val="24"/>
                <w:szCs w:val="24"/>
                <w:shd w:val="clear"/>
              </w:rPr>
              <w:t>研发和技术创新是公司赖以生存和发展的基础，是公司核心竞争力的集中体现。公司将在现</w:t>
            </w:r>
            <w:r>
              <w:rPr>
                <w:rFonts w:hint="default" w:ascii="Times New Roman" w:hAnsi="Times New Roman" w:eastAsia="宋体" w:cs="Times New Roman"/>
                <w:bCs/>
                <w:i w:val="0"/>
                <w:iCs/>
                <w:caps w:val="0"/>
                <w:spacing w:val="0"/>
                <w:sz w:val="24"/>
                <w:szCs w:val="24"/>
                <w:shd w:val="clear"/>
              </w:rPr>
              <w:t>有自主核心技术的基础上，继续采用当今先进的技术设备、研发理念、技术标准，加快研究开发关键性、前瞻性、突破性技术；加强药物发现、药学研究、药理药效、临床研究和生物分析等领域的研究服务能力；提升和完善具有核心技术的药物研发全套技术方案，促进公司业务增长和市场扩大，进一步加大研发投入，充实研究力量，健全研究开发体系，鼓励和激励技术创新，增强公司的技术创新能力。</w:t>
            </w:r>
          </w:p>
          <w:p>
            <w:pPr>
              <w:numPr>
                <w:ilvl w:val="0"/>
                <w:numId w:val="0"/>
              </w:numPr>
              <w:spacing w:before="156" w:beforeLines="50" w:line="360" w:lineRule="auto"/>
              <w:ind w:firstLine="482" w:firstLineChars="200"/>
              <w:rPr>
                <w:rFonts w:hint="default" w:ascii="Times New Roman" w:hAnsi="Times New Roman" w:eastAsia="宋体" w:cs="Times New Roman"/>
                <w:b/>
                <w:bCs w:val="0"/>
                <w:sz w:val="24"/>
                <w:lang w:val="en-US" w:eastAsia="zh-CN"/>
              </w:rPr>
            </w:pPr>
            <w:r>
              <w:rPr>
                <w:rFonts w:hint="eastAsia" w:cs="Times New Roman"/>
                <w:b/>
                <w:bCs w:val="0"/>
                <w:iCs/>
                <w:sz w:val="24"/>
                <w:szCs w:val="24"/>
                <w:lang w:val="en-US" w:eastAsia="zh-CN"/>
              </w:rPr>
              <w:t>1</w:t>
            </w:r>
            <w:r>
              <w:rPr>
                <w:rFonts w:hint="default" w:ascii="Times New Roman" w:hAnsi="Times New Roman" w:cs="Times New Roman"/>
                <w:b/>
                <w:bCs w:val="0"/>
                <w:iCs/>
                <w:sz w:val="24"/>
                <w:szCs w:val="24"/>
                <w:lang w:val="en-US" w:eastAsia="zh-CN"/>
              </w:rPr>
              <w:t>5.</w:t>
            </w:r>
            <w:r>
              <w:rPr>
                <w:rFonts w:hint="eastAsia" w:cs="Times New Roman"/>
                <w:b/>
                <w:bCs w:val="0"/>
                <w:iCs/>
                <w:sz w:val="24"/>
                <w:szCs w:val="24"/>
                <w:lang w:val="en-US" w:eastAsia="zh-CN"/>
              </w:rPr>
              <w:t>介绍一下公司自研项目储备的模式？</w:t>
            </w:r>
          </w:p>
          <w:p>
            <w:pPr>
              <w:numPr>
                <w:ilvl w:val="0"/>
                <w:numId w:val="0"/>
              </w:numPr>
              <w:spacing w:before="156" w:beforeLines="50" w:line="360" w:lineRule="auto"/>
              <w:ind w:firstLine="480" w:firstLineChars="200"/>
              <w:rPr>
                <w:rFonts w:hint="eastAsia" w:ascii="宋体" w:hAnsi="宋体"/>
                <w:b/>
                <w:bCs w:val="0"/>
                <w:iCs/>
                <w:sz w:val="24"/>
                <w:szCs w:val="24"/>
                <w:lang w:val="en-US" w:eastAsia="zh-CN"/>
              </w:rPr>
            </w:pPr>
            <w:r>
              <w:rPr>
                <w:rFonts w:hint="eastAsia" w:cs="Times New Roman"/>
                <w:bCs/>
                <w:i w:val="0"/>
                <w:iCs/>
                <w:caps w:val="0"/>
                <w:spacing w:val="0"/>
                <w:sz w:val="24"/>
                <w:szCs w:val="24"/>
                <w:shd w:val="clear"/>
                <w:lang w:val="en-US" w:eastAsia="zh-CN"/>
              </w:rPr>
              <w:t>公司凭借多年的研发服务经验，对于众多药品的开发技术及其市场潜力具有深刻的认知。通过公司立项委员会的审慎筛选，我们会主动储备一批前景广阔、供应紧张且开发难度较高的药品品种。待这些药品的工艺逐渐成熟后，我们会结合客户的实际需求，向客户推荐，并接受客户的委托继续为该品种提供后续研发服务。在创新药的研发上，我们主要聚焦于镇痛、抗菌、治疗贫血等领域；而在改良型新药方面，我们重点研发长效微球制剂、缓控释制剂等。这些产品都具备一定的技术门槛，是临床上急需且市场上短缺的品种，因此它们具有广阔的市场前景。这些产品的产业化将有利于推动公司业绩的稳步增长。</w:t>
            </w:r>
          </w:p>
          <w:p>
            <w:pPr>
              <w:numPr>
                <w:ilvl w:val="0"/>
                <w:numId w:val="0"/>
              </w:numPr>
              <w:spacing w:before="156" w:beforeLines="50" w:line="360" w:lineRule="auto"/>
              <w:ind w:firstLine="482" w:firstLineChars="200"/>
              <w:rPr>
                <w:rFonts w:ascii="Times New Roman" w:hAnsi="Times New Roman"/>
                <w:b/>
                <w:bCs w:val="0"/>
                <w:iCs/>
                <w:sz w:val="24"/>
                <w:szCs w:val="24"/>
              </w:rPr>
            </w:pPr>
            <w:r>
              <w:rPr>
                <w:rFonts w:hint="default" w:ascii="Times New Roman" w:hAnsi="Times New Roman"/>
                <w:b/>
                <w:bCs w:val="0"/>
                <w:iCs/>
                <w:sz w:val="24"/>
                <w:szCs w:val="24"/>
                <w:lang w:val="en-US" w:eastAsia="zh-CN"/>
              </w:rPr>
              <w:t>16.</w:t>
            </w:r>
            <w:r>
              <w:rPr>
                <w:rFonts w:hint="default" w:ascii="Times New Roman" w:hAnsi="Times New Roman"/>
                <w:b/>
                <w:iCs/>
                <w:sz w:val="24"/>
                <w:szCs w:val="24"/>
              </w:rPr>
              <w:t>公司在行业中有什么竞争优势?</w:t>
            </w:r>
          </w:p>
          <w:p>
            <w:pPr>
              <w:numPr>
                <w:ilvl w:val="0"/>
                <w:numId w:val="0"/>
              </w:numPr>
              <w:spacing w:before="156" w:beforeLines="50" w:line="360" w:lineRule="auto"/>
              <w:ind w:left="0" w:firstLine="480" w:firstLineChars="200"/>
              <w:rPr>
                <w:rFonts w:hint="default" w:ascii="Times New Roman" w:hAnsi="Times New Roman"/>
                <w:b w:val="0"/>
                <w:bCs/>
                <w:iCs/>
                <w:sz w:val="24"/>
                <w:szCs w:val="24"/>
                <w:lang w:val="en-US" w:eastAsia="zh-CN"/>
              </w:rPr>
            </w:pPr>
            <w:r>
              <w:rPr>
                <w:rFonts w:hint="default" w:ascii="Times New Roman" w:hAnsi="Times New Roman"/>
                <w:bCs/>
                <w:iCs/>
                <w:sz w:val="24"/>
                <w:szCs w:val="24"/>
              </w:rPr>
              <w:t>首先,公司业务起步于药学研究业务，在药学研究领域积累了丰富的经验，建立了扎实的客户基础</w:t>
            </w:r>
            <w:r>
              <w:rPr>
                <w:rFonts w:hint="default" w:ascii="Times New Roman" w:hAnsi="Times New Roman"/>
                <w:bCs/>
                <w:iCs/>
                <w:sz w:val="24"/>
                <w:szCs w:val="24"/>
                <w:lang w:eastAsia="zh-CN"/>
              </w:rPr>
              <w:t>，</w:t>
            </w:r>
            <w:r>
              <w:rPr>
                <w:rFonts w:hint="default" w:ascii="Times New Roman" w:hAnsi="Times New Roman"/>
                <w:bCs/>
                <w:iCs/>
                <w:sz w:val="24"/>
                <w:szCs w:val="24"/>
                <w:lang w:val="en-US" w:eastAsia="zh-CN"/>
              </w:rPr>
              <w:t>目前已经建立了</w:t>
            </w:r>
            <w:r>
              <w:rPr>
                <w:rFonts w:hint="default" w:ascii="Times New Roman" w:hAnsi="Times New Roman"/>
                <w:bCs/>
                <w:iCs/>
                <w:sz w:val="24"/>
                <w:szCs w:val="24"/>
              </w:rPr>
              <w:t>“临床前+临床”综合研发服务模式</w:t>
            </w:r>
            <w:r>
              <w:rPr>
                <w:rFonts w:hint="default" w:ascii="Times New Roman" w:hAnsi="Times New Roman"/>
                <w:bCs/>
                <w:iCs/>
                <w:sz w:val="24"/>
                <w:szCs w:val="24"/>
                <w:lang w:eastAsia="zh-CN"/>
              </w:rPr>
              <w:t>，</w:t>
            </w:r>
            <w:r>
              <w:rPr>
                <w:rFonts w:hint="default" w:ascii="Times New Roman" w:hAnsi="Times New Roman"/>
                <w:bCs/>
                <w:iCs/>
                <w:sz w:val="24"/>
                <w:szCs w:val="24"/>
              </w:rPr>
              <w:t>为客户提供一体化的一站式服务</w:t>
            </w:r>
            <w:r>
              <w:rPr>
                <w:rFonts w:hint="default" w:ascii="Times New Roman" w:hAnsi="Times New Roman"/>
                <w:bCs/>
                <w:iCs/>
                <w:sz w:val="24"/>
                <w:szCs w:val="24"/>
                <w:lang w:eastAsia="zh-CN"/>
              </w:rPr>
              <w:t>。</w:t>
            </w:r>
            <w:r>
              <w:rPr>
                <w:rFonts w:hint="default" w:ascii="Times New Roman" w:hAnsi="Times New Roman"/>
                <w:bCs/>
                <w:iCs/>
                <w:sz w:val="24"/>
                <w:szCs w:val="24"/>
                <w:lang w:val="en-US" w:eastAsia="zh-CN"/>
              </w:rPr>
              <w:t>截止2023上半年，已有</w:t>
            </w:r>
            <w:r>
              <w:rPr>
                <w:rFonts w:hint="default" w:ascii="Times New Roman" w:hAnsi="Times New Roman"/>
                <w:bCs/>
                <w:iCs/>
                <w:sz w:val="24"/>
                <w:szCs w:val="24"/>
              </w:rPr>
              <w:t>3项新药项目已通过NMPA批准进入临床试验，47项药品申报上市注册受理</w:t>
            </w:r>
            <w:r>
              <w:rPr>
                <w:rFonts w:hint="default" w:ascii="Times New Roman" w:hAnsi="Times New Roman"/>
                <w:bCs/>
                <w:iCs/>
                <w:sz w:val="24"/>
                <w:szCs w:val="24"/>
                <w:lang w:eastAsia="zh-CN"/>
              </w:rPr>
              <w:t>，</w:t>
            </w:r>
            <w:r>
              <w:rPr>
                <w:rFonts w:hint="default" w:ascii="Times New Roman" w:hAnsi="Times New Roman"/>
                <w:bCs/>
                <w:iCs/>
                <w:sz w:val="24"/>
                <w:szCs w:val="24"/>
              </w:rPr>
              <w:t>取得31项药品生产注册批件</w:t>
            </w:r>
            <w:r>
              <w:rPr>
                <w:rFonts w:hint="default" w:ascii="Times New Roman" w:hAnsi="Times New Roman"/>
                <w:bCs/>
                <w:iCs/>
                <w:sz w:val="24"/>
                <w:szCs w:val="24"/>
                <w:lang w:eastAsia="zh-CN"/>
              </w:rPr>
              <w:t>。</w:t>
            </w:r>
            <w:r>
              <w:rPr>
                <w:rFonts w:hint="default" w:ascii="Times New Roman" w:hAnsi="Times New Roman"/>
                <w:bCs/>
                <w:iCs/>
                <w:sz w:val="24"/>
                <w:szCs w:val="24"/>
                <w:lang w:val="en-US" w:eastAsia="zh-CN"/>
              </w:rPr>
              <w:t>其次，公司在</w:t>
            </w:r>
            <w:r>
              <w:rPr>
                <w:rFonts w:hint="default" w:ascii="Times New Roman" w:hAnsi="Times New Roman"/>
                <w:bCs/>
                <w:iCs/>
                <w:sz w:val="24"/>
                <w:szCs w:val="24"/>
              </w:rPr>
              <w:t>特殊剂型、特殊给药途径、多肽及小核酸类药物开发等高难度研发领域，形成了多个特色化的核心技术集群。以新型复方制剂为例，需要在复方改进、药效学增效、降低毒副作用和杂质控制等多方面实现技术突破，在技术开发上具有较高难度</w:t>
            </w:r>
            <w:r>
              <w:rPr>
                <w:rFonts w:hint="default" w:ascii="Times New Roman" w:hAnsi="Times New Roman"/>
                <w:bCs/>
                <w:iCs/>
                <w:sz w:val="24"/>
                <w:szCs w:val="24"/>
                <w:lang w:eastAsia="zh-CN"/>
              </w:rPr>
              <w:t>，</w:t>
            </w:r>
            <w:r>
              <w:rPr>
                <w:rFonts w:hint="default" w:ascii="Times New Roman" w:hAnsi="Times New Roman"/>
                <w:bCs/>
                <w:iCs/>
                <w:sz w:val="24"/>
                <w:szCs w:val="24"/>
                <w:lang w:val="en-US" w:eastAsia="zh-CN"/>
              </w:rPr>
              <w:t>公司通过积累</w:t>
            </w:r>
            <w:r>
              <w:rPr>
                <w:rFonts w:hint="default" w:ascii="Times New Roman" w:hAnsi="Times New Roman"/>
                <w:bCs/>
                <w:iCs/>
                <w:sz w:val="24"/>
                <w:szCs w:val="24"/>
              </w:rPr>
              <w:t>在部分核心技术的特色化上</w:t>
            </w:r>
            <w:r>
              <w:rPr>
                <w:rFonts w:hint="default" w:ascii="Times New Roman" w:hAnsi="Times New Roman"/>
                <w:bCs/>
                <w:iCs/>
                <w:sz w:val="24"/>
                <w:szCs w:val="24"/>
                <w:lang w:val="en-US" w:eastAsia="zh-CN"/>
              </w:rPr>
              <w:t>具备</w:t>
            </w:r>
            <w:r>
              <w:rPr>
                <w:rFonts w:hint="default" w:ascii="Times New Roman" w:hAnsi="Times New Roman"/>
                <w:bCs/>
                <w:iCs/>
                <w:sz w:val="24"/>
                <w:szCs w:val="24"/>
              </w:rPr>
              <w:t>竞争优势。同时,公司也具备专业人才团队优势,建立了标准的研究质量控制体系,拥有优质的客户群和良好的行业口碑,并且在创新药领域的服务能力快速提升,持续创新药物研发关键技术。</w:t>
            </w:r>
          </w:p>
          <w:p>
            <w:pPr>
              <w:numPr>
                <w:ilvl w:val="0"/>
                <w:numId w:val="0"/>
              </w:numPr>
              <w:spacing w:before="156" w:beforeLines="50" w:line="360" w:lineRule="auto"/>
              <w:ind w:left="0" w:leftChars="0" w:firstLine="482" w:firstLineChars="200"/>
              <w:rPr>
                <w:rFonts w:hint="default" w:ascii="Times New Roman" w:hAnsi="Times New Roman" w:eastAsia="宋体" w:cs="Times New Roman"/>
                <w:b/>
                <w:iCs/>
                <w:sz w:val="24"/>
                <w:szCs w:val="24"/>
                <w:highlight w:val="none"/>
                <w:lang w:val="en-US" w:eastAsia="zh-CN"/>
              </w:rPr>
            </w:pPr>
            <w:r>
              <w:rPr>
                <w:rFonts w:hint="default" w:ascii="Times New Roman" w:hAnsi="Times New Roman"/>
                <w:b/>
                <w:bCs w:val="0"/>
                <w:iCs/>
                <w:sz w:val="24"/>
                <w:szCs w:val="24"/>
                <w:lang w:val="en-US" w:eastAsia="zh-CN"/>
              </w:rPr>
              <w:t>17.</w:t>
            </w:r>
            <w:r>
              <w:rPr>
                <w:rFonts w:hint="default" w:ascii="Times New Roman" w:hAnsi="Times New Roman"/>
                <w:b/>
                <w:iCs/>
                <w:sz w:val="24"/>
                <w:szCs w:val="24"/>
                <w:highlight w:val="none"/>
              </w:rPr>
              <w:t>公司在技术平台发展方面有何规划?</w:t>
            </w:r>
          </w:p>
          <w:p>
            <w:pPr>
              <w:numPr>
                <w:ilvl w:val="0"/>
                <w:numId w:val="0"/>
              </w:numPr>
              <w:spacing w:before="156" w:beforeLines="50" w:line="360" w:lineRule="auto"/>
              <w:ind w:left="0" w:leftChars="0" w:firstLine="480" w:firstLineChars="200"/>
              <w:rPr>
                <w:rFonts w:hint="default" w:ascii="Times New Roman" w:hAnsi="Times New Roman" w:eastAsia="宋体" w:cs="Times New Roman"/>
                <w:b w:val="0"/>
                <w:bCs/>
                <w:iCs/>
                <w:sz w:val="24"/>
                <w:szCs w:val="24"/>
                <w:lang w:val="en-US" w:eastAsia="zh-CN"/>
              </w:rPr>
            </w:pPr>
            <w:r>
              <w:rPr>
                <w:rFonts w:hint="default" w:ascii="Times New Roman" w:hAnsi="Times New Roman"/>
                <w:bCs/>
                <w:iCs/>
                <w:sz w:val="24"/>
                <w:szCs w:val="24"/>
              </w:rPr>
              <w:t>公司紧密跟踪创新药物研发前沿动态以及基于客户研发需求,持续加大药物研发关键技术研究,推进和完善一系列重要研发技术平台建设。公司不断增强在</w:t>
            </w:r>
            <w:r>
              <w:rPr>
                <w:rFonts w:hint="default" w:ascii="Times New Roman" w:hAnsi="Times New Roman"/>
                <w:bCs/>
                <w:iCs/>
                <w:sz w:val="24"/>
                <w:szCs w:val="24"/>
                <w:lang w:val="en-US" w:eastAsia="zh-CN"/>
              </w:rPr>
              <w:t>优势适应症</w:t>
            </w:r>
            <w:r>
              <w:rPr>
                <w:rFonts w:hint="default" w:ascii="Times New Roman" w:hAnsi="Times New Roman"/>
                <w:bCs/>
                <w:iCs/>
                <w:sz w:val="24"/>
                <w:szCs w:val="24"/>
              </w:rPr>
              <w:t>药物方面的开发以及后期的IND申报一体化服务方面的优势</w:t>
            </w:r>
            <w:r>
              <w:rPr>
                <w:rFonts w:hint="default" w:ascii="Times New Roman" w:hAnsi="Times New Roman"/>
                <w:bCs/>
                <w:iCs/>
                <w:sz w:val="24"/>
                <w:szCs w:val="24"/>
                <w:lang w:eastAsia="zh-CN"/>
              </w:rPr>
              <w:t>；</w:t>
            </w:r>
            <w:r>
              <w:rPr>
                <w:rFonts w:hint="default" w:ascii="Times New Roman" w:hAnsi="Times New Roman"/>
                <w:bCs/>
                <w:iCs/>
                <w:sz w:val="24"/>
                <w:szCs w:val="24"/>
              </w:rPr>
              <w:t>建立和开发</w:t>
            </w:r>
            <w:r>
              <w:rPr>
                <w:rFonts w:hint="default" w:ascii="Times New Roman" w:hAnsi="Times New Roman"/>
                <w:bCs/>
                <w:iCs/>
                <w:sz w:val="24"/>
                <w:szCs w:val="24"/>
                <w:lang w:val="en-US" w:eastAsia="zh-CN"/>
              </w:rPr>
              <w:t>中药及宠物药</w:t>
            </w:r>
            <w:r>
              <w:rPr>
                <w:rFonts w:hint="default" w:ascii="Times New Roman" w:hAnsi="Times New Roman"/>
                <w:bCs/>
                <w:iCs/>
                <w:sz w:val="24"/>
                <w:szCs w:val="24"/>
              </w:rPr>
              <w:t>研发服务平台</w:t>
            </w:r>
            <w:r>
              <w:rPr>
                <w:rFonts w:hint="default" w:ascii="Times New Roman" w:hAnsi="Times New Roman"/>
                <w:bCs/>
                <w:iCs/>
                <w:sz w:val="24"/>
                <w:szCs w:val="24"/>
                <w:lang w:eastAsia="zh-CN"/>
              </w:rPr>
              <w:t>；</w:t>
            </w:r>
            <w:r>
              <w:rPr>
                <w:rFonts w:hint="default" w:ascii="Times New Roman" w:hAnsi="Times New Roman"/>
                <w:bCs/>
                <w:iCs/>
                <w:sz w:val="24"/>
                <w:szCs w:val="24"/>
                <w:lang w:val="en-US" w:eastAsia="zh-CN"/>
              </w:rPr>
              <w:t>通过</w:t>
            </w:r>
            <w:r>
              <w:rPr>
                <w:rFonts w:hint="default" w:ascii="Times New Roman" w:hAnsi="Times New Roman"/>
                <w:bCs/>
                <w:iCs/>
                <w:sz w:val="24"/>
                <w:szCs w:val="24"/>
              </w:rPr>
              <w:t>临床医学平台</w:t>
            </w:r>
            <w:r>
              <w:rPr>
                <w:rFonts w:hint="default" w:ascii="Times New Roman" w:hAnsi="Times New Roman"/>
                <w:bCs/>
                <w:iCs/>
                <w:sz w:val="24"/>
                <w:szCs w:val="24"/>
                <w:lang w:eastAsia="zh-CN"/>
              </w:rPr>
              <w:t>、</w:t>
            </w:r>
            <w:r>
              <w:rPr>
                <w:rFonts w:hint="default" w:ascii="Times New Roman" w:hAnsi="Times New Roman"/>
                <w:bCs/>
                <w:iCs/>
                <w:sz w:val="24"/>
                <w:szCs w:val="24"/>
              </w:rPr>
              <w:t>临床运营平台</w:t>
            </w:r>
            <w:r>
              <w:rPr>
                <w:rFonts w:hint="default" w:ascii="Times New Roman" w:hAnsi="Times New Roman"/>
                <w:bCs/>
                <w:iCs/>
                <w:sz w:val="24"/>
                <w:szCs w:val="24"/>
                <w:lang w:eastAsia="zh-CN"/>
              </w:rPr>
              <w:t>、</w:t>
            </w:r>
            <w:r>
              <w:rPr>
                <w:rFonts w:hint="default" w:ascii="Times New Roman" w:hAnsi="Times New Roman"/>
                <w:bCs/>
                <w:iCs/>
                <w:sz w:val="24"/>
                <w:szCs w:val="24"/>
              </w:rPr>
              <w:t>SMO</w:t>
            </w:r>
            <w:r>
              <w:rPr>
                <w:rFonts w:hint="default" w:ascii="Times New Roman" w:hAnsi="Times New Roman"/>
                <w:bCs/>
                <w:iCs/>
                <w:sz w:val="24"/>
                <w:szCs w:val="24"/>
                <w:lang w:eastAsia="zh-CN"/>
              </w:rPr>
              <w:t>、</w:t>
            </w:r>
            <w:r>
              <w:rPr>
                <w:rFonts w:hint="default" w:ascii="Times New Roman" w:hAnsi="Times New Roman"/>
                <w:bCs/>
                <w:iCs/>
                <w:sz w:val="24"/>
                <w:szCs w:val="24"/>
              </w:rPr>
              <w:t>第三方稽查</w:t>
            </w:r>
            <w:r>
              <w:rPr>
                <w:rFonts w:hint="default" w:ascii="Times New Roman" w:hAnsi="Times New Roman"/>
                <w:bCs/>
                <w:iCs/>
                <w:sz w:val="24"/>
                <w:szCs w:val="24"/>
                <w:lang w:val="en-US" w:eastAsia="zh-CN"/>
              </w:rPr>
              <w:t>及</w:t>
            </w:r>
            <w:r>
              <w:rPr>
                <w:rFonts w:hint="default" w:ascii="Times New Roman" w:hAnsi="Times New Roman"/>
                <w:bCs/>
                <w:iCs/>
                <w:sz w:val="24"/>
                <w:szCs w:val="24"/>
              </w:rPr>
              <w:t>数据管理统计</w:t>
            </w:r>
            <w:r>
              <w:rPr>
                <w:rFonts w:hint="default" w:ascii="Times New Roman" w:hAnsi="Times New Roman"/>
                <w:bCs/>
                <w:iCs/>
                <w:sz w:val="24"/>
                <w:szCs w:val="24"/>
                <w:lang w:val="en-US" w:eastAsia="zh-CN"/>
              </w:rPr>
              <w:t>平台，确保</w:t>
            </w:r>
            <w:r>
              <w:rPr>
                <w:rFonts w:hint="default" w:ascii="Times New Roman" w:hAnsi="Times New Roman"/>
                <w:bCs/>
                <w:iCs/>
                <w:sz w:val="24"/>
                <w:szCs w:val="24"/>
              </w:rPr>
              <w:t>临床试验项目标准操作规程、科学可行的临床研究方案的制定及有效执行</w:t>
            </w:r>
            <w:r>
              <w:rPr>
                <w:rFonts w:hint="default" w:ascii="Times New Roman" w:hAnsi="Times New Roman"/>
                <w:bCs/>
                <w:iCs/>
                <w:sz w:val="24"/>
                <w:szCs w:val="24"/>
                <w:lang w:eastAsia="zh-CN"/>
              </w:rPr>
              <w:t>；</w:t>
            </w:r>
            <w:r>
              <w:rPr>
                <w:rFonts w:hint="default" w:ascii="Times New Roman" w:hAnsi="Times New Roman"/>
                <w:bCs/>
                <w:iCs/>
                <w:sz w:val="24"/>
                <w:szCs w:val="24"/>
              </w:rPr>
              <w:t>强化小核酸药物载药系统开发平台</w:t>
            </w:r>
            <w:r>
              <w:rPr>
                <w:rFonts w:hint="default" w:ascii="Times New Roman" w:hAnsi="Times New Roman"/>
                <w:bCs/>
                <w:iCs/>
                <w:sz w:val="24"/>
                <w:szCs w:val="24"/>
                <w:lang w:eastAsia="zh-CN"/>
              </w:rPr>
              <w:t>、</w:t>
            </w:r>
            <w:r>
              <w:rPr>
                <w:rFonts w:hint="default" w:ascii="Times New Roman" w:hAnsi="Times New Roman"/>
                <w:bCs/>
                <w:iCs/>
                <w:sz w:val="24"/>
                <w:szCs w:val="24"/>
              </w:rPr>
              <w:t>缓控释制剂技术平台、多肽药物分子设计及开发、特殊制剂研发平台</w:t>
            </w:r>
            <w:r>
              <w:rPr>
                <w:rFonts w:hint="default" w:ascii="Times New Roman" w:hAnsi="Times New Roman"/>
                <w:bCs/>
                <w:iCs/>
                <w:sz w:val="24"/>
                <w:szCs w:val="24"/>
                <w:lang w:val="en-US" w:eastAsia="zh-CN"/>
              </w:rPr>
              <w:t>建设；利用</w:t>
            </w:r>
            <w:r>
              <w:rPr>
                <w:rFonts w:hint="default" w:ascii="Times New Roman" w:hAnsi="Times New Roman"/>
                <w:bCs/>
                <w:iCs/>
                <w:sz w:val="24"/>
                <w:szCs w:val="24"/>
              </w:rPr>
              <w:t>质谱分析平台、免疫分析平台、细胞分析平台、分子生物学分析平台</w:t>
            </w:r>
            <w:r>
              <w:rPr>
                <w:rFonts w:hint="default" w:ascii="Times New Roman" w:hAnsi="Times New Roman"/>
                <w:bCs/>
                <w:iCs/>
                <w:sz w:val="24"/>
                <w:szCs w:val="24"/>
                <w:lang w:eastAsia="zh-CN"/>
              </w:rPr>
              <w:t>，</w:t>
            </w:r>
            <w:r>
              <w:rPr>
                <w:rFonts w:hint="default" w:ascii="Times New Roman" w:hAnsi="Times New Roman"/>
                <w:bCs/>
                <w:iCs/>
                <w:sz w:val="24"/>
                <w:szCs w:val="24"/>
                <w:lang w:val="en-US" w:eastAsia="zh-CN"/>
              </w:rPr>
              <w:t>为客户</w:t>
            </w:r>
            <w:r>
              <w:rPr>
                <w:rFonts w:hint="default" w:ascii="Times New Roman" w:hAnsi="Times New Roman"/>
                <w:bCs/>
                <w:iCs/>
                <w:sz w:val="24"/>
                <w:szCs w:val="24"/>
              </w:rPr>
              <w:t>提供临床前及临床样本生物分析服务</w:t>
            </w:r>
            <w:r>
              <w:rPr>
                <w:rFonts w:hint="default" w:ascii="Times New Roman" w:hAnsi="Times New Roman"/>
                <w:bCs/>
                <w:iCs/>
                <w:sz w:val="24"/>
                <w:szCs w:val="24"/>
                <w:lang w:eastAsia="zh-CN"/>
              </w:rPr>
              <w:t>；</w:t>
            </w:r>
            <w:r>
              <w:rPr>
                <w:rFonts w:hint="default" w:ascii="Times New Roman" w:hAnsi="Times New Roman"/>
                <w:bCs/>
                <w:iCs/>
                <w:sz w:val="24"/>
                <w:szCs w:val="24"/>
              </w:rPr>
              <w:t>完善药物研发一站式服务能力,不断增强公司的综合服务能力和核心竞争优势。</w:t>
            </w:r>
          </w:p>
          <w:p>
            <w:pPr>
              <w:numPr>
                <w:ilvl w:val="0"/>
                <w:numId w:val="0"/>
              </w:numPr>
              <w:spacing w:before="156" w:beforeLines="50" w:line="360" w:lineRule="auto"/>
              <w:ind w:left="0" w:leftChars="0" w:firstLine="482" w:firstLineChars="200"/>
              <w:rPr>
                <w:rFonts w:hint="eastAsia" w:ascii="Times New Roman" w:hAnsi="Times New Roman" w:eastAsia="宋体" w:cs="Times New Roman"/>
                <w:b/>
                <w:bCs/>
                <w:sz w:val="24"/>
                <w:highlight w:val="none"/>
                <w:lang w:val="en-US" w:eastAsia="zh-CN"/>
              </w:rPr>
            </w:pPr>
            <w:r>
              <w:rPr>
                <w:rFonts w:hint="eastAsia" w:cs="Times New Roman"/>
                <w:b/>
                <w:bCs/>
                <w:sz w:val="24"/>
                <w:highlight w:val="none"/>
                <w:lang w:val="en-US" w:eastAsia="zh-CN"/>
              </w:rPr>
              <w:t>18</w:t>
            </w:r>
            <w:r>
              <w:rPr>
                <w:rFonts w:hint="eastAsia" w:ascii="Times New Roman" w:hAnsi="Times New Roman" w:eastAsia="宋体" w:cs="Times New Roman"/>
                <w:b/>
                <w:bCs/>
                <w:sz w:val="24"/>
                <w:highlight w:val="none"/>
                <w:lang w:val="en-US" w:eastAsia="zh-CN"/>
              </w:rPr>
              <w:t>.</w:t>
            </w:r>
            <w:r>
              <w:rPr>
                <w:rFonts w:hint="eastAsia"/>
                <w:b/>
                <w:bCs/>
                <w:sz w:val="24"/>
                <w:highlight w:val="none"/>
              </w:rPr>
              <w:t>公司今年后期重点关注产业方向与经营范围是？</w:t>
            </w:r>
          </w:p>
          <w:p>
            <w:pPr>
              <w:numPr>
                <w:ilvl w:val="0"/>
                <w:numId w:val="0"/>
              </w:numPr>
              <w:spacing w:before="156" w:beforeLines="50" w:after="0" w:line="360" w:lineRule="auto"/>
              <w:ind w:left="0" w:leftChars="0" w:firstLine="480" w:firstLineChars="200"/>
              <w:rPr>
                <w:rFonts w:hint="eastAsia" w:cs="Times New Roman"/>
                <w:bCs/>
                <w:i w:val="0"/>
                <w:iCs/>
                <w:caps w:val="0"/>
                <w:spacing w:val="0"/>
                <w:sz w:val="24"/>
                <w:szCs w:val="24"/>
                <w:shd w:val="clear"/>
                <w:lang w:eastAsia="zh-CN"/>
              </w:rPr>
            </w:pPr>
            <w:r>
              <w:rPr>
                <w:rFonts w:hint="eastAsia"/>
                <w:bCs/>
                <w:iCs/>
                <w:sz w:val="24"/>
                <w:szCs w:val="24"/>
                <w:lang w:val="en-US" w:eastAsia="zh-CN"/>
              </w:rPr>
              <w:t>公司</w:t>
            </w:r>
            <w:r>
              <w:rPr>
                <w:rFonts w:hint="eastAsia"/>
                <w:bCs/>
                <w:iCs/>
                <w:sz w:val="24"/>
                <w:szCs w:val="24"/>
              </w:rPr>
              <w:t>主营业务是为医药企业提供专业化研发外包服务。</w:t>
            </w:r>
            <w:r>
              <w:rPr>
                <w:rFonts w:hint="eastAsia"/>
                <w:bCs/>
                <w:iCs/>
                <w:sz w:val="24"/>
                <w:szCs w:val="24"/>
                <w:lang w:val="en-US" w:eastAsia="zh-CN"/>
              </w:rPr>
              <w:t>2023年，公司不断完善在</w:t>
            </w:r>
            <w:r>
              <w:rPr>
                <w:rFonts w:hint="eastAsia"/>
                <w:bCs/>
                <w:iCs/>
                <w:sz w:val="24"/>
                <w:szCs w:val="24"/>
              </w:rPr>
              <w:t>医学撰写</w:t>
            </w:r>
            <w:r>
              <w:rPr>
                <w:rFonts w:hint="eastAsia"/>
                <w:bCs/>
                <w:iCs/>
                <w:sz w:val="24"/>
                <w:szCs w:val="24"/>
                <w:lang w:eastAsia="zh-CN"/>
              </w:rPr>
              <w:t>、</w:t>
            </w:r>
            <w:r>
              <w:rPr>
                <w:rFonts w:hint="eastAsia"/>
                <w:bCs/>
                <w:iCs/>
                <w:sz w:val="24"/>
                <w:szCs w:val="24"/>
              </w:rPr>
              <w:t>统计数据管理</w:t>
            </w:r>
            <w:r>
              <w:rPr>
                <w:rFonts w:hint="eastAsia"/>
                <w:bCs/>
                <w:iCs/>
                <w:sz w:val="24"/>
                <w:szCs w:val="24"/>
                <w:lang w:eastAsia="zh-CN"/>
              </w:rPr>
              <w:t>、</w:t>
            </w:r>
            <w:r>
              <w:rPr>
                <w:rFonts w:hint="eastAsia"/>
                <w:bCs/>
                <w:iCs/>
                <w:sz w:val="24"/>
                <w:szCs w:val="24"/>
              </w:rPr>
              <w:t>统计分析</w:t>
            </w:r>
            <w:r>
              <w:rPr>
                <w:rFonts w:hint="eastAsia"/>
                <w:bCs/>
                <w:iCs/>
                <w:sz w:val="24"/>
                <w:szCs w:val="24"/>
                <w:lang w:eastAsia="zh-CN"/>
              </w:rPr>
              <w:t>、</w:t>
            </w:r>
            <w:r>
              <w:rPr>
                <w:rFonts w:hint="eastAsia"/>
                <w:bCs/>
                <w:iCs/>
                <w:sz w:val="24"/>
                <w:szCs w:val="24"/>
                <w:lang w:val="en-US" w:eastAsia="zh-CN"/>
              </w:rPr>
              <w:t>注册</w:t>
            </w:r>
            <w:r>
              <w:rPr>
                <w:rFonts w:hint="eastAsia"/>
                <w:bCs/>
                <w:iCs/>
                <w:sz w:val="24"/>
                <w:szCs w:val="24"/>
              </w:rPr>
              <w:t>申报</w:t>
            </w:r>
            <w:r>
              <w:rPr>
                <w:rFonts w:hint="eastAsia"/>
                <w:bCs/>
                <w:iCs/>
                <w:sz w:val="24"/>
                <w:szCs w:val="24"/>
                <w:lang w:val="en-US" w:eastAsia="zh-CN"/>
              </w:rPr>
              <w:t>和大临床方面的能力，分别在中药、宠物药、医美领域进行了极大的拓展，研发服务体系进一步完善。公司将</w:t>
            </w:r>
            <w:r>
              <w:rPr>
                <w:rFonts w:hint="eastAsia"/>
                <w:bCs/>
                <w:iCs/>
                <w:sz w:val="24"/>
                <w:szCs w:val="24"/>
              </w:rPr>
              <w:t>围绕建设</w:t>
            </w:r>
            <w:r>
              <w:rPr>
                <w:rFonts w:hint="eastAsia"/>
                <w:bCs/>
                <w:iCs/>
                <w:sz w:val="24"/>
                <w:szCs w:val="24"/>
                <w:lang w:val="en-US" w:eastAsia="zh-CN"/>
              </w:rPr>
              <w:t>现有的研发技术平台</w:t>
            </w:r>
            <w:r>
              <w:rPr>
                <w:rFonts w:hint="eastAsia"/>
                <w:bCs/>
                <w:iCs/>
                <w:sz w:val="24"/>
                <w:szCs w:val="24"/>
              </w:rPr>
              <w:t>，致力于协助中国医药制造企业加速实现进口替代和自主创新</w:t>
            </w:r>
            <w:r>
              <w:rPr>
                <w:rFonts w:hint="eastAsia"/>
                <w:bCs/>
                <w:iCs/>
                <w:sz w:val="24"/>
                <w:szCs w:val="24"/>
                <w:lang w:eastAsia="zh-CN"/>
              </w:rPr>
              <w:t>。</w:t>
            </w:r>
            <w:r>
              <w:rPr>
                <w:rFonts w:hint="eastAsia"/>
                <w:bCs/>
                <w:iCs/>
                <w:sz w:val="24"/>
                <w:szCs w:val="24"/>
                <w:lang w:val="en-US" w:eastAsia="zh-CN"/>
              </w:rPr>
              <w:t>同时，随着公司逐步</w:t>
            </w:r>
            <w:r>
              <w:rPr>
                <w:rFonts w:hint="eastAsia"/>
                <w:bCs/>
                <w:iCs/>
                <w:sz w:val="24"/>
                <w:szCs w:val="24"/>
              </w:rPr>
              <w:t>进入新药自研项目转化、权益分成释放、大临床业务快速拓展的窗口期</w:t>
            </w:r>
            <w:r>
              <w:rPr>
                <w:rFonts w:hint="eastAsia"/>
                <w:bCs/>
                <w:iCs/>
                <w:sz w:val="24"/>
                <w:szCs w:val="24"/>
                <w:lang w:eastAsia="zh-CN"/>
              </w:rPr>
              <w:t>，</w:t>
            </w:r>
            <w:r>
              <w:rPr>
                <w:rFonts w:hint="eastAsia"/>
                <w:bCs/>
                <w:iCs/>
                <w:sz w:val="24"/>
                <w:szCs w:val="24"/>
                <w:lang w:val="en-US" w:eastAsia="zh-CN"/>
              </w:rPr>
              <w:t>未来公司</w:t>
            </w:r>
            <w:r>
              <w:rPr>
                <w:rFonts w:hint="eastAsia"/>
                <w:bCs/>
                <w:iCs/>
                <w:sz w:val="24"/>
                <w:szCs w:val="24"/>
              </w:rPr>
              <w:t>还要加快创新药物研发进度</w:t>
            </w:r>
            <w:r>
              <w:rPr>
                <w:rFonts w:hint="eastAsia"/>
                <w:bCs/>
                <w:iCs/>
                <w:sz w:val="24"/>
                <w:szCs w:val="24"/>
                <w:lang w:eastAsia="zh-CN"/>
              </w:rPr>
              <w:t>，</w:t>
            </w:r>
            <w:r>
              <w:rPr>
                <w:rFonts w:hint="eastAsia"/>
                <w:bCs/>
                <w:iCs/>
                <w:sz w:val="24"/>
                <w:szCs w:val="24"/>
                <w:lang w:val="en-US" w:eastAsia="zh-CN"/>
              </w:rPr>
              <w:t>提升研发服务能力</w:t>
            </w:r>
            <w:r>
              <w:rPr>
                <w:rFonts w:hint="eastAsia"/>
                <w:bCs/>
                <w:iCs/>
                <w:sz w:val="24"/>
                <w:szCs w:val="24"/>
              </w:rPr>
              <w:t>，协助客户快速、高效地完成药物研发各个阶段的工作，将公司做优、做强、做大。</w:t>
            </w:r>
          </w:p>
          <w:p>
            <w:pPr>
              <w:numPr>
                <w:ilvl w:val="0"/>
                <w:numId w:val="0"/>
              </w:numPr>
              <w:spacing w:before="156" w:beforeLines="50" w:line="360" w:lineRule="auto"/>
              <w:ind w:firstLine="482" w:firstLineChars="200"/>
              <w:rPr>
                <w:rFonts w:hint="default" w:eastAsia="宋体" w:cs="Times New Roman"/>
                <w:b/>
                <w:bCs w:val="0"/>
                <w:iCs/>
                <w:sz w:val="24"/>
                <w:szCs w:val="24"/>
                <w:highlight w:val="yellow"/>
                <w:lang w:val="en-US" w:eastAsia="zh-CN"/>
              </w:rPr>
            </w:pPr>
            <w:r>
              <w:rPr>
                <w:rFonts w:hint="eastAsia" w:cs="Times New Roman"/>
                <w:b/>
                <w:bCs w:val="0"/>
                <w:iCs/>
                <w:sz w:val="24"/>
                <w:szCs w:val="24"/>
                <w:highlight w:val="none"/>
                <w:lang w:val="en-US" w:eastAsia="zh-CN"/>
              </w:rPr>
              <w:t>19.</w:t>
            </w:r>
            <w:r>
              <w:rPr>
                <w:rFonts w:hint="eastAsia"/>
                <w:b/>
                <w:iCs/>
                <w:sz w:val="24"/>
                <w:szCs w:val="24"/>
                <w:highlight w:val="none"/>
              </w:rPr>
              <w:t>公司临床适应症是否有拓展？</w:t>
            </w:r>
          </w:p>
          <w:p>
            <w:pPr>
              <w:numPr>
                <w:ilvl w:val="0"/>
                <w:numId w:val="0"/>
              </w:numPr>
              <w:spacing w:before="156" w:beforeLines="50" w:line="360" w:lineRule="auto"/>
              <w:ind w:firstLine="480" w:firstLineChars="200"/>
              <w:rPr>
                <w:rFonts w:hint="default" w:cs="Times New Roman"/>
                <w:b w:val="0"/>
                <w:bCs/>
                <w:iCs/>
                <w:sz w:val="24"/>
                <w:szCs w:val="24"/>
                <w:lang w:val="en-US" w:eastAsia="zh-CN"/>
              </w:rPr>
            </w:pPr>
            <w:r>
              <w:rPr>
                <w:rFonts w:hint="eastAsia"/>
                <w:bCs/>
                <w:iCs/>
                <w:sz w:val="24"/>
                <w:szCs w:val="24"/>
              </w:rPr>
              <w:t>公司不断拓宽临床的适应症覆盖的领域，从原来的老年病用药、降低心衰，到现在降糖、止痛、免疫类，儿科类的还包括外用制剂类等等，另外，在一些好的肿瘤领域，我们也在储备一些抗肿瘤</w:t>
            </w:r>
            <w:r>
              <w:rPr>
                <w:rFonts w:hint="eastAsia"/>
                <w:bCs/>
                <w:iCs/>
                <w:sz w:val="24"/>
                <w:szCs w:val="24"/>
                <w:lang w:val="en-US" w:eastAsia="zh-CN"/>
              </w:rPr>
              <w:t>辅助用</w:t>
            </w:r>
            <w:r>
              <w:rPr>
                <w:rFonts w:hint="eastAsia"/>
                <w:bCs/>
                <w:iCs/>
                <w:sz w:val="24"/>
                <w:szCs w:val="24"/>
              </w:rPr>
              <w:t>药的管线，这一方面也在逐渐拓展。公司从2018年研发布局以来，一直秉持着避开热门靶点的理念，每年持续投入一定比例的研发费用，致力于为客户提供更多优质适应症的研发服务。</w:t>
            </w:r>
          </w:p>
          <w:p>
            <w:pPr>
              <w:numPr>
                <w:ilvl w:val="0"/>
                <w:numId w:val="0"/>
              </w:numPr>
              <w:spacing w:before="156" w:beforeLines="50" w:line="360" w:lineRule="auto"/>
              <w:ind w:firstLine="482" w:firstLineChars="200"/>
              <w:rPr>
                <w:rFonts w:hint="default" w:ascii="Times New Roman" w:hAnsi="Times New Roman" w:eastAsia="宋体" w:cs="Times New Roman"/>
                <w:b/>
                <w:bCs w:val="0"/>
                <w:sz w:val="24"/>
                <w:lang w:val="en-US" w:eastAsia="zh-CN"/>
              </w:rPr>
            </w:pPr>
            <w:r>
              <w:rPr>
                <w:rFonts w:hint="eastAsia" w:cs="Times New Roman"/>
                <w:b/>
                <w:bCs w:val="0"/>
                <w:iCs/>
                <w:sz w:val="24"/>
                <w:szCs w:val="24"/>
                <w:lang w:val="en-US" w:eastAsia="zh-CN"/>
              </w:rPr>
              <w:t>20</w:t>
            </w:r>
            <w:r>
              <w:rPr>
                <w:rFonts w:hint="default" w:ascii="Times New Roman" w:hAnsi="Times New Roman" w:cs="Times New Roman"/>
                <w:b/>
                <w:bCs w:val="0"/>
                <w:iCs/>
                <w:sz w:val="24"/>
                <w:szCs w:val="24"/>
                <w:lang w:val="en-US" w:eastAsia="zh-CN"/>
              </w:rPr>
              <w:t>.</w:t>
            </w:r>
            <w:r>
              <w:rPr>
                <w:rFonts w:hint="eastAsia" w:cs="Times New Roman"/>
                <w:b/>
                <w:bCs w:val="0"/>
                <w:iCs/>
                <w:sz w:val="24"/>
                <w:szCs w:val="24"/>
                <w:lang w:val="en-US" w:eastAsia="zh-CN"/>
              </w:rPr>
              <w:t>化学药品注册分类？</w:t>
            </w:r>
          </w:p>
          <w:p>
            <w:pPr>
              <w:numPr>
                <w:ilvl w:val="0"/>
                <w:numId w:val="0"/>
              </w:numPr>
              <w:spacing w:before="156" w:beforeLines="50" w:after="0" w:line="360" w:lineRule="auto"/>
              <w:ind w:firstLine="480" w:firstLineChars="200"/>
              <w:rPr>
                <w:rFonts w:hint="default" w:ascii="Times New Roman" w:hAnsi="Times New Roman" w:eastAsia="宋体" w:cs="Times New Roman"/>
                <w:bCs/>
                <w:i w:val="0"/>
                <w:iCs/>
                <w:caps w:val="0"/>
                <w:spacing w:val="0"/>
                <w:sz w:val="24"/>
                <w:szCs w:val="24"/>
                <w:shd w:val="clear"/>
                <w:lang w:val="en-US" w:eastAsia="zh-CN"/>
              </w:rPr>
            </w:pPr>
            <w:r>
              <w:rPr>
                <w:rFonts w:hint="eastAsia"/>
                <w:bCs/>
                <w:iCs/>
                <w:sz w:val="24"/>
                <w:szCs w:val="24"/>
              </w:rPr>
              <w:t>化学药品注册分类分为创新药、改良型新药、仿制药、境外已上市境内未上市化学药品</w:t>
            </w:r>
            <w:r>
              <w:rPr>
                <w:rFonts w:hint="eastAsia"/>
                <w:bCs/>
                <w:iCs/>
                <w:sz w:val="24"/>
                <w:szCs w:val="24"/>
                <w:lang w:eastAsia="zh-CN"/>
              </w:rPr>
              <w:t>。</w:t>
            </w:r>
            <w:r>
              <w:rPr>
                <w:rFonts w:hint="eastAsia"/>
                <w:bCs/>
                <w:iCs/>
                <w:sz w:val="24"/>
                <w:szCs w:val="24"/>
              </w:rPr>
              <w:t>1类：境内外均未上市的创新药</w:t>
            </w:r>
            <w:r>
              <w:rPr>
                <w:rFonts w:hint="eastAsia"/>
                <w:bCs/>
                <w:iCs/>
                <w:sz w:val="24"/>
                <w:szCs w:val="24"/>
                <w:lang w:eastAsia="zh-CN"/>
              </w:rPr>
              <w:t>；</w:t>
            </w:r>
            <w:r>
              <w:rPr>
                <w:rFonts w:hint="eastAsia"/>
                <w:bCs/>
                <w:iCs/>
                <w:sz w:val="24"/>
                <w:szCs w:val="24"/>
              </w:rPr>
              <w:t>2类：境内外均未上市的改良型新药</w:t>
            </w:r>
            <w:r>
              <w:rPr>
                <w:rFonts w:hint="eastAsia"/>
                <w:bCs/>
                <w:iCs/>
                <w:sz w:val="24"/>
                <w:szCs w:val="24"/>
                <w:lang w:eastAsia="zh-CN"/>
              </w:rPr>
              <w:t>；</w:t>
            </w:r>
            <w:r>
              <w:rPr>
                <w:rFonts w:hint="eastAsia"/>
                <w:bCs/>
                <w:iCs/>
                <w:sz w:val="24"/>
                <w:szCs w:val="24"/>
              </w:rPr>
              <w:t>3类：境内申请人仿制境外上市但境内未上市原研药品的药品</w:t>
            </w:r>
            <w:r>
              <w:rPr>
                <w:rFonts w:hint="eastAsia"/>
                <w:bCs/>
                <w:iCs/>
                <w:sz w:val="24"/>
                <w:szCs w:val="24"/>
                <w:lang w:eastAsia="zh-CN"/>
              </w:rPr>
              <w:t>，</w:t>
            </w:r>
            <w:r>
              <w:rPr>
                <w:rFonts w:hint="eastAsia"/>
                <w:bCs/>
                <w:iCs/>
                <w:sz w:val="24"/>
                <w:szCs w:val="24"/>
              </w:rPr>
              <w:t>该类药品应与参比制剂的质量和疗效一致</w:t>
            </w:r>
            <w:r>
              <w:rPr>
                <w:rFonts w:hint="eastAsia"/>
                <w:bCs/>
                <w:iCs/>
                <w:sz w:val="24"/>
                <w:szCs w:val="24"/>
                <w:lang w:eastAsia="zh-CN"/>
              </w:rPr>
              <w:t>；</w:t>
            </w:r>
            <w:r>
              <w:rPr>
                <w:rFonts w:hint="eastAsia"/>
                <w:bCs/>
                <w:iCs/>
                <w:sz w:val="24"/>
                <w:szCs w:val="24"/>
              </w:rPr>
              <w:t>4类：境内申请人仿制已在境内上市原研药品的药品</w:t>
            </w:r>
            <w:r>
              <w:rPr>
                <w:rFonts w:hint="eastAsia"/>
                <w:bCs/>
                <w:iCs/>
                <w:sz w:val="24"/>
                <w:szCs w:val="24"/>
                <w:lang w:eastAsia="zh-CN"/>
              </w:rPr>
              <w:t>，</w:t>
            </w:r>
            <w:r>
              <w:rPr>
                <w:rFonts w:hint="eastAsia"/>
                <w:bCs/>
                <w:iCs/>
                <w:sz w:val="24"/>
                <w:szCs w:val="24"/>
              </w:rPr>
              <w:t>该类药品应与参比制剂的质量和疗效一致。5类：境外上市的药品申请在境内上市。2023上半年，公司新立项自研项目达40余项，累计已超290项</w:t>
            </w:r>
            <w:r>
              <w:rPr>
                <w:rFonts w:hint="eastAsia"/>
                <w:bCs/>
                <w:iCs/>
                <w:sz w:val="24"/>
                <w:szCs w:val="24"/>
                <w:lang w:eastAsia="zh-CN"/>
              </w:rPr>
              <w:t>，</w:t>
            </w:r>
            <w:r>
              <w:rPr>
                <w:rFonts w:hint="eastAsia"/>
                <w:bCs/>
                <w:iCs/>
                <w:sz w:val="24"/>
                <w:szCs w:val="24"/>
                <w:lang w:val="en-US" w:eastAsia="zh-CN"/>
              </w:rPr>
              <w:t>凭借成</w:t>
            </w:r>
            <w:r>
              <w:rPr>
                <w:rFonts w:hint="eastAsia"/>
                <w:bCs/>
                <w:iCs/>
                <w:sz w:val="24"/>
                <w:szCs w:val="24"/>
              </w:rPr>
              <w:t>熟的研发技术平台与项目申报能力，公司已与多家企业签订联合开发项目协议，6个权益品种已获批</w:t>
            </w:r>
            <w:r>
              <w:rPr>
                <w:rFonts w:hint="eastAsia"/>
                <w:bCs/>
                <w:iCs/>
                <w:sz w:val="24"/>
                <w:szCs w:val="24"/>
                <w:lang w:eastAsia="zh-CN"/>
              </w:rPr>
              <w:t>，</w:t>
            </w:r>
            <w:r>
              <w:rPr>
                <w:rFonts w:hint="eastAsia"/>
                <w:bCs/>
                <w:iCs/>
                <w:sz w:val="24"/>
                <w:szCs w:val="24"/>
                <w:lang w:val="en-US" w:eastAsia="zh-CN"/>
              </w:rPr>
              <w:t>未来可按约定比例获得</w:t>
            </w:r>
            <w:r>
              <w:rPr>
                <w:rFonts w:hint="eastAsia"/>
                <w:bCs/>
                <w:iCs/>
                <w:sz w:val="24"/>
                <w:szCs w:val="24"/>
              </w:rPr>
              <w:t>权益分成</w:t>
            </w:r>
            <w:r>
              <w:rPr>
                <w:rFonts w:hint="eastAsia"/>
                <w:bCs/>
                <w:i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93" w:type="dxa"/>
            <w:noWrap w:val="0"/>
            <w:vAlign w:val="center"/>
          </w:tcPr>
          <w:p>
            <w:pPr>
              <w:spacing w:line="360" w:lineRule="auto"/>
              <w:jc w:val="left"/>
              <w:rPr>
                <w:rFonts w:ascii="宋体" w:hAnsi="宋体"/>
                <w:b/>
                <w:bCs/>
                <w:iCs/>
                <w:sz w:val="24"/>
                <w:szCs w:val="24"/>
              </w:rPr>
            </w:pPr>
            <w:r>
              <w:rPr>
                <w:rFonts w:hint="eastAsia" w:ascii="宋体" w:hAnsi="宋体"/>
                <w:b/>
                <w:bCs/>
                <w:iCs/>
                <w:sz w:val="24"/>
                <w:szCs w:val="24"/>
              </w:rPr>
              <w:t>附件清单（如有）</w:t>
            </w:r>
          </w:p>
        </w:tc>
        <w:tc>
          <w:tcPr>
            <w:tcW w:w="6203" w:type="dxa"/>
            <w:noWrap w:val="0"/>
            <w:vAlign w:val="top"/>
          </w:tcPr>
          <w:p>
            <w:pPr>
              <w:spacing w:line="360" w:lineRule="auto"/>
              <w:rPr>
                <w:rFonts w:hint="eastAsia" w:ascii="宋体" w:hAnsi="宋体" w:cs="宋体"/>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left"/>
              <w:rPr>
                <w:rFonts w:ascii="宋体" w:hAnsi="宋体"/>
                <w:b/>
                <w:bCs/>
                <w:iCs/>
                <w:sz w:val="24"/>
                <w:szCs w:val="24"/>
              </w:rPr>
            </w:pPr>
            <w:r>
              <w:rPr>
                <w:rFonts w:hint="eastAsia" w:ascii="宋体" w:hAnsi="宋体"/>
                <w:b/>
                <w:bCs/>
                <w:iCs/>
                <w:sz w:val="24"/>
                <w:szCs w:val="24"/>
              </w:rPr>
              <w:t>日期</w:t>
            </w:r>
          </w:p>
        </w:tc>
        <w:tc>
          <w:tcPr>
            <w:tcW w:w="6203" w:type="dxa"/>
            <w:noWrap w:val="0"/>
            <w:vAlign w:val="top"/>
          </w:tcPr>
          <w:p>
            <w:pPr>
              <w:spacing w:line="360" w:lineRule="auto"/>
              <w:rPr>
                <w:rFonts w:hint="eastAsia" w:ascii="宋体" w:hAnsi="宋体"/>
                <w:bCs/>
                <w:iCs/>
                <w:sz w:val="24"/>
                <w:szCs w:val="24"/>
              </w:rPr>
            </w:pPr>
            <w:r>
              <w:rPr>
                <w:rFonts w:hint="default" w:ascii="Times New Roman" w:hAnsi="Times New Roman"/>
                <w:bCs/>
                <w:iCs/>
                <w:sz w:val="24"/>
                <w:szCs w:val="24"/>
              </w:rPr>
              <w:t>20</w:t>
            </w:r>
            <w:r>
              <w:rPr>
                <w:rFonts w:ascii="Times New Roman" w:hAnsi="Times New Roman"/>
                <w:bCs/>
                <w:iCs/>
                <w:sz w:val="24"/>
                <w:szCs w:val="24"/>
              </w:rPr>
              <w:t>2</w:t>
            </w:r>
            <w:r>
              <w:rPr>
                <w:rFonts w:hint="default" w:ascii="Times New Roman" w:hAnsi="Times New Roman"/>
                <w:bCs/>
                <w:iCs/>
                <w:sz w:val="24"/>
                <w:szCs w:val="24"/>
                <w:lang w:val="en-US" w:eastAsia="zh-CN"/>
              </w:rPr>
              <w:t>4</w:t>
            </w:r>
            <w:r>
              <w:rPr>
                <w:rFonts w:hint="default" w:ascii="Times New Roman" w:hAnsi="Times New Roman"/>
                <w:bCs/>
                <w:iCs/>
                <w:sz w:val="24"/>
                <w:szCs w:val="24"/>
              </w:rPr>
              <w:t>年</w:t>
            </w:r>
            <w:r>
              <w:rPr>
                <w:rFonts w:hint="default" w:ascii="Times New Roman" w:hAnsi="Times New Roman"/>
                <w:bCs/>
                <w:iCs/>
                <w:sz w:val="24"/>
                <w:szCs w:val="24"/>
                <w:lang w:val="en-US" w:eastAsia="zh-CN"/>
              </w:rPr>
              <w:t>4</w:t>
            </w:r>
            <w:r>
              <w:rPr>
                <w:rFonts w:hint="default" w:ascii="Times New Roman" w:hAnsi="Times New Roman"/>
                <w:bCs/>
                <w:iCs/>
                <w:sz w:val="24"/>
                <w:szCs w:val="24"/>
              </w:rPr>
              <w:t>月</w:t>
            </w:r>
            <w:r>
              <w:rPr>
                <w:rFonts w:hint="default" w:ascii="Times New Roman" w:hAnsi="Times New Roman"/>
                <w:bCs/>
                <w:iCs/>
                <w:sz w:val="24"/>
                <w:szCs w:val="24"/>
                <w:lang w:val="en-US" w:eastAsia="zh-CN"/>
              </w:rPr>
              <w:t>1</w:t>
            </w:r>
            <w:r>
              <w:rPr>
                <w:rFonts w:hint="default" w:ascii="Times New Roman" w:hAnsi="Times New Roman"/>
                <w:bCs/>
                <w:iCs/>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CB917A"/>
    <w:multiLevelType w:val="singleLevel"/>
    <w:tmpl w:val="7CCB91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2MTRlOTE5NzU3Y2FhZmJjMTA4ODAwNjMyZWVhZDcifQ=="/>
  </w:docVars>
  <w:rsids>
    <w:rsidRoot w:val="52FF551A"/>
    <w:rsid w:val="00E31C19"/>
    <w:rsid w:val="01AC06BF"/>
    <w:rsid w:val="02290130"/>
    <w:rsid w:val="025F5A5E"/>
    <w:rsid w:val="02BD318C"/>
    <w:rsid w:val="02DB7D7F"/>
    <w:rsid w:val="039A53E7"/>
    <w:rsid w:val="03D87218"/>
    <w:rsid w:val="051E3483"/>
    <w:rsid w:val="05537D54"/>
    <w:rsid w:val="05A32FB5"/>
    <w:rsid w:val="05BF4B6E"/>
    <w:rsid w:val="05F444DC"/>
    <w:rsid w:val="077953F5"/>
    <w:rsid w:val="07A52A97"/>
    <w:rsid w:val="08446DEB"/>
    <w:rsid w:val="09FE6266"/>
    <w:rsid w:val="0A414CDC"/>
    <w:rsid w:val="0A6D3DFC"/>
    <w:rsid w:val="0A8819FE"/>
    <w:rsid w:val="0B5E16A9"/>
    <w:rsid w:val="0B902772"/>
    <w:rsid w:val="0C612D69"/>
    <w:rsid w:val="0D174ABA"/>
    <w:rsid w:val="0D2F3718"/>
    <w:rsid w:val="0DBE3551"/>
    <w:rsid w:val="0DCC4700"/>
    <w:rsid w:val="0E086001"/>
    <w:rsid w:val="0E5D3702"/>
    <w:rsid w:val="0EB77202"/>
    <w:rsid w:val="0F824FAF"/>
    <w:rsid w:val="0FE77118"/>
    <w:rsid w:val="11866453"/>
    <w:rsid w:val="122E5DAC"/>
    <w:rsid w:val="124F2EED"/>
    <w:rsid w:val="12527029"/>
    <w:rsid w:val="12B62932"/>
    <w:rsid w:val="12DB5893"/>
    <w:rsid w:val="134A000D"/>
    <w:rsid w:val="13CF5910"/>
    <w:rsid w:val="144F54F1"/>
    <w:rsid w:val="14EC5248"/>
    <w:rsid w:val="14ED4281"/>
    <w:rsid w:val="155E32D0"/>
    <w:rsid w:val="15930D03"/>
    <w:rsid w:val="15AA2CEE"/>
    <w:rsid w:val="15B14D16"/>
    <w:rsid w:val="16DA51E9"/>
    <w:rsid w:val="17345A11"/>
    <w:rsid w:val="175942F4"/>
    <w:rsid w:val="1839393F"/>
    <w:rsid w:val="18EF2037"/>
    <w:rsid w:val="190E77ED"/>
    <w:rsid w:val="19F04DC1"/>
    <w:rsid w:val="1A0F1E47"/>
    <w:rsid w:val="1A2C70A7"/>
    <w:rsid w:val="1A547590"/>
    <w:rsid w:val="1B2D550F"/>
    <w:rsid w:val="1C524E00"/>
    <w:rsid w:val="1D74016F"/>
    <w:rsid w:val="1E121C15"/>
    <w:rsid w:val="1EBC241A"/>
    <w:rsid w:val="1F792F8D"/>
    <w:rsid w:val="1F983F69"/>
    <w:rsid w:val="1FAE3E0B"/>
    <w:rsid w:val="20BE1BE1"/>
    <w:rsid w:val="210274BB"/>
    <w:rsid w:val="216347EC"/>
    <w:rsid w:val="22F83CD2"/>
    <w:rsid w:val="2362320E"/>
    <w:rsid w:val="23910C76"/>
    <w:rsid w:val="23D01B44"/>
    <w:rsid w:val="23D06D2E"/>
    <w:rsid w:val="23EB5621"/>
    <w:rsid w:val="241427AF"/>
    <w:rsid w:val="249D14E3"/>
    <w:rsid w:val="24BB0950"/>
    <w:rsid w:val="256D51A0"/>
    <w:rsid w:val="26D51ECB"/>
    <w:rsid w:val="273725B6"/>
    <w:rsid w:val="29093405"/>
    <w:rsid w:val="29DE4401"/>
    <w:rsid w:val="2AC65169"/>
    <w:rsid w:val="2AD401BA"/>
    <w:rsid w:val="2B9F7FE4"/>
    <w:rsid w:val="2BA5570C"/>
    <w:rsid w:val="2CA85D23"/>
    <w:rsid w:val="2CB67043"/>
    <w:rsid w:val="2CE05AC2"/>
    <w:rsid w:val="2DCD4D3B"/>
    <w:rsid w:val="2E235BE6"/>
    <w:rsid w:val="2E8A0936"/>
    <w:rsid w:val="2EA00B62"/>
    <w:rsid w:val="2EA9018A"/>
    <w:rsid w:val="2EB62FD4"/>
    <w:rsid w:val="2FA368BA"/>
    <w:rsid w:val="308E0410"/>
    <w:rsid w:val="30A2064A"/>
    <w:rsid w:val="31060FA7"/>
    <w:rsid w:val="31093612"/>
    <w:rsid w:val="31BF300D"/>
    <w:rsid w:val="32A42B73"/>
    <w:rsid w:val="32D27F68"/>
    <w:rsid w:val="33231F8D"/>
    <w:rsid w:val="332F655B"/>
    <w:rsid w:val="34E872B4"/>
    <w:rsid w:val="350D634B"/>
    <w:rsid w:val="36952F4E"/>
    <w:rsid w:val="36B70E22"/>
    <w:rsid w:val="37467413"/>
    <w:rsid w:val="37787510"/>
    <w:rsid w:val="381776BB"/>
    <w:rsid w:val="387520F0"/>
    <w:rsid w:val="39D2147A"/>
    <w:rsid w:val="3A8D04C3"/>
    <w:rsid w:val="3A9F5F2A"/>
    <w:rsid w:val="3B237CC2"/>
    <w:rsid w:val="3B3C7B22"/>
    <w:rsid w:val="3B91445B"/>
    <w:rsid w:val="3D3C6638"/>
    <w:rsid w:val="3D437946"/>
    <w:rsid w:val="3D81311B"/>
    <w:rsid w:val="3DFE4CB6"/>
    <w:rsid w:val="3E0B24F7"/>
    <w:rsid w:val="3E5C41A0"/>
    <w:rsid w:val="3F135AFA"/>
    <w:rsid w:val="4224131E"/>
    <w:rsid w:val="422D34A0"/>
    <w:rsid w:val="441B0C05"/>
    <w:rsid w:val="45A55001"/>
    <w:rsid w:val="46084AA0"/>
    <w:rsid w:val="462A01A0"/>
    <w:rsid w:val="46333934"/>
    <w:rsid w:val="46A169FF"/>
    <w:rsid w:val="46F34D6A"/>
    <w:rsid w:val="480B4BB5"/>
    <w:rsid w:val="487D4171"/>
    <w:rsid w:val="489D1235"/>
    <w:rsid w:val="48E21AEF"/>
    <w:rsid w:val="4A830B91"/>
    <w:rsid w:val="4AB212D8"/>
    <w:rsid w:val="4B1A52D2"/>
    <w:rsid w:val="4B265D22"/>
    <w:rsid w:val="4BB85758"/>
    <w:rsid w:val="4C014C57"/>
    <w:rsid w:val="4C020555"/>
    <w:rsid w:val="4C1E0FC8"/>
    <w:rsid w:val="4C556F25"/>
    <w:rsid w:val="4C84793E"/>
    <w:rsid w:val="4D0E2637"/>
    <w:rsid w:val="4D6024B5"/>
    <w:rsid w:val="4D9C101F"/>
    <w:rsid w:val="4DF658A7"/>
    <w:rsid w:val="4EF8205F"/>
    <w:rsid w:val="4F444544"/>
    <w:rsid w:val="50410483"/>
    <w:rsid w:val="509818E5"/>
    <w:rsid w:val="51547108"/>
    <w:rsid w:val="51EF5E19"/>
    <w:rsid w:val="527A22D9"/>
    <w:rsid w:val="5289164F"/>
    <w:rsid w:val="52FF551A"/>
    <w:rsid w:val="53672784"/>
    <w:rsid w:val="53A91257"/>
    <w:rsid w:val="53F3326E"/>
    <w:rsid w:val="545C00C2"/>
    <w:rsid w:val="549878D9"/>
    <w:rsid w:val="54A06C67"/>
    <w:rsid w:val="54CC1D57"/>
    <w:rsid w:val="54EB364E"/>
    <w:rsid w:val="55CA28F1"/>
    <w:rsid w:val="561D32CE"/>
    <w:rsid w:val="56AC67D2"/>
    <w:rsid w:val="573622C3"/>
    <w:rsid w:val="576D5BCE"/>
    <w:rsid w:val="577847BB"/>
    <w:rsid w:val="58836DC8"/>
    <w:rsid w:val="58BA5B76"/>
    <w:rsid w:val="599C16F8"/>
    <w:rsid w:val="5A2A67F5"/>
    <w:rsid w:val="5A4F27F0"/>
    <w:rsid w:val="5A880128"/>
    <w:rsid w:val="5AAE4583"/>
    <w:rsid w:val="5B1D47FA"/>
    <w:rsid w:val="5D012421"/>
    <w:rsid w:val="5DD427BF"/>
    <w:rsid w:val="5DEC4365"/>
    <w:rsid w:val="5E7435BA"/>
    <w:rsid w:val="5E932ED8"/>
    <w:rsid w:val="60760873"/>
    <w:rsid w:val="60C214BD"/>
    <w:rsid w:val="60C265CF"/>
    <w:rsid w:val="622D2945"/>
    <w:rsid w:val="62A30EA1"/>
    <w:rsid w:val="62F60387"/>
    <w:rsid w:val="63181F99"/>
    <w:rsid w:val="6320789A"/>
    <w:rsid w:val="63D1618C"/>
    <w:rsid w:val="64661261"/>
    <w:rsid w:val="64932BAD"/>
    <w:rsid w:val="649B4982"/>
    <w:rsid w:val="64BC0286"/>
    <w:rsid w:val="650C2A2C"/>
    <w:rsid w:val="65131BBE"/>
    <w:rsid w:val="65CA54AC"/>
    <w:rsid w:val="669A3582"/>
    <w:rsid w:val="66F23252"/>
    <w:rsid w:val="677F6CEF"/>
    <w:rsid w:val="67E47875"/>
    <w:rsid w:val="681F4C63"/>
    <w:rsid w:val="68E055B0"/>
    <w:rsid w:val="69961E22"/>
    <w:rsid w:val="6A23123C"/>
    <w:rsid w:val="6A2842F5"/>
    <w:rsid w:val="6A6547A8"/>
    <w:rsid w:val="6A6B5660"/>
    <w:rsid w:val="6B685571"/>
    <w:rsid w:val="6C3309C1"/>
    <w:rsid w:val="6D1E32A1"/>
    <w:rsid w:val="6D322B1C"/>
    <w:rsid w:val="6D721493"/>
    <w:rsid w:val="6D9B2F52"/>
    <w:rsid w:val="6E2576AE"/>
    <w:rsid w:val="6E290AB7"/>
    <w:rsid w:val="6EA45979"/>
    <w:rsid w:val="6EEB2130"/>
    <w:rsid w:val="700B2EC6"/>
    <w:rsid w:val="70754AA5"/>
    <w:rsid w:val="70B8083E"/>
    <w:rsid w:val="71A66548"/>
    <w:rsid w:val="71FA4772"/>
    <w:rsid w:val="71FC4DEA"/>
    <w:rsid w:val="728671BF"/>
    <w:rsid w:val="72C94CD5"/>
    <w:rsid w:val="73300DA4"/>
    <w:rsid w:val="744616E9"/>
    <w:rsid w:val="74A02866"/>
    <w:rsid w:val="75580D0F"/>
    <w:rsid w:val="76440F92"/>
    <w:rsid w:val="772F3652"/>
    <w:rsid w:val="77B6383C"/>
    <w:rsid w:val="78423920"/>
    <w:rsid w:val="794D08AD"/>
    <w:rsid w:val="79D25FC2"/>
    <w:rsid w:val="79EA2C4D"/>
    <w:rsid w:val="79F90BEF"/>
    <w:rsid w:val="7AD051DC"/>
    <w:rsid w:val="7AE62B2D"/>
    <w:rsid w:val="7B28387D"/>
    <w:rsid w:val="7BA223D0"/>
    <w:rsid w:val="7C064AE8"/>
    <w:rsid w:val="7C29373A"/>
    <w:rsid w:val="7C6A3054"/>
    <w:rsid w:val="7C967EDE"/>
    <w:rsid w:val="7CE571C4"/>
    <w:rsid w:val="7D0375F5"/>
    <w:rsid w:val="7D546905"/>
    <w:rsid w:val="7D7234FB"/>
    <w:rsid w:val="7DE5688B"/>
    <w:rsid w:val="7F173DB2"/>
    <w:rsid w:val="7F2266A0"/>
    <w:rsid w:val="7F2E17A9"/>
    <w:rsid w:val="7FAD2049"/>
    <w:rsid w:val="7FEE7A90"/>
    <w:rsid w:val="7FF2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2024-03-05T05:09:00Z</dcterms:created>
  <dc:creator>杨贵娇</dc:creator>
  <cp:lastModifiedBy>杨贵娇</cp:lastModifiedBy>
  <dcterms:modified xsi:type="dcterms:W3CDTF">2024-04-01T05:06:40Z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FAB399F1318E4E6BBBBD81F534A220C1_13</vt:lpwstr>
  </property>
</Properties>
</file>