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证券代码：600547                                    证券简称：山东黄金</w:t>
      </w:r>
    </w:p>
    <w:p>
      <w:pPr>
        <w:spacing w:before="156" w:beforeLines="50" w:after="156" w:afterLines="50" w:line="400" w:lineRule="exact"/>
        <w:jc w:val="center"/>
        <w:rPr>
          <w:rFonts w:ascii="Times New Roman" w:hAnsi="Times New Roman" w:eastAsia="宋体" w:cs="Times New Roman"/>
          <w:b/>
          <w:bCs/>
          <w:iCs/>
          <w:color w:val="000000"/>
          <w:sz w:val="30"/>
          <w:szCs w:val="30"/>
        </w:rPr>
      </w:pPr>
      <w:r>
        <w:rPr>
          <w:rFonts w:ascii="Times New Roman" w:hAnsi="Times New Roman" w:eastAsia="宋体" w:cs="Times New Roman"/>
          <w:b/>
          <w:bCs/>
          <w:iCs/>
          <w:color w:val="000000"/>
          <w:sz w:val="30"/>
          <w:szCs w:val="30"/>
        </w:rPr>
        <w:t>山东黄金矿业股份有限公司</w:t>
      </w:r>
    </w:p>
    <w:p>
      <w:pPr>
        <w:spacing w:before="156" w:beforeLines="50" w:after="156" w:afterLines="50" w:line="400" w:lineRule="exact"/>
        <w:jc w:val="center"/>
        <w:rPr>
          <w:rFonts w:ascii="Times New Roman" w:hAnsi="Times New Roman" w:eastAsia="宋体" w:cs="Times New Roman"/>
          <w:b/>
          <w:bCs/>
          <w:iCs/>
          <w:color w:val="000000"/>
          <w:sz w:val="30"/>
          <w:szCs w:val="30"/>
        </w:rPr>
      </w:pPr>
      <w:r>
        <w:rPr>
          <w:rFonts w:ascii="Times New Roman" w:hAnsi="Times New Roman" w:eastAsia="宋体" w:cs="Times New Roman"/>
          <w:b/>
          <w:bCs/>
          <w:iCs/>
          <w:color w:val="000000"/>
          <w:sz w:val="30"/>
          <w:szCs w:val="30"/>
        </w:rPr>
        <w:t>投资者关系活动记录表</w:t>
      </w:r>
    </w:p>
    <w:p>
      <w:pPr>
        <w:spacing w:line="400" w:lineRule="exact"/>
        <w:ind w:firstLine="6840" w:firstLineChars="2850"/>
        <w:rPr>
          <w:rFonts w:ascii="Times New Roman" w:hAnsi="Times New Roman" w:eastAsia="宋体" w:cs="Times New Roman"/>
          <w:bCs/>
          <w:iCs/>
          <w:color w:val="000000"/>
          <w:sz w:val="24"/>
        </w:rPr>
      </w:pPr>
    </w:p>
    <w:tbl>
      <w:tblPr>
        <w:tblStyle w:val="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jc w:val="center"/>
              <w:rPr>
                <w:rFonts w:ascii="Times New Roman" w:hAnsi="Times New Roman" w:eastAsia="宋体" w:cs="Times New Roman"/>
                <w:b/>
                <w:bCs/>
                <w:iCs/>
                <w:color w:val="000000"/>
                <w:sz w:val="24"/>
              </w:rPr>
            </w:pPr>
            <w:r>
              <w:rPr>
                <w:rFonts w:ascii="Times New Roman" w:hAnsi="Times New Roman" w:eastAsia="宋体" w:cs="Times New Roman"/>
                <w:b/>
                <w:bCs/>
                <w:iCs/>
                <w:color w:val="000000"/>
                <w:sz w:val="24"/>
              </w:rPr>
              <w:t>投资者关系活动类别</w:t>
            </w:r>
          </w:p>
        </w:tc>
        <w:tc>
          <w:tcPr>
            <w:tcW w:w="7381" w:type="dxa"/>
          </w:tcPr>
          <w:p>
            <w:pPr>
              <w:spacing w:line="360" w:lineRule="auto"/>
              <w:rPr>
                <w:rFonts w:ascii="Times New Roman" w:hAnsi="Times New Roman" w:eastAsia="宋体" w:cs="Times New Roman"/>
                <w:sz w:val="24"/>
              </w:rPr>
            </w:pPr>
            <w:r>
              <w:rPr>
                <w:rFonts w:ascii="Times New Roman" w:hAnsi="Times New Roman" w:eastAsia="宋体" w:cs="Times New Roman"/>
                <w:bCs/>
                <w:iCs/>
                <w:color w:val="000000"/>
                <w:sz w:val="24"/>
              </w:rPr>
              <w:t>□</w:t>
            </w:r>
            <w:r>
              <w:rPr>
                <w:rFonts w:ascii="Times New Roman" w:hAnsi="Times New Roman" w:eastAsia="宋体" w:cs="Times New Roman"/>
                <w:sz w:val="24"/>
              </w:rPr>
              <w:t>特定对象调研；</w:t>
            </w:r>
            <w:r>
              <w:rPr>
                <w:rFonts w:ascii="Times New Roman" w:hAnsi="Times New Roman" w:eastAsia="宋体" w:cs="Times New Roman"/>
                <w:bCs/>
                <w:iCs/>
                <w:color w:val="000000"/>
                <w:sz w:val="24"/>
              </w:rPr>
              <w:t>□</w:t>
            </w:r>
            <w:r>
              <w:rPr>
                <w:rFonts w:ascii="Times New Roman" w:hAnsi="Times New Roman" w:eastAsia="宋体" w:cs="Times New Roman"/>
                <w:sz w:val="24"/>
              </w:rPr>
              <w:t>电话会议；</w:t>
            </w:r>
            <w:r>
              <w:rPr>
                <w:rFonts w:ascii="Times New Roman" w:hAnsi="Times New Roman" w:eastAsia="宋体" w:cs="Times New Roman"/>
                <w:bCs/>
                <w:iCs/>
                <w:color w:val="000000"/>
                <w:sz w:val="24"/>
              </w:rPr>
              <w:t>□</w:t>
            </w:r>
            <w:r>
              <w:rPr>
                <w:rFonts w:ascii="Times New Roman" w:hAnsi="Times New Roman" w:eastAsia="宋体" w:cs="Times New Roman"/>
                <w:sz w:val="24"/>
              </w:rPr>
              <w:t>媒体采访；</w:t>
            </w:r>
            <w:r>
              <w:rPr>
                <w:rFonts w:hint="eastAsia" w:ascii="MS Gothic" w:hAnsi="MS Gothic" w:eastAsia="MS Gothic" w:cs="MS Gothic"/>
                <w:bCs/>
                <w:iCs/>
                <w:color w:val="000000"/>
                <w:sz w:val="24"/>
              </w:rPr>
              <w:t>☑</w:t>
            </w:r>
            <w:r>
              <w:rPr>
                <w:rFonts w:ascii="Times New Roman" w:hAnsi="Times New Roman" w:eastAsia="宋体" w:cs="Times New Roman"/>
                <w:bCs/>
                <w:iCs/>
                <w:color w:val="000000"/>
                <w:sz w:val="24"/>
              </w:rPr>
              <w:t>业绩</w:t>
            </w:r>
            <w:r>
              <w:rPr>
                <w:rFonts w:ascii="Times New Roman" w:hAnsi="Times New Roman" w:eastAsia="宋体" w:cs="Times New Roman"/>
                <w:sz w:val="24"/>
              </w:rPr>
              <w:t>交流会；</w:t>
            </w:r>
          </w:p>
          <w:p>
            <w:pPr>
              <w:spacing w:line="360" w:lineRule="auto"/>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w:t>
            </w:r>
            <w:r>
              <w:rPr>
                <w:rFonts w:ascii="Times New Roman" w:hAnsi="Times New Roman" w:eastAsia="宋体" w:cs="Times New Roman"/>
                <w:sz w:val="24"/>
              </w:rPr>
              <w:t>新闻发布会；</w:t>
            </w:r>
            <w:r>
              <w:rPr>
                <w:rFonts w:ascii="Times New Roman" w:hAnsi="Times New Roman" w:eastAsia="宋体" w:cs="Times New Roman"/>
                <w:bCs/>
                <w:iCs/>
                <w:color w:val="000000"/>
                <w:sz w:val="24"/>
              </w:rPr>
              <w:t>□</w:t>
            </w:r>
            <w:r>
              <w:rPr>
                <w:rFonts w:ascii="Times New Roman" w:hAnsi="Times New Roman" w:eastAsia="宋体" w:cs="Times New Roman"/>
                <w:sz w:val="24"/>
              </w:rPr>
              <w:t>路演活动；</w:t>
            </w:r>
            <w:r>
              <w:rPr>
                <w:rFonts w:ascii="Times New Roman" w:hAnsi="Times New Roman" w:eastAsia="宋体" w:cs="Times New Roman"/>
                <w:bCs/>
                <w:iCs/>
                <w:color w:val="000000"/>
                <w:sz w:val="24"/>
              </w:rPr>
              <w:t>□</w:t>
            </w:r>
            <w:r>
              <w:rPr>
                <w:rFonts w:ascii="Times New Roman" w:hAnsi="Times New Roman" w:eastAsia="宋体" w:cs="Times New Roman"/>
                <w:sz w:val="24"/>
              </w:rPr>
              <w:t>现场参观；</w:t>
            </w:r>
            <w:r>
              <w:rPr>
                <w:rFonts w:ascii="Times New Roman" w:hAnsi="Times New Roman" w:eastAsia="宋体" w:cs="Times New Roman"/>
                <w:bCs/>
                <w:iCs/>
                <w:color w:val="000000"/>
                <w:sz w:val="24"/>
              </w:rPr>
              <w:t>□</w:t>
            </w:r>
            <w:r>
              <w:rPr>
                <w:rFonts w:ascii="Times New Roman" w:hAnsi="Times New Roman" w:eastAsia="宋体" w:cs="Times New Roman"/>
                <w:sz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jc w:val="center"/>
              <w:rPr>
                <w:rFonts w:ascii="Times New Roman" w:hAnsi="Times New Roman" w:eastAsia="宋体" w:cs="Times New Roman"/>
                <w:b/>
                <w:bCs/>
                <w:iCs/>
                <w:color w:val="000000"/>
                <w:sz w:val="24"/>
              </w:rPr>
            </w:pPr>
            <w:r>
              <w:rPr>
                <w:rFonts w:ascii="Times New Roman" w:hAnsi="Times New Roman" w:eastAsia="宋体" w:cs="Times New Roman"/>
                <w:b/>
                <w:bCs/>
                <w:iCs/>
                <w:color w:val="000000"/>
                <w:sz w:val="24"/>
              </w:rPr>
              <w:t>参与单位名称</w:t>
            </w:r>
          </w:p>
        </w:tc>
        <w:tc>
          <w:tcPr>
            <w:tcW w:w="7381" w:type="dxa"/>
          </w:tcPr>
          <w:p>
            <w:pPr>
              <w:spacing w:line="360" w:lineRule="auto"/>
              <w:rPr>
                <w:rFonts w:ascii="Times New Roman" w:hAnsi="Times New Roman" w:eastAsia="宋体" w:cs="Times New Roman"/>
                <w:sz w:val="24"/>
              </w:rPr>
            </w:pPr>
            <w:r>
              <w:rPr>
                <w:rFonts w:ascii="Times New Roman" w:hAnsi="Times New Roman" w:cs="Times New Roman"/>
                <w:color w:val="000000"/>
                <w:sz w:val="24"/>
              </w:rPr>
              <w:t>浙商证券、招商证券、海通证券、广发证券、国金证券、国联证券、华创证券、中信建投、华福证券、银河证券、中金公司、中泰证券、国投证券、国盛证券、长江证券、民生证券、德邦证券、光大证券、西南证券、华泰证券、中邮证券、兴业证券、天风证券、首创证券、摩根士丹利、美银美林</w:t>
            </w:r>
            <w:r>
              <w:rPr>
                <w:rFonts w:ascii="Times New Roman" w:hAnsi="Times New Roman" w:eastAsia="宋体" w:cs="Times New Roman"/>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jc w:val="center"/>
              <w:rPr>
                <w:rFonts w:ascii="Times New Roman" w:hAnsi="Times New Roman" w:eastAsia="宋体" w:cs="Times New Roman"/>
                <w:b/>
                <w:bCs/>
                <w:iCs/>
                <w:color w:val="000000"/>
                <w:sz w:val="24"/>
              </w:rPr>
            </w:pPr>
            <w:r>
              <w:rPr>
                <w:rFonts w:ascii="Times New Roman" w:hAnsi="Times New Roman" w:eastAsia="宋体" w:cs="Times New Roman"/>
                <w:b/>
                <w:bCs/>
                <w:iCs/>
                <w:color w:val="000000"/>
                <w:sz w:val="24"/>
              </w:rPr>
              <w:t>时间</w:t>
            </w:r>
          </w:p>
        </w:tc>
        <w:tc>
          <w:tcPr>
            <w:tcW w:w="7381" w:type="dxa"/>
          </w:tcPr>
          <w:p>
            <w:pPr>
              <w:spacing w:line="360" w:lineRule="auto"/>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2024年4月1日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jc w:val="center"/>
              <w:rPr>
                <w:rFonts w:ascii="Times New Roman" w:hAnsi="Times New Roman" w:eastAsia="宋体" w:cs="Times New Roman"/>
                <w:b/>
                <w:bCs/>
                <w:iCs/>
                <w:color w:val="000000"/>
                <w:sz w:val="24"/>
              </w:rPr>
            </w:pPr>
            <w:r>
              <w:rPr>
                <w:rFonts w:ascii="Times New Roman" w:hAnsi="Times New Roman" w:eastAsia="宋体" w:cs="Times New Roman"/>
                <w:b/>
                <w:bCs/>
                <w:iCs/>
                <w:color w:val="000000"/>
                <w:sz w:val="24"/>
              </w:rPr>
              <w:t>地点</w:t>
            </w:r>
          </w:p>
        </w:tc>
        <w:tc>
          <w:tcPr>
            <w:tcW w:w="7381" w:type="dxa"/>
          </w:tcPr>
          <w:p>
            <w:pPr>
              <w:spacing w:line="360" w:lineRule="auto"/>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易董价值在线平台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jc w:val="center"/>
              <w:rPr>
                <w:rFonts w:ascii="Times New Roman" w:hAnsi="Times New Roman" w:eastAsia="宋体" w:cs="Times New Roman"/>
                <w:b/>
                <w:bCs/>
                <w:iCs/>
                <w:color w:val="000000"/>
                <w:sz w:val="24"/>
              </w:rPr>
            </w:pPr>
            <w:r>
              <w:rPr>
                <w:rFonts w:ascii="Times New Roman" w:hAnsi="Times New Roman" w:eastAsia="宋体" w:cs="Times New Roman"/>
                <w:b/>
                <w:bCs/>
                <w:iCs/>
                <w:color w:val="000000"/>
                <w:sz w:val="24"/>
              </w:rPr>
              <w:t>上市公司接待人员姓名</w:t>
            </w:r>
          </w:p>
        </w:tc>
        <w:tc>
          <w:tcPr>
            <w:tcW w:w="7381" w:type="dxa"/>
            <w:vAlign w:val="center"/>
          </w:tcPr>
          <w:p>
            <w:pPr>
              <w:spacing w:line="480" w:lineRule="atLeas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山东黄金矿业股份有限公司（以下称“公司”或“山东黄金”）</w:t>
            </w:r>
          </w:p>
          <w:p>
            <w:pPr>
              <w:spacing w:line="480" w:lineRule="atLeas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公司董事、董事会秘书、董事办主任：汤琦</w:t>
            </w:r>
          </w:p>
          <w:p>
            <w:pPr>
              <w:spacing w:line="480" w:lineRule="atLeas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公司代财务负责人：滕洪孟</w:t>
            </w:r>
          </w:p>
          <w:p>
            <w:pPr>
              <w:spacing w:line="480" w:lineRule="atLeas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公司董事办副主任：王毅、张翀</w:t>
            </w:r>
          </w:p>
          <w:p>
            <w:pPr>
              <w:spacing w:line="480" w:lineRule="atLeas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公司财务部部长助理：曹琳琳</w:t>
            </w:r>
          </w:p>
          <w:p>
            <w:pPr>
              <w:spacing w:line="480" w:lineRule="atLeast"/>
              <w:rPr>
                <w:rFonts w:ascii="Times New Roman" w:hAnsi="Times New Roman" w:cs="Times New Roman"/>
              </w:rPr>
            </w:pPr>
            <w:r>
              <w:rPr>
                <w:rFonts w:ascii="Times New Roman" w:hAnsi="Times New Roman" w:eastAsia="宋体" w:cs="Times New Roman"/>
                <w:bCs/>
                <w:iCs/>
                <w:color w:val="000000"/>
                <w:sz w:val="24"/>
              </w:rPr>
              <w:t>公司财务部财务信息披露主管：杜倩</w:t>
            </w:r>
          </w:p>
          <w:p>
            <w:pPr>
              <w:spacing w:line="480" w:lineRule="atLeas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公司证券事务代表：张如英、卞小冬</w:t>
            </w:r>
          </w:p>
          <w:p>
            <w:pPr>
              <w:spacing w:line="480" w:lineRule="atLeast"/>
              <w:rPr>
                <w:rFonts w:ascii="Times New Roman" w:hAnsi="Times New Roman" w:eastAsia="宋体" w:cs="Times New Roman"/>
                <w:bCs/>
                <w:iCs/>
                <w:color w:val="000000"/>
                <w:sz w:val="24"/>
              </w:rPr>
            </w:pPr>
            <w:r>
              <w:rPr>
                <w:rFonts w:ascii="Times New Roman" w:hAnsi="Times New Roman" w:eastAsia="宋体" w:cs="Times New Roman"/>
                <w:bCs/>
                <w:iCs/>
                <w:color w:val="000000"/>
                <w:sz w:val="24"/>
              </w:rPr>
              <w:t>公司投资者关系管理主管：石保栋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668" w:type="dxa"/>
            <w:vAlign w:val="center"/>
          </w:tcPr>
          <w:p>
            <w:pPr>
              <w:jc w:val="center"/>
              <w:rPr>
                <w:rFonts w:ascii="Times New Roman" w:hAnsi="Times New Roman" w:eastAsia="宋体" w:cs="Times New Roman"/>
                <w:b/>
                <w:bCs/>
                <w:iCs/>
                <w:color w:val="000000"/>
                <w:sz w:val="24"/>
              </w:rPr>
            </w:pPr>
            <w:r>
              <w:rPr>
                <w:rFonts w:ascii="Times New Roman" w:hAnsi="Times New Roman" w:eastAsia="宋体" w:cs="Times New Roman"/>
                <w:b/>
                <w:bCs/>
                <w:iCs/>
                <w:color w:val="000000"/>
                <w:sz w:val="24"/>
              </w:rPr>
              <w:t xml:space="preserve">活动主要交流内容 </w:t>
            </w:r>
          </w:p>
        </w:tc>
        <w:tc>
          <w:tcPr>
            <w:tcW w:w="7381" w:type="dxa"/>
          </w:tcPr>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本次交流会中，互动问答的主要内容如下（口头交流内容表述可能存在误差，如与公司正式公告内容冲突，请以正式公告披露内容为准）：</w:t>
            </w:r>
          </w:p>
          <w:p>
            <w:pPr>
              <w:pStyle w:val="3"/>
              <w:numPr>
                <w:ilvl w:val="255"/>
                <w:numId w:val="0"/>
              </w:num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1.公司2024年黄金产量计划为47吨，是否包含银泰黄金全部产量？</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公司2024年不低于47吨的黄金产量计划包含银泰黄金全部产量。该计划是基于当前的经济形势、市场情况及公司目前生产经营、在建项目及银泰黄金产量计划等因素作出的产量计划，为公司指导性指标，公司有可能视未来的发展情况适时做出相应调整。公司对所属矿山进行了全面梳理，结合矿山实际生产情况以及黄金价格制定了各个矿山的产量计划，该产量计划有利于各个矿山资源的综合利用，促进矿山更健康、更可持续的发展。</w:t>
            </w:r>
          </w:p>
          <w:p>
            <w:pPr>
              <w:pStyle w:val="2"/>
              <w:numPr>
                <w:ilvl w:val="255"/>
                <w:numId w:val="0"/>
              </w:numPr>
              <w:spacing w:line="360" w:lineRule="auto"/>
              <w:ind w:left="-200" w:firstLine="723" w:firstLineChars="300"/>
              <w:rPr>
                <w:rFonts w:ascii="Times New Roman" w:hAnsi="Times New Roman" w:cs="Times New Roman"/>
              </w:rPr>
            </w:pPr>
            <w:r>
              <w:rPr>
                <w:rFonts w:ascii="Times New Roman" w:hAnsi="Times New Roman" w:eastAsia="宋体" w:cs="Times New Roman"/>
                <w:b/>
                <w:bCs/>
                <w:sz w:val="24"/>
              </w:rPr>
              <w:t>2.公司</w:t>
            </w:r>
            <w:r>
              <w:rPr>
                <w:rFonts w:hint="eastAsia" w:ascii="Times New Roman" w:hAnsi="Times New Roman" w:eastAsia="宋体" w:cs="Times New Roman"/>
                <w:b/>
                <w:bCs/>
                <w:sz w:val="24"/>
                <w:lang w:val="en-US" w:eastAsia="zh-CN"/>
              </w:rPr>
              <w:t>未来三年</w:t>
            </w:r>
            <w:r>
              <w:rPr>
                <w:rFonts w:ascii="Times New Roman" w:hAnsi="Times New Roman" w:eastAsia="宋体" w:cs="Times New Roman"/>
                <w:b/>
                <w:bCs/>
                <w:sz w:val="24"/>
              </w:rPr>
              <w:t>的产量</w:t>
            </w:r>
            <w:r>
              <w:rPr>
                <w:rFonts w:hint="eastAsia" w:ascii="Times New Roman" w:hAnsi="Times New Roman" w:eastAsia="宋体" w:cs="Times New Roman"/>
                <w:b/>
                <w:bCs/>
                <w:sz w:val="24"/>
                <w:lang w:val="en-US" w:eastAsia="zh-CN"/>
              </w:rPr>
              <w:t>规划</w:t>
            </w:r>
            <w:r>
              <w:rPr>
                <w:rFonts w:ascii="Times New Roman" w:hAnsi="Times New Roman" w:eastAsia="宋体" w:cs="Times New Roman"/>
                <w:b/>
                <w:bCs/>
                <w:sz w:val="24"/>
              </w:rPr>
              <w:t>情况如何？</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对于公司未来三年的产量规划，目前2024年的产量指引已披露，2025年是“十四五”规划的最后一年，公司将按照“十四五”的既定规划积极推进。2026年将进入下一个五年规划，公司目前尚未正式编制“十五五”规划，但总体上会按照产量长期稳定增长的原则进行编制，因此目前无法就2026年及其后的产量给出具体数字的指引。未来太久，干在当下，公司会立足实际积极做好</w:t>
            </w:r>
            <w:r>
              <w:rPr>
                <w:rFonts w:hint="eastAsia" w:ascii="Times New Roman" w:hAnsi="Times New Roman" w:cs="Times New Roman"/>
                <w:sz w:val="24"/>
                <w:lang w:val="en-US" w:eastAsia="zh-CN"/>
              </w:rPr>
              <w:t>2024年的</w:t>
            </w:r>
            <w:r>
              <w:rPr>
                <w:rFonts w:ascii="Times New Roman" w:hAnsi="Times New Roman" w:cs="Times New Roman"/>
                <w:sz w:val="24"/>
              </w:rPr>
              <w:t>生产经营，给投资者积极的业绩回报。</w:t>
            </w:r>
          </w:p>
          <w:p>
            <w:pPr>
              <w:pStyle w:val="3"/>
              <w:numPr>
                <w:ilvl w:val="255"/>
                <w:numId w:val="0"/>
              </w:num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3.公司2023年成本情况以及对于未来几年的成本控制方面的目标？</w:t>
            </w:r>
          </w:p>
          <w:p>
            <w:pPr>
              <w:numPr>
                <w:ilvl w:val="255"/>
                <w:numId w:val="0"/>
              </w:num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公司2023年克金成本与2022年相比，基本处于同一水平上。随着矿山开采深度的增加，低品位矿石的利用，原材料、人工成本的增加，整个黄金行业开采成本呈现上升的趋势。山东黄金通过采取一系列降本增效措施，努力将克金成本稳定在现有水平上。</w:t>
            </w:r>
          </w:p>
          <w:p>
            <w:pPr>
              <w:numPr>
                <w:ilvl w:val="255"/>
                <w:numId w:val="0"/>
              </w:num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公司采取的降本增效措施如下：分解克金成本、可控管理费用、两金压降等指标，将降本增效向“资源创效、科技提效”等领域拓展，在资产盘活、集采创效、成本管控、税收筹划等方面靶向发力，取得显著成效；持续加强资金管控，进一步优化融资结构，强化资金集约管理，利用银行对制造行业贷款红利政策，抓住有利的降息窗口期，通过提前归还、置换贷款等方式节约利息支出；通过规模化开采、自动化智能化设备的使用，降低克金成本。</w:t>
            </w:r>
          </w:p>
          <w:p>
            <w:pPr>
              <w:adjustRightIn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4.公司对外并购计划？境外并购标的选择标准？是否有新增项目？</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公司始终坚持“资源为先”的理念，持续加大优质资源的获取。对于并购标的的选择，公司内部有严格的筛选标准，在对并购标的开展充分尽职调查的基础上编制可行性研究报告，并针对并购标的的风险情况编制风险评估报告，综合项目的资源情况、预期经济效益以及风险情况最终确定是否继续推进。公司目前已经储备了一批并购标的，也正在按照内部并购流程开展相关工作，待达到信息披露标准后，公司也将及时公告。</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公司境外并购规划是公司整体战略规划的一部分。近年来，公司始终对海外项目保持跟踪，稳妥推进海外优质资源获取。公司境外并购的标准如下：一是投资目标国的政策、法律风险可控；二是项目资源储量的规模可以显著增加公司的资源储备；三是项目并购后能快速地为公司贡献稳定的现金流；四是项目的服务年限，要能够支撑在当地形成新的生产、勘探基地。</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公司将持续寻找优质的、有长期投资价值的并购标的，致力于为股东提供长期、稳定的投资回报。</w:t>
            </w:r>
          </w:p>
          <w:p>
            <w:pPr>
              <w:adjustRightIn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5.集团层面还有哪些优质的资产，何时注入上市公司？</w:t>
            </w:r>
          </w:p>
          <w:p>
            <w:pPr>
              <w:numPr>
                <w:ilvl w:val="255"/>
                <w:numId w:val="0"/>
              </w:num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公司控股股东山东黄金集团拟注入上市公司的标的资产应具备良好的经营情况和财务状况，盈利能力较好且稳定，注入上市公司后可以有效增厚盈利；亏损、经营风险较大、低质无效的资产不予注入；处于勘查初级阶段的项目、资源前景尚未明确的项目，暂时在山东黄金集团进行培育，待符合上市公司并购条件后再注入上市公司。</w:t>
            </w:r>
          </w:p>
          <w:p>
            <w:pPr>
              <w:numPr>
                <w:ilvl w:val="255"/>
                <w:numId w:val="0"/>
              </w:num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公司控股股东山东黄金集团目前拥有海南山金、嵩县山金、金创集团等黄金生产企业以及招远九洲、招远成金等黄金探矿权资产。山东黄金集团组织了专业团队，持续对上述资产进行梳理，对瑕疵问题进行整改，待上述资产符合注入上市公司条件后，公司会积极推进将上述资产注入公司并及时公告。</w:t>
            </w:r>
          </w:p>
          <w:p>
            <w:pPr>
              <w:adjustRightIn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6.公司与银泰黄金协同效应主要体现在哪些方面？</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山东黄金拥有领先的黄金产量、资源储备、经济效益和技术实力，是国内黄金行业的龙头企业之一。银泰黄金主要从事贵金属和有色金属矿采选及金属贸易，旗下拥有5家大型且品位较高的矿山。山东黄金收购银泰黄金控制权后，实现西南、东北地区的资源从无到有、以点带面的战略布局，大大增强了黄金主业优势地位。在黄金产业和资源赋能下，银泰黄金与山东黄金优势互补，共同发挥业务协同、资源开发协同、生产管理协同及供应链协同等效应，实现1+1&gt;2的效果，持续做大做强两个上市公司，为股东带来切实回报，推动国内黄金行业高质量发展。</w:t>
            </w:r>
          </w:p>
          <w:p>
            <w:pPr>
              <w:adjustRightIn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sz w:val="24"/>
              </w:rPr>
              <w:t>7</w:t>
            </w:r>
            <w:r>
              <w:rPr>
                <w:rFonts w:ascii="Times New Roman" w:hAnsi="Times New Roman" w:eastAsia="宋体" w:cs="Times New Roman"/>
                <w:b/>
                <w:bCs/>
                <w:sz w:val="24"/>
              </w:rPr>
              <w:t>.西岭金矿项目进展？</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为加快推进三山岛矿区资源整合工作，2024年1月26日、3月7日，公司先后召开董事会会议及股东大会，审议通过了《关于公司收购西岭金矿探矿权暨关联交易的议案》，收购山东黄金地勘公司持有的西岭金矿勘探探矿权。公司目前正在办理西岭金矿探矿权的转让手续。</w:t>
            </w:r>
          </w:p>
          <w:p>
            <w:pPr>
              <w:adjustRightIn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8.西岭探矿权评估报告中，年矿石处理量是330万吨，矿产金是13.386吨，其中是否含现有的三山岛5-6吨的产量？</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西岭金矿探矿权的现有可研方案以及矿权评估报告中利用的资源量是基于目前西岭金矿探矿权范围内的资源量。因西岭金矿建设项目本身就是作为三山岛金矿资源接续而开展的项目，随着三山岛金矿现有采矿权范围内资源量的逐步减少，后期三山岛金矿的产量贡献将以西岭金矿矿权范围内的资源为主。</w:t>
            </w:r>
          </w:p>
          <w:p>
            <w:pPr>
              <w:adjustRightIn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9.公司2023年度的分红方案是如何考虑的？</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公司2023年度的利润分配方案为：拟向全体股东每10股派现金红利1.40元（含税），现金分红为626,280,133.50元，占当期归属于上市公司普通股股东净利润的33.59%。随着公司2023年度利润的大幅度增加，利润分配金额也大幅增加，充分体现了公司与投资者共享发展成果的意愿。</w:t>
            </w:r>
          </w:p>
          <w:p>
            <w:pPr>
              <w:adjustRightIn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10.公司玲珑金矿复工情况？</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答：截至目前，玲珑金矿仅有其所辖的一个矿区玲珑矿区因暂未取得安全生产许可证，处于停产状态，公司正在全力推进玲珑矿区安全生产许可证申办工作。玲珑矿区已于2024年1月获得基建批复，目前正在进行工程建设，力争尽快取得新的安全生产许可证并复工复产。玲珑金矿所辖的东风矿区和灵山矿区正常生产。</w:t>
            </w:r>
          </w:p>
          <w:p>
            <w:pPr>
              <w:numPr>
                <w:ilvl w:val="255"/>
                <w:numId w:val="0"/>
              </w:numPr>
              <w:adjustRightInd w:val="0"/>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11.加纳卡蒂诺项目进展如何？</w:t>
            </w:r>
          </w:p>
          <w:p>
            <w:pPr>
              <w:adjustRightInd w:val="0"/>
              <w:spacing w:line="360" w:lineRule="auto"/>
              <w:ind w:firstLine="480" w:firstLineChars="200"/>
              <w:rPr>
                <w:rFonts w:ascii="Times New Roman" w:hAnsi="Times New Roman" w:cs="Times New Roman"/>
              </w:rPr>
            </w:pPr>
            <w:r>
              <w:rPr>
                <w:rFonts w:ascii="Times New Roman" w:hAnsi="Times New Roman" w:cs="Times New Roman"/>
                <w:sz w:val="24"/>
              </w:rPr>
              <w:t>答：山东黄金对加纳卡蒂诺项目高度重视，成立专班进行调度，各项工作进展顺利。目前项目正处于建设阶段，采矿准备工作、取水点工程、营地工程、蓄水池等工程已经完成，选矿厂、输电线路及变电站等工程正处于建设阶段。</w:t>
            </w:r>
            <w:bookmarkStart w:id="0" w:name="_GoBack"/>
            <w:bookmarkEnd w:id="0"/>
          </w:p>
        </w:tc>
      </w:tr>
    </w:tbl>
    <w:p>
      <w:pPr>
        <w:ind w:firstLine="480" w:firstLineChars="200"/>
        <w:rPr>
          <w:rFonts w:ascii="Times New Roman" w:hAnsi="Times New Roman" w:eastAsia="黑体" w:cs="Times New Roman"/>
          <w:color w:val="FF0000"/>
          <w:sz w:val="24"/>
        </w:rPr>
      </w:pPr>
    </w:p>
    <w:p>
      <w:pPr>
        <w:rPr>
          <w:rFonts w:ascii="Times New Roman" w:hAnsi="Times New Roman" w:cs="Times New Roman"/>
        </w:rPr>
      </w:pPr>
    </w:p>
    <w:sectPr>
      <w:footerReference r:id="rId3" w:type="default"/>
      <w:pgSz w:w="11906" w:h="16838"/>
      <w:pgMar w:top="1440" w:right="1558"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rPr>
      <w:id w:val="4822594"/>
    </w:sdtPr>
    <w:sdtEndPr>
      <w:rPr>
        <w:rFonts w:ascii="Calibri" w:hAnsi="Calibri" w:eastAsia="宋体" w:cs="Times New Roman"/>
        <w:sz w:val="18"/>
        <w:szCs w:val="18"/>
      </w:rPr>
    </w:sdtEndPr>
    <w:sdtContent>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 PAGE   \* MERGEFORMAT </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1</w:t>
        </w:r>
        <w:r>
          <w:rPr>
            <w:rFonts w:ascii="Calibri" w:hAnsi="Calibri" w:eastAsia="宋体" w:cs="Times New Roman"/>
            <w:sz w:val="18"/>
            <w:szCs w:val="18"/>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jA5OTNmYmY2OGQ3Njc4OTJmZDlmOGE2MzM2NDEifQ=="/>
  </w:docVars>
  <w:rsids>
    <w:rsidRoot w:val="343230F3"/>
    <w:rsid w:val="00193E62"/>
    <w:rsid w:val="005140D8"/>
    <w:rsid w:val="005F4BA9"/>
    <w:rsid w:val="00DA1A8D"/>
    <w:rsid w:val="01DA174C"/>
    <w:rsid w:val="04656A3F"/>
    <w:rsid w:val="09DB646B"/>
    <w:rsid w:val="0B822BEF"/>
    <w:rsid w:val="0BB77196"/>
    <w:rsid w:val="10174CF4"/>
    <w:rsid w:val="14207959"/>
    <w:rsid w:val="19704266"/>
    <w:rsid w:val="197623D4"/>
    <w:rsid w:val="203B39D1"/>
    <w:rsid w:val="20DD78CC"/>
    <w:rsid w:val="22021142"/>
    <w:rsid w:val="22B262BC"/>
    <w:rsid w:val="236E1719"/>
    <w:rsid w:val="2C0C0298"/>
    <w:rsid w:val="2D6D0D80"/>
    <w:rsid w:val="30BE7EEB"/>
    <w:rsid w:val="31AB0506"/>
    <w:rsid w:val="343230F3"/>
    <w:rsid w:val="35480E89"/>
    <w:rsid w:val="355D259A"/>
    <w:rsid w:val="35B30138"/>
    <w:rsid w:val="380D6381"/>
    <w:rsid w:val="39F46F34"/>
    <w:rsid w:val="3A7B12D8"/>
    <w:rsid w:val="3FCB52CE"/>
    <w:rsid w:val="43953E5E"/>
    <w:rsid w:val="452C7F6F"/>
    <w:rsid w:val="46687CED"/>
    <w:rsid w:val="486C614B"/>
    <w:rsid w:val="4B2679D8"/>
    <w:rsid w:val="4BB072A9"/>
    <w:rsid w:val="4C0B78E8"/>
    <w:rsid w:val="4C987CD0"/>
    <w:rsid w:val="4E2E3F97"/>
    <w:rsid w:val="533C68A8"/>
    <w:rsid w:val="56DD2A92"/>
    <w:rsid w:val="57462A63"/>
    <w:rsid w:val="59D1761F"/>
    <w:rsid w:val="5C146032"/>
    <w:rsid w:val="5C5626C5"/>
    <w:rsid w:val="5EC44448"/>
    <w:rsid w:val="5FE771E7"/>
    <w:rsid w:val="60FB4267"/>
    <w:rsid w:val="61AC79D9"/>
    <w:rsid w:val="65245694"/>
    <w:rsid w:val="65BF0919"/>
    <w:rsid w:val="66394E22"/>
    <w:rsid w:val="684B0157"/>
    <w:rsid w:val="6BFE3913"/>
    <w:rsid w:val="6C275936"/>
    <w:rsid w:val="6CC964D2"/>
    <w:rsid w:val="6DEF4316"/>
    <w:rsid w:val="6E53673B"/>
    <w:rsid w:val="6FFE56F6"/>
    <w:rsid w:val="732A3E3F"/>
    <w:rsid w:val="73E710ED"/>
    <w:rsid w:val="75520A4A"/>
    <w:rsid w:val="775E169F"/>
    <w:rsid w:val="7A117E88"/>
    <w:rsid w:val="7F9814F7"/>
    <w:rsid w:val="7FEDECC1"/>
    <w:rsid w:val="B8E6ABB6"/>
    <w:rsid w:val="DEEF6536"/>
    <w:rsid w:val="E767D7F1"/>
    <w:rsid w:val="FC5744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4"/>
    <w:next w:val="1"/>
    <w:qFormat/>
    <w:uiPriority w:val="0"/>
    <w:pPr>
      <w:keepNext/>
      <w:keepLines/>
      <w:tabs>
        <w:tab w:val="right" w:leader="dot" w:pos="8296"/>
      </w:tabs>
      <w:ind w:firstLine="0"/>
      <w:outlineLvl w:val="1"/>
    </w:pPr>
    <w:rPr>
      <w:rFonts w:ascii="Cambria" w:hAnsi="Cambria" w:eastAsia="黑体"/>
      <w:bCs/>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4">
    <w:name w:val="toc 1"/>
    <w:basedOn w:val="1"/>
    <w:next w:val="1"/>
    <w:qFormat/>
    <w:uiPriority w:val="0"/>
    <w:pPr>
      <w:tabs>
        <w:tab w:val="right" w:leader="dot" w:pos="8296"/>
      </w:tabs>
      <w:ind w:firstLine="420"/>
    </w:pPr>
  </w:style>
  <w:style w:type="paragraph" w:styleId="5">
    <w:name w:val="Normal Indent"/>
    <w:basedOn w:val="1"/>
    <w:next w:val="1"/>
    <w:qFormat/>
    <w:uiPriority w:val="0"/>
    <w:pPr>
      <w:ind w:firstLine="200" w:firstLineChars="200"/>
    </w:pPr>
  </w:style>
  <w:style w:type="paragraph" w:styleId="6">
    <w:name w:val="annotation text"/>
    <w:basedOn w:val="1"/>
    <w:qFormat/>
    <w:uiPriority w:val="0"/>
    <w:pPr>
      <w:jc w:val="left"/>
    </w:pPr>
  </w:style>
  <w:style w:type="paragraph" w:styleId="7">
    <w:name w:val="Balloon Text"/>
    <w:basedOn w:val="1"/>
    <w:link w:val="10"/>
    <w:qFormat/>
    <w:uiPriority w:val="0"/>
    <w:rPr>
      <w:sz w:val="18"/>
      <w:szCs w:val="18"/>
    </w:rPr>
  </w:style>
  <w:style w:type="character" w:customStyle="1" w:styleId="10">
    <w:name w:val="批注框文本 Char"/>
    <w:basedOn w:val="9"/>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471</Words>
  <Characters>2691</Characters>
  <Lines>22</Lines>
  <Paragraphs>6</Paragraphs>
  <TotalTime>24</TotalTime>
  <ScaleCrop>false</ScaleCrop>
  <LinksUpToDate>false</LinksUpToDate>
  <CharactersWithSpaces>3156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2023-04-25T09:26:00Z</dcterms:created>
  <dc:creator>石保栋</dc:creator>
  <cp:lastModifiedBy>王毅</cp:lastModifiedBy>
  <cp:lastPrinted>2024-04-02T09:30:00Z</cp:lastPrinted>
  <dcterms:modified xsi:type="dcterms:W3CDTF">2024-04-02T10:10:31Z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EFFD2D8F36544A719D068491E3E2ACF3</vt:lpwstr>
  </property>
</Properties>
</file>